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C0F" w:rsidRPr="007112D4" w:rsidRDefault="007112D4" w:rsidP="00001C0F">
      <w:pPr>
        <w:spacing w:after="0" w:line="240" w:lineRule="auto"/>
        <w:rPr>
          <w:rFonts w:ascii="Times New Roman" w:eastAsia="Times New Roman" w:hAnsi="Times New Roman" w:cs="Times New Roman"/>
          <w:sz w:val="27"/>
          <w:szCs w:val="27"/>
          <w:lang w:val="en-US"/>
        </w:rPr>
      </w:pPr>
      <w:r w:rsidRPr="007112D4">
        <w:rPr>
          <w:rFonts w:ascii="Times New Roman" w:eastAsia="Times New Roman" w:hAnsi="Times New Roman" w:cs="Times New Roman"/>
          <w:sz w:val="24"/>
          <w:szCs w:val="24"/>
          <w:lang w:val="en-US"/>
        </w:rPr>
        <w:t xml:space="preserve"> </w:t>
      </w:r>
    </w:p>
    <w:p w:rsidR="007112D4" w:rsidRPr="007112D4" w:rsidRDefault="007112D4" w:rsidP="007112D4">
      <w:pPr>
        <w:pStyle w:val="a8"/>
        <w:rPr>
          <w:b/>
          <w:caps/>
          <w:szCs w:val="28"/>
          <w:lang w:val="en-US"/>
        </w:rPr>
      </w:pPr>
      <w:r w:rsidRPr="007112D4">
        <w:rPr>
          <w:rStyle w:val="refresult"/>
          <w:b/>
          <w:szCs w:val="28"/>
          <w:lang w:val="en-US"/>
        </w:rPr>
        <w:t>Genotype</w:t>
      </w:r>
      <w:r w:rsidRPr="007112D4">
        <w:rPr>
          <w:b/>
          <w:szCs w:val="28"/>
          <w:lang w:val="en-US"/>
        </w:rPr>
        <w:t xml:space="preserve"> of Helicobacter pylori and non-steroidal anti-inflammatory drugs</w:t>
      </w:r>
    </w:p>
    <w:p w:rsidR="007112D4" w:rsidRPr="007112D4" w:rsidRDefault="007112D4" w:rsidP="007112D4">
      <w:pPr>
        <w:pStyle w:val="a8"/>
        <w:rPr>
          <w:szCs w:val="28"/>
          <w:lang w:val="en-US"/>
        </w:rPr>
      </w:pPr>
      <w:r w:rsidRPr="007112D4">
        <w:rPr>
          <w:szCs w:val="28"/>
          <w:lang w:val="en-US"/>
        </w:rPr>
        <w:t>N. V.</w:t>
      </w:r>
      <w:r w:rsidRPr="007112D4">
        <w:rPr>
          <w:b/>
          <w:szCs w:val="28"/>
          <w:lang w:val="en-US"/>
        </w:rPr>
        <w:t xml:space="preserve"> </w:t>
      </w:r>
      <w:r w:rsidRPr="007112D4">
        <w:rPr>
          <w:szCs w:val="28"/>
          <w:lang w:val="en-US"/>
        </w:rPr>
        <w:t>Shirinskaya</w:t>
      </w:r>
      <w:r w:rsidRPr="007112D4">
        <w:rPr>
          <w:b/>
          <w:szCs w:val="28"/>
          <w:lang w:val="en-US"/>
        </w:rPr>
        <w:t>¹</w:t>
      </w:r>
      <w:r w:rsidRPr="007112D4">
        <w:rPr>
          <w:szCs w:val="28"/>
          <w:lang w:val="en-US"/>
        </w:rPr>
        <w:t>, Y. G. Pomorgaylo</w:t>
      </w:r>
      <w:r w:rsidRPr="007112D4">
        <w:rPr>
          <w:b/>
          <w:szCs w:val="28"/>
          <w:lang w:val="en-US"/>
        </w:rPr>
        <w:t>²</w:t>
      </w:r>
      <w:r w:rsidRPr="007112D4">
        <w:rPr>
          <w:szCs w:val="28"/>
          <w:lang w:val="en-US"/>
        </w:rPr>
        <w:t xml:space="preserve">, T. V. </w:t>
      </w:r>
      <w:hyperlink r:id="rId5" w:tooltip="Список публикаций этого автора" w:history="1">
        <w:r w:rsidRPr="007112D4">
          <w:rPr>
            <w:rStyle w:val="a4"/>
            <w:color w:val="auto"/>
            <w:szCs w:val="28"/>
            <w:u w:val="none"/>
            <w:lang w:val="en-US"/>
          </w:rPr>
          <w:t>Vas’kina</w:t>
        </w:r>
      </w:hyperlink>
      <w:r w:rsidRPr="007112D4">
        <w:rPr>
          <w:b/>
          <w:szCs w:val="28"/>
          <w:lang w:val="en-US"/>
        </w:rPr>
        <w:t>³</w:t>
      </w:r>
      <w:r w:rsidRPr="007112D4">
        <w:rPr>
          <w:szCs w:val="28"/>
          <w:lang w:val="en-US"/>
        </w:rPr>
        <w:t>, N. P. Kirichenko</w:t>
      </w:r>
      <w:r w:rsidRPr="007112D4">
        <w:rPr>
          <w:b/>
          <w:szCs w:val="28"/>
          <w:lang w:val="en-US"/>
        </w:rPr>
        <w:t>³</w:t>
      </w:r>
    </w:p>
    <w:p w:rsidR="007112D4" w:rsidRPr="007112D4" w:rsidRDefault="007112D4" w:rsidP="007112D4">
      <w:pPr>
        <w:pStyle w:val="a8"/>
        <w:spacing w:before="120"/>
        <w:rPr>
          <w:szCs w:val="28"/>
          <w:lang w:val="en-US"/>
        </w:rPr>
      </w:pPr>
      <w:r w:rsidRPr="007112D4">
        <w:rPr>
          <w:b/>
          <w:szCs w:val="28"/>
          <w:lang w:val="en-US"/>
        </w:rPr>
        <w:t>¹</w:t>
      </w:r>
      <w:r w:rsidRPr="007112D4">
        <w:rPr>
          <w:szCs w:val="28"/>
          <w:lang w:val="en-US"/>
        </w:rPr>
        <w:t>Omsk</w:t>
      </w:r>
      <w:r w:rsidRPr="007112D4">
        <w:rPr>
          <w:b/>
          <w:szCs w:val="28"/>
          <w:lang w:val="en-US"/>
        </w:rPr>
        <w:t xml:space="preserve"> </w:t>
      </w:r>
      <w:r w:rsidRPr="007112D4">
        <w:rPr>
          <w:szCs w:val="28"/>
          <w:lang w:val="en-US"/>
        </w:rPr>
        <w:t>State Medical Information-Analytical Centre,</w:t>
      </w:r>
    </w:p>
    <w:p w:rsidR="007112D4" w:rsidRPr="007112D4" w:rsidRDefault="007112D4" w:rsidP="007112D4">
      <w:pPr>
        <w:pStyle w:val="a8"/>
        <w:spacing w:before="120"/>
        <w:rPr>
          <w:szCs w:val="28"/>
          <w:lang w:val="en-US"/>
        </w:rPr>
      </w:pPr>
      <w:r w:rsidRPr="007112D4">
        <w:rPr>
          <w:b/>
          <w:szCs w:val="28"/>
          <w:lang w:val="en-US"/>
        </w:rPr>
        <w:t>²</w:t>
      </w:r>
      <w:hyperlink r:id="rId6" w:tooltip="Омский государственный медицинский университет" w:history="1">
        <w:r w:rsidRPr="007112D4">
          <w:rPr>
            <w:rStyle w:val="a4"/>
            <w:color w:val="auto"/>
            <w:szCs w:val="28"/>
            <w:u w:val="none"/>
            <w:lang w:val="en-US"/>
          </w:rPr>
          <w:t>Omsk State Medical University</w:t>
        </w:r>
      </w:hyperlink>
      <w:r w:rsidRPr="007112D4">
        <w:rPr>
          <w:szCs w:val="28"/>
          <w:lang w:val="en-US"/>
        </w:rPr>
        <w:t>,</w:t>
      </w:r>
    </w:p>
    <w:p w:rsidR="007112D4" w:rsidRPr="007112D4" w:rsidRDefault="007112D4" w:rsidP="007112D4">
      <w:pPr>
        <w:pStyle w:val="a8"/>
        <w:spacing w:before="120"/>
        <w:rPr>
          <w:szCs w:val="28"/>
          <w:lang w:val="en-US"/>
        </w:rPr>
      </w:pPr>
      <w:r w:rsidRPr="007112D4">
        <w:rPr>
          <w:b/>
          <w:szCs w:val="28"/>
          <w:lang w:val="en-US"/>
        </w:rPr>
        <w:t>³</w:t>
      </w:r>
      <w:r w:rsidRPr="007112D4">
        <w:rPr>
          <w:szCs w:val="28"/>
          <w:lang w:val="en-US"/>
        </w:rPr>
        <w:t>Omsk State Medical Diagnostic Center,</w:t>
      </w:r>
    </w:p>
    <w:p w:rsidR="007112D4" w:rsidRPr="007112D4" w:rsidRDefault="007112D4" w:rsidP="007112D4">
      <w:pPr>
        <w:pStyle w:val="a8"/>
        <w:spacing w:before="120"/>
        <w:rPr>
          <w:szCs w:val="28"/>
          <w:lang w:val="en-US"/>
        </w:rPr>
      </w:pPr>
      <w:r w:rsidRPr="007112D4">
        <w:rPr>
          <w:szCs w:val="28"/>
          <w:lang w:val="en-US"/>
        </w:rPr>
        <w:t>Omsk, Russia</w:t>
      </w:r>
    </w:p>
    <w:p w:rsidR="007112D4" w:rsidRPr="007112D4" w:rsidRDefault="007112D4" w:rsidP="007112D4">
      <w:pPr>
        <w:pStyle w:val="a8"/>
        <w:rPr>
          <w:szCs w:val="28"/>
          <w:lang w:val="en-US"/>
        </w:rPr>
      </w:pPr>
    </w:p>
    <w:p w:rsidR="007112D4" w:rsidRPr="007112D4" w:rsidRDefault="007112D4" w:rsidP="007112D4">
      <w:pPr>
        <w:pStyle w:val="a8"/>
        <w:rPr>
          <w:szCs w:val="28"/>
          <w:lang w:val="en-US"/>
        </w:rPr>
      </w:pPr>
    </w:p>
    <w:p w:rsidR="00001C0F" w:rsidRPr="007112D4" w:rsidRDefault="007112D4" w:rsidP="007112D4">
      <w:pPr>
        <w:spacing w:after="0" w:line="351" w:lineRule="atLeast"/>
        <w:ind w:firstLine="709"/>
        <w:jc w:val="both"/>
        <w:rPr>
          <w:rFonts w:ascii="Times New Roman" w:eastAsia="Times New Roman" w:hAnsi="Times New Roman" w:cs="Times New Roman"/>
          <w:sz w:val="28"/>
          <w:szCs w:val="28"/>
          <w:lang w:val="en-US"/>
        </w:rPr>
      </w:pPr>
      <w:r w:rsidRPr="007112D4">
        <w:rPr>
          <w:rFonts w:ascii="Times New Roman" w:hAnsi="Times New Roman" w:cs="Times New Roman"/>
          <w:b/>
          <w:sz w:val="28"/>
          <w:szCs w:val="28"/>
          <w:lang w:val="en-US"/>
        </w:rPr>
        <w:t>Key</w:t>
      </w:r>
      <w:r w:rsidRPr="007112D4">
        <w:rPr>
          <w:rFonts w:ascii="Times New Roman" w:hAnsi="Times New Roman" w:cs="Times New Roman"/>
          <w:b/>
          <w:sz w:val="28"/>
          <w:szCs w:val="28"/>
          <w:lang w:val="uk-UA"/>
        </w:rPr>
        <w:t xml:space="preserve"> </w:t>
      </w:r>
      <w:r w:rsidRPr="007112D4">
        <w:rPr>
          <w:rFonts w:ascii="Times New Roman" w:hAnsi="Times New Roman" w:cs="Times New Roman"/>
          <w:b/>
          <w:sz w:val="28"/>
          <w:szCs w:val="28"/>
          <w:lang w:val="en-US"/>
        </w:rPr>
        <w:t>words:</w:t>
      </w:r>
      <w:r w:rsidRPr="007112D4">
        <w:rPr>
          <w:rFonts w:ascii="Times New Roman" w:hAnsi="Times New Roman" w:cs="Times New Roman"/>
          <w:sz w:val="28"/>
          <w:szCs w:val="28"/>
          <w:lang w:val="en-US"/>
        </w:rPr>
        <w:t xml:space="preserve"> </w:t>
      </w:r>
      <w:hyperlink r:id="rId7" w:history="1">
        <w:r w:rsidRPr="007112D4">
          <w:rPr>
            <w:rStyle w:val="a4"/>
            <w:rFonts w:ascii="Times New Roman" w:hAnsi="Times New Roman" w:cs="Times New Roman"/>
            <w:color w:val="auto"/>
            <w:sz w:val="28"/>
            <w:szCs w:val="28"/>
            <w:u w:val="none"/>
            <w:lang w:val="en-US"/>
          </w:rPr>
          <w:t>stomach</w:t>
        </w:r>
      </w:hyperlink>
      <w:r w:rsidRPr="007112D4">
        <w:rPr>
          <w:rFonts w:ascii="Times New Roman" w:hAnsi="Times New Roman" w:cs="Times New Roman"/>
          <w:sz w:val="28"/>
          <w:szCs w:val="28"/>
          <w:lang w:val="en-US"/>
        </w:rPr>
        <w:t xml:space="preserve">, Helicobacter pylori, </w:t>
      </w:r>
      <w:hyperlink r:id="rId8" w:history="1">
        <w:r w:rsidRPr="007112D4">
          <w:rPr>
            <w:rStyle w:val="a4"/>
            <w:rFonts w:ascii="Times New Roman" w:hAnsi="Times New Roman" w:cs="Times New Roman"/>
            <w:color w:val="auto"/>
            <w:sz w:val="28"/>
            <w:szCs w:val="28"/>
            <w:u w:val="none"/>
            <w:lang w:val="en-US"/>
          </w:rPr>
          <w:t>strains</w:t>
        </w:r>
      </w:hyperlink>
      <w:r w:rsidRPr="007112D4">
        <w:rPr>
          <w:rFonts w:ascii="Times New Roman" w:hAnsi="Times New Roman" w:cs="Times New Roman"/>
          <w:sz w:val="28"/>
          <w:szCs w:val="28"/>
          <w:lang w:val="en-US"/>
        </w:rPr>
        <w:t>, genotype, non-steroidal anti-inflammatory drugs</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Non-steroidal anti-inflammatory drugs (NSAIDs) and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infection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is 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major,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widely recognized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bubbled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factor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damage to</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gastric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mucosa.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NSAIDs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the most important are "symptomatic" means, especially in the treatment of rheumatic diseases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5],</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which is determined by a combination of anti-</w:t>
      </w:r>
      <w:proofErr w:type="spellStart"/>
      <w:r w:rsidRPr="00001C0F">
        <w:rPr>
          <w:rFonts w:ascii="Times New Roman" w:eastAsia="Times New Roman" w:hAnsi="Times New Roman" w:cs="Times New Roman"/>
          <w:color w:val="000000"/>
          <w:sz w:val="28"/>
          <w:lang w:val="en-US"/>
        </w:rPr>
        <w:t>inflammatory,analgesic</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antipyretic 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anti-thrombotic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properties needed for the main relief of symptoms characteristic of this pathology.</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At the same time about one third of the population in Europe and North America and 90% in the developing world are chronic carriers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3</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0].</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There is currently no consensus on the optimal tactics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patients,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long-term NSAID users and infected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[6].</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show whether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these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factor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1"/>
          <w:sz w:val="28"/>
          <w:lang w:val="en-US"/>
        </w:rPr>
        <w:t>a synergistic 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antagonistic effect is controversial</w:t>
      </w:r>
      <w:r w:rsidR="007112D4">
        <w:rPr>
          <w:rFonts w:ascii="Times New Roman" w:eastAsia="Times New Roman" w:hAnsi="Times New Roman" w:cs="Times New Roman"/>
          <w:color w:val="000000"/>
          <w:spacing w:val="1"/>
          <w:sz w:val="28"/>
          <w:lang w:val="en-US"/>
        </w:rPr>
        <w:t xml:space="preserve"> </w:t>
      </w:r>
      <w:r w:rsidRPr="00001C0F">
        <w:rPr>
          <w:rFonts w:ascii="Times New Roman" w:eastAsia="Times New Roman" w:hAnsi="Times New Roman" w:cs="Times New Roman"/>
          <w:color w:val="000000"/>
          <w:spacing w:val="1"/>
          <w:sz w:val="28"/>
          <w:lang w:val="en-US"/>
        </w:rPr>
        <w:t>[2].</w:t>
      </w:r>
      <w:r w:rsidR="007112D4">
        <w:rPr>
          <w:rFonts w:ascii="Times New Roman" w:eastAsia="Times New Roman" w:hAnsi="Times New Roman" w:cs="Times New Roman"/>
          <w:color w:val="000000"/>
          <w:sz w:val="28"/>
          <w:szCs w:val="28"/>
          <w:lang w:val="en-US"/>
        </w:rPr>
        <w:t xml:space="preserve"> </w:t>
      </w:r>
      <w:r w:rsidR="007112D4">
        <w:rPr>
          <w:rFonts w:ascii="Times New Roman" w:eastAsia="Times New Roman" w:hAnsi="Times New Roman" w:cs="Times New Roman"/>
          <w:color w:val="000000"/>
          <w:spacing w:val="1"/>
          <w:sz w:val="28"/>
          <w:lang w:val="en-US"/>
        </w:rPr>
        <w:t>Meta-analysis by</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J.</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Q.</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Huang</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1"/>
          <w:sz w:val="28"/>
          <w:lang w:val="en-US"/>
        </w:rPr>
        <w:t>et al.</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1"/>
          <w:sz w:val="28"/>
          <w:lang w:val="en-US"/>
        </w:rPr>
        <w:t>showed that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risk of peptic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ulcers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some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60</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1"/>
          <w:sz w:val="28"/>
          <w:lang w:val="en-US"/>
        </w:rPr>
        <w:t>times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higher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in</w:t>
      </w:r>
      <w:r w:rsidR="007112D4">
        <w:rPr>
          <w:rFonts w:ascii="Times New Roman" w:eastAsia="Times New Roman" w:hAnsi="Times New Roman" w:cs="Times New Roman"/>
          <w:color w:val="000000"/>
          <w:sz w:val="28"/>
          <w:szCs w:val="28"/>
          <w:lang w:val="en-US"/>
        </w:rPr>
        <w:t xml:space="preserve"> </w:t>
      </w:r>
      <w:r w:rsidR="007112D4">
        <w:rPr>
          <w:rFonts w:ascii="Times New Roman" w:eastAsia="Times New Roman" w:hAnsi="Times New Roman" w:cs="Times New Roman"/>
          <w:color w:val="000000"/>
          <w:spacing w:val="-2"/>
          <w:sz w:val="28"/>
          <w:lang w:val="en-US"/>
        </w:rPr>
        <w:t>patients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with the positive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results of research</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NSAID</w:t>
      </w:r>
      <w:r w:rsidR="007112D4">
        <w:rPr>
          <w:rFonts w:ascii="Times New Roman" w:eastAsia="Times New Roman" w:hAnsi="Times New Roman" w:cs="Times New Roman"/>
          <w:color w:val="000000"/>
          <w:spacing w:val="-2"/>
          <w:sz w:val="28"/>
          <w:lang w:val="en-US"/>
        </w:rPr>
        <w:t xml:space="preserve"> </w:t>
      </w:r>
      <w:r w:rsidRPr="00001C0F">
        <w:rPr>
          <w:rFonts w:ascii="Times New Roman" w:eastAsia="Times New Roman" w:hAnsi="Times New Roman" w:cs="Times New Roman"/>
          <w:color w:val="000000"/>
          <w:spacing w:val="-2"/>
          <w:sz w:val="28"/>
          <w:lang w:val="en-US"/>
        </w:rPr>
        <w:t>users</w:t>
      </w:r>
      <w:r w:rsidR="007112D4">
        <w:rPr>
          <w:rFonts w:ascii="Times New Roman" w:eastAsia="Times New Roman" w:hAnsi="Times New Roman" w:cs="Times New Roman"/>
          <w:color w:val="000000"/>
          <w:spacing w:val="-2"/>
          <w:sz w:val="28"/>
          <w:lang w:val="en-US"/>
        </w:rPr>
        <w:t xml:space="preserve"> </w:t>
      </w:r>
      <w:r w:rsidRPr="00001C0F">
        <w:rPr>
          <w:rFonts w:ascii="Times New Roman" w:eastAsia="Times New Roman" w:hAnsi="Times New Roman" w:cs="Times New Roman"/>
          <w:color w:val="000000"/>
          <w:spacing w:val="-2"/>
          <w:sz w:val="28"/>
          <w:lang w:val="en-US"/>
        </w:rPr>
        <w:t>[12].</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But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clinical</w:t>
      </w:r>
      <w:r w:rsidR="007112D4">
        <w:rPr>
          <w:rFonts w:ascii="Times New Roman" w:eastAsia="Times New Roman" w:hAnsi="Times New Roman" w:cs="Times New Roman"/>
          <w:color w:val="000000"/>
          <w:sz w:val="28"/>
          <w:lang w:val="en-US"/>
        </w:rPr>
        <w:t xml:space="preserve"> study by</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C.</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J.</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z w:val="28"/>
          <w:lang w:val="en-US"/>
        </w:rPr>
        <w:t>Hawkey</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et al.</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demonstrated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that after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eradication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pacing w:val="-2"/>
          <w:sz w:val="28"/>
          <w:lang w:val="en-US"/>
        </w:rPr>
        <w:t xml:space="preserve"> </w:t>
      </w:r>
      <w:r w:rsidRPr="00001C0F">
        <w:rPr>
          <w:rFonts w:ascii="Times New Roman" w:eastAsia="Times New Roman" w:hAnsi="Times New Roman" w:cs="Times New Roman"/>
          <w:color w:val="000000"/>
          <w:spacing w:val="-1"/>
          <w:sz w:val="28"/>
          <w:lang w:val="en-US"/>
        </w:rPr>
        <w:t>healing ulcerative lesions of the gastric mucosa in host NSAIDs is somewhat delayed after treatment</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z w:val="28"/>
          <w:lang w:val="en-US"/>
        </w:rPr>
        <w:t>omeprazole</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implying that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may have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 protective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effect against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NSAID</w:t>
      </w:r>
      <w:r w:rsidR="007112D4">
        <w:rPr>
          <w:rFonts w:ascii="Times New Roman" w:eastAsia="Times New Roman" w:hAnsi="Times New Roman" w:cs="Times New Roman"/>
          <w:color w:val="000000"/>
          <w:sz w:val="28"/>
          <w:lang w:val="en-US"/>
        </w:rPr>
        <w:t xml:space="preserve"> — </w:t>
      </w:r>
      <w:r w:rsidRPr="00001C0F">
        <w:rPr>
          <w:rFonts w:ascii="Times New Roman" w:eastAsia="Times New Roman" w:hAnsi="Times New Roman" w:cs="Times New Roman"/>
          <w:color w:val="000000"/>
          <w:sz w:val="28"/>
          <w:lang w:val="en-US"/>
        </w:rPr>
        <w:t>the induced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ulcers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may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way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by stimulating the mucous membrane of prostaglandins and other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9"/>
          <w:sz w:val="28"/>
          <w:lang w:val="en-US"/>
        </w:rPr>
        <w:t>protective</w:t>
      </w:r>
      <w:r w:rsidR="007112D4">
        <w:rPr>
          <w:rFonts w:ascii="Times New Roman" w:eastAsia="Times New Roman" w:hAnsi="Times New Roman" w:cs="Times New Roman"/>
          <w:color w:val="000000"/>
          <w:spacing w:val="-9"/>
          <w:sz w:val="28"/>
          <w:lang w:val="en-US"/>
        </w:rPr>
        <w:t xml:space="preserve"> </w:t>
      </w:r>
      <w:r w:rsidRPr="00001C0F">
        <w:rPr>
          <w:rFonts w:ascii="Times New Roman" w:eastAsia="Times New Roman" w:hAnsi="Times New Roman" w:cs="Times New Roman"/>
          <w:color w:val="000000"/>
          <w:spacing w:val="-9"/>
          <w:sz w:val="28"/>
          <w:lang w:val="en-US"/>
        </w:rPr>
        <w:t>factors.</w:t>
      </w:r>
      <w:r w:rsidR="007112D4">
        <w:rPr>
          <w:rFonts w:ascii="Times New Roman" w:eastAsia="Times New Roman" w:hAnsi="Times New Roman" w:cs="Times New Roman"/>
          <w:color w:val="000000"/>
          <w:spacing w:val="-9"/>
          <w:sz w:val="28"/>
          <w:lang w:val="en-US"/>
        </w:rPr>
        <w:t xml:space="preserve"> </w:t>
      </w:r>
      <w:r w:rsidRPr="00001C0F">
        <w:rPr>
          <w:rFonts w:ascii="Times New Roman" w:eastAsia="Times New Roman" w:hAnsi="Times New Roman" w:cs="Times New Roman"/>
          <w:color w:val="000000"/>
          <w:spacing w:val="-9"/>
          <w:sz w:val="28"/>
          <w:lang w:val="en-US"/>
        </w:rPr>
        <w:t>[17]</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proofErr w:type="gramStart"/>
      <w:r w:rsidRPr="00001C0F">
        <w:rPr>
          <w:rFonts w:ascii="Times New Roman" w:eastAsia="Times New Roman" w:hAnsi="Times New Roman" w:cs="Times New Roman"/>
          <w:b/>
          <w:bCs/>
          <w:color w:val="000000"/>
          <w:sz w:val="28"/>
          <w:lang w:val="en-US"/>
        </w:rPr>
        <w:t xml:space="preserve">The </w:t>
      </w:r>
      <w:r w:rsidR="007112D4">
        <w:rPr>
          <w:rFonts w:ascii="Times New Roman" w:eastAsia="Times New Roman" w:hAnsi="Times New Roman" w:cs="Times New Roman"/>
          <w:b/>
          <w:bCs/>
          <w:color w:val="000000"/>
          <w:sz w:val="28"/>
          <w:lang w:val="en-US"/>
        </w:rPr>
        <w:t>aim</w:t>
      </w:r>
      <w:r w:rsidRPr="00001C0F">
        <w:rPr>
          <w:rFonts w:ascii="Times New Roman" w:eastAsia="Times New Roman" w:hAnsi="Times New Roman" w:cs="Times New Roman"/>
          <w:b/>
          <w:bCs/>
          <w:color w:val="000000"/>
          <w:sz w:val="28"/>
          <w:lang w:val="en-US"/>
        </w:rPr>
        <w:t xml:space="preserve">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b/>
          <w:bCs/>
          <w:color w:val="000000"/>
          <w:sz w:val="28"/>
          <w:lang w:val="en-US"/>
        </w:rPr>
        <w:t>the study</w:t>
      </w:r>
      <w:r w:rsidR="007112D4">
        <w:rPr>
          <w:rFonts w:ascii="Times New Roman" w:eastAsia="Times New Roman" w:hAnsi="Times New Roman" w:cs="Times New Roman"/>
          <w:color w:val="000000"/>
          <w:sz w:val="28"/>
          <w:szCs w:val="28"/>
          <w:lang w:val="en-US"/>
        </w:rPr>
        <w:t xml:space="preserve"> — </w:t>
      </w:r>
      <w:r w:rsidRPr="00001C0F">
        <w:rPr>
          <w:rFonts w:ascii="Times New Roman" w:eastAsia="Times New Roman" w:hAnsi="Times New Roman" w:cs="Times New Roman"/>
          <w:color w:val="000000"/>
          <w:sz w:val="28"/>
          <w:lang w:val="en-US"/>
        </w:rPr>
        <w:t>the study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strains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gastric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mucosa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adult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patients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receiving</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NSAIDs.</w:t>
      </w:r>
      <w:proofErr w:type="gramEnd"/>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proofErr w:type="gramStart"/>
      <w:r w:rsidRPr="00001C0F">
        <w:rPr>
          <w:rFonts w:ascii="Times New Roman" w:eastAsia="Times New Roman" w:hAnsi="Times New Roman" w:cs="Times New Roman"/>
          <w:b/>
          <w:bCs/>
          <w:color w:val="000000"/>
          <w:sz w:val="28"/>
          <w:lang w:val="en-US"/>
        </w:rPr>
        <w:t>Materials and</w:t>
      </w:r>
      <w:r w:rsidR="007112D4">
        <w:rPr>
          <w:rFonts w:ascii="Times New Roman" w:eastAsia="Times New Roman" w:hAnsi="Times New Roman" w:cs="Times New Roman"/>
          <w:b/>
          <w:bCs/>
          <w:color w:val="000000"/>
          <w:sz w:val="28"/>
          <w:lang w:val="en-US"/>
        </w:rPr>
        <w:t xml:space="preserve"> m</w:t>
      </w:r>
      <w:r w:rsidRPr="00001C0F">
        <w:rPr>
          <w:rFonts w:ascii="Times New Roman" w:eastAsia="Times New Roman" w:hAnsi="Times New Roman" w:cs="Times New Roman"/>
          <w:b/>
          <w:bCs/>
          <w:color w:val="000000"/>
          <w:sz w:val="28"/>
          <w:lang w:val="en-US"/>
        </w:rPr>
        <w:t>ethods.</w:t>
      </w:r>
      <w:proofErr w:type="gram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The study included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about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34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patient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(May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men 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19</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women, mean age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56</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7,</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46).</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The subjects were divided into</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three groups, with additional</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criterion for inclusion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 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 Group II was the patient's use of NSAIDs for at least 30 calendar days prior to the study.</w:t>
      </w:r>
    </w:p>
    <w:p w:rsidR="00001C0F" w:rsidRPr="00001C0F" w:rsidRDefault="007112D4" w:rsidP="00001C0F">
      <w:pPr>
        <w:numPr>
          <w:ilvl w:val="0"/>
          <w:numId w:val="1"/>
        </w:numPr>
        <w:spacing w:after="0" w:line="351" w:lineRule="atLeast"/>
        <w:ind w:left="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14"/>
          <w:szCs w:val="14"/>
          <w:lang w:val="en-US"/>
        </w:rPr>
        <w:t xml:space="preserve"> </w:t>
      </w:r>
      <w:r w:rsidR="00001C0F" w:rsidRPr="00001C0F">
        <w:rPr>
          <w:rFonts w:ascii="Times New Roman" w:eastAsia="Times New Roman" w:hAnsi="Times New Roman" w:cs="Times New Roman"/>
          <w:color w:val="000000"/>
          <w:sz w:val="28"/>
          <w:lang w:val="en-US"/>
        </w:rPr>
        <w:t>Group</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I</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patients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receiving</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diclofenac</w:t>
      </w:r>
      <w:proofErr w:type="spellEnd"/>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at a dose of 100 mg per day (16 persons,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the average age of 60,3 ±</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1,28);</w:t>
      </w:r>
    </w:p>
    <w:p w:rsidR="00001C0F" w:rsidRPr="00001C0F" w:rsidRDefault="007112D4" w:rsidP="00001C0F">
      <w:pPr>
        <w:numPr>
          <w:ilvl w:val="0"/>
          <w:numId w:val="1"/>
        </w:numPr>
        <w:spacing w:after="0" w:line="351" w:lineRule="atLeast"/>
        <w:ind w:left="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14"/>
          <w:szCs w:val="14"/>
          <w:lang w:val="en-US"/>
        </w:rPr>
        <w:t xml:space="preserve"> </w:t>
      </w:r>
      <w:r w:rsidR="00001C0F" w:rsidRPr="00001C0F">
        <w:rPr>
          <w:rFonts w:ascii="Times New Roman" w:eastAsia="Times New Roman" w:hAnsi="Times New Roman" w:cs="Times New Roman"/>
          <w:color w:val="000000"/>
          <w:sz w:val="28"/>
          <w:lang w:val="en-US"/>
        </w:rPr>
        <w:t>Group</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II</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patients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receiving</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therapy</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meloxicam</w:t>
      </w:r>
      <w:proofErr w:type="spellEnd"/>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 dose of 15 mg per day (11 men,</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mean age 58,3 ±</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1,28);</w:t>
      </w:r>
    </w:p>
    <w:p w:rsidR="00001C0F" w:rsidRPr="00001C0F" w:rsidRDefault="007112D4" w:rsidP="00001C0F">
      <w:pPr>
        <w:numPr>
          <w:ilvl w:val="0"/>
          <w:numId w:val="1"/>
        </w:numPr>
        <w:spacing w:after="0" w:line="351" w:lineRule="atLeast"/>
        <w:ind w:left="0"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14"/>
          <w:szCs w:val="14"/>
          <w:lang w:val="en-US"/>
        </w:rPr>
        <w:lastRenderedPageBreak/>
        <w:t xml:space="preserve"> </w:t>
      </w:r>
      <w:r w:rsidR="00001C0F" w:rsidRPr="00001C0F">
        <w:rPr>
          <w:rFonts w:ascii="Times New Roman" w:eastAsia="Times New Roman" w:hAnsi="Times New Roman" w:cs="Times New Roman"/>
          <w:color w:val="000000"/>
          <w:sz w:val="28"/>
          <w:lang w:val="en-US"/>
        </w:rPr>
        <w:t>Group</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III</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CONTROL</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Ordering</w:t>
      </w:r>
      <w:r>
        <w:rPr>
          <w:rFonts w:ascii="Times New Roman" w:eastAsia="Times New Roman" w:hAnsi="Times New Roman" w:cs="Times New Roman"/>
          <w:color w:val="000000"/>
          <w:sz w:val="28"/>
          <w:szCs w:val="28"/>
          <w:lang w:val="en-US"/>
        </w:rPr>
        <w:t xml:space="preserve"> — </w:t>
      </w:r>
      <w:r w:rsidR="00001C0F" w:rsidRPr="00001C0F">
        <w:rPr>
          <w:rFonts w:ascii="Times New Roman" w:eastAsia="Times New Roman" w:hAnsi="Times New Roman" w:cs="Times New Roman"/>
          <w:color w:val="000000"/>
          <w:sz w:val="28"/>
          <w:lang w:val="en-US"/>
        </w:rPr>
        <w:t>persons who do not take NSAIDs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(7 people,</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average age</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46,</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3</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1</w:t>
      </w:r>
      <w:proofErr w:type="gramStart"/>
      <w:r w:rsidR="00001C0F" w:rsidRPr="00001C0F">
        <w:rPr>
          <w:rFonts w:ascii="Times New Roman" w:eastAsia="Times New Roman" w:hAnsi="Times New Roman" w:cs="Times New Roman"/>
          <w:color w:val="000000"/>
          <w:sz w:val="28"/>
          <w:lang w:val="en-US"/>
        </w:rPr>
        <w:t>,57</w:t>
      </w:r>
      <w:proofErr w:type="gramEnd"/>
      <w:r w:rsidR="00001C0F" w:rsidRPr="00001C0F">
        <w:rPr>
          <w:rFonts w:ascii="Times New Roman" w:eastAsia="Times New Roman" w:hAnsi="Times New Roman" w:cs="Times New Roman"/>
          <w:color w:val="000000"/>
          <w:sz w:val="28"/>
          <w:lang w:val="en-US"/>
        </w:rPr>
        <w:t>).</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All patients underwent</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esophagogastroduodenoscopy</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with biopsies for further histological studies 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by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polymerase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chain reaction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(PCR).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It should be noted that because the study excluded persons to whom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eradication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was carried out earlier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 taking proton pump inhibitors for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six</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monthspreceding</w:t>
      </w:r>
      <w:proofErr w:type="spellEnd"/>
      <w:r w:rsidRPr="00001C0F">
        <w:rPr>
          <w:rFonts w:ascii="Times New Roman" w:eastAsia="Times New Roman" w:hAnsi="Times New Roman" w:cs="Times New Roman"/>
          <w:color w:val="000000"/>
          <w:sz w:val="28"/>
          <w:lang w:val="en-US"/>
        </w:rPr>
        <w:t xml:space="preserve"> 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second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study.</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The fragments of the gastric mucosa obtained during biopsy were fixed in a 10% solution of neutral formalin and poured into paraffin according to the generally accepted procedure.</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Genotyping</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carried out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biopsies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Gastric</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antral</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department PCR (a test system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t>
      </w:r>
      <w:proofErr w:type="spellStart"/>
      <w:r w:rsidRPr="00001C0F">
        <w:rPr>
          <w:rFonts w:ascii="Times New Roman" w:eastAsia="Times New Roman" w:hAnsi="Times New Roman" w:cs="Times New Roman"/>
          <w:color w:val="000000"/>
          <w:sz w:val="28"/>
          <w:lang w:val="en-US"/>
        </w:rPr>
        <w:t>Helikopol</w:t>
      </w:r>
      <w:proofErr w:type="spellEnd"/>
      <w:r w:rsidRPr="00001C0F">
        <w:rPr>
          <w:rFonts w:ascii="Times New Roman" w:eastAsia="Times New Roman" w:hAnsi="Times New Roman" w:cs="Times New Roman"/>
          <w:color w:val="000000"/>
          <w:sz w:val="28"/>
          <w:lang w:val="en-US"/>
        </w:rPr>
        <w:t>-II</w:t>
      </w:r>
      <w:r w:rsidR="007112D4"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by </w:t>
      </w:r>
      <w:r w:rsidRPr="00001C0F">
        <w:rPr>
          <w:rFonts w:ascii="Times New Roman" w:eastAsia="Times New Roman" w:hAnsi="Times New Roman" w:cs="Times New Roman"/>
          <w:color w:val="000000"/>
          <w:sz w:val="28"/>
          <w:lang w:val="en-US"/>
        </w:rPr>
        <w:t>"</w:t>
      </w:r>
      <w:proofErr w:type="spellStart"/>
      <w:r w:rsidRPr="00001C0F">
        <w:rPr>
          <w:rFonts w:ascii="Times New Roman" w:eastAsia="Times New Roman" w:hAnsi="Times New Roman" w:cs="Times New Roman"/>
          <w:color w:val="000000"/>
          <w:sz w:val="28"/>
          <w:lang w:val="en-US"/>
        </w:rPr>
        <w:t>Liteh</w:t>
      </w:r>
      <w:proofErr w:type="spellEnd"/>
      <w:r w:rsidR="007112D4"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(Russia</w:t>
      </w:r>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Determines the presence of genes</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cag</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 and</w:t>
      </w:r>
      <w:r w:rsidR="007112D4">
        <w:rPr>
          <w:rFonts w:ascii="Times New Roman" w:eastAsia="Times New Roman" w:hAnsi="Times New Roman" w:cs="Times New Roman"/>
          <w:color w:val="000000"/>
          <w:sz w:val="28"/>
          <w:lang w:val="en-US"/>
        </w:rPr>
        <w:t xml:space="preserve"> </w:t>
      </w:r>
      <w:proofErr w:type="spellStart"/>
      <w:proofErr w:type="gramStart"/>
      <w:r w:rsidRPr="00001C0F">
        <w:rPr>
          <w:rFonts w:ascii="Times New Roman" w:eastAsia="Times New Roman" w:hAnsi="Times New Roman" w:cs="Times New Roman"/>
          <w:color w:val="000000"/>
          <w:sz w:val="28"/>
          <w:lang w:val="en-US"/>
        </w:rPr>
        <w:t>bab</w:t>
      </w:r>
      <w:proofErr w:type="spellEnd"/>
      <w:proofErr w:type="gram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A2, and a polymorphism gene</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on signal and a middle portion (subtypes s1 / s2 and m1 / m2, respectively) 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ice</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 (subtypes iceA1 / iceA2).</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Statistically development investigated contingent information included examination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 strains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 patients receiving NSAIDs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given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nature of gastric mucosal pathology (gastritis / erosive and ulcerative changes).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To estimate the significant difference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between the sampling lobes calculated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Student's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t-test.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Changes were considered statistically significant at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05.</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Statistical processing carried out using the packet</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z w:val="28"/>
          <w:lang w:val="en-US"/>
        </w:rPr>
        <w:t>Statistica</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6.0.</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proofErr w:type="gramStart"/>
      <w:r w:rsidRPr="00001C0F">
        <w:rPr>
          <w:rFonts w:ascii="Times New Roman" w:eastAsia="Times New Roman" w:hAnsi="Times New Roman" w:cs="Times New Roman"/>
          <w:b/>
          <w:bCs/>
          <w:color w:val="000000"/>
          <w:sz w:val="28"/>
          <w:lang w:val="en-US"/>
        </w:rPr>
        <w:t>Results of own research.</w:t>
      </w:r>
      <w:proofErr w:type="gram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Based on the results we have obtained 12 combinations of genotypes were identified</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cag</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bab</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ice</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(see Table</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1).</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overall structure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test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biopsies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were most often identified genotype</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proofErr w:type="gramStart"/>
      <w:r w:rsidRPr="00001C0F">
        <w:rPr>
          <w:rFonts w:ascii="Times New Roman" w:eastAsia="Times New Roman" w:hAnsi="Times New Roman" w:cs="Times New Roman"/>
          <w:i/>
          <w:iCs/>
          <w:color w:val="000000"/>
          <w:sz w:val="28"/>
          <w:lang w:val="en-US"/>
        </w:rPr>
        <w:t>A</w:t>
      </w:r>
      <w:proofErr w:type="gram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s1 / m1;</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cag</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iceA1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(7</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34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cases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(20.58%),</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&lt;0.05).</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The distribution of genotypes 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clinical</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groups was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enough heterogeneous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(Table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w:t>
      </w:r>
    </w:p>
    <w:p w:rsidR="00001C0F" w:rsidRPr="00001C0F" w:rsidRDefault="00001C0F" w:rsidP="00001C0F">
      <w:pPr>
        <w:spacing w:after="0" w:line="351" w:lineRule="atLeast"/>
        <w:jc w:val="right"/>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Table 1</w:t>
      </w:r>
    </w:p>
    <w:p w:rsidR="00001C0F" w:rsidRPr="00001C0F" w:rsidRDefault="00001C0F" w:rsidP="00001C0F">
      <w:pPr>
        <w:spacing w:after="0" w:line="240" w:lineRule="auto"/>
        <w:ind w:firstLine="284"/>
        <w:jc w:val="center"/>
        <w:rPr>
          <w:rFonts w:ascii="Times New Roman" w:eastAsia="Times New Roman" w:hAnsi="Times New Roman" w:cs="Times New Roman"/>
          <w:color w:val="000000"/>
          <w:sz w:val="27"/>
          <w:szCs w:val="27"/>
          <w:lang w:val="en-US"/>
        </w:rPr>
      </w:pPr>
      <w:r w:rsidRPr="00001C0F">
        <w:rPr>
          <w:rFonts w:ascii="Times New Roman" w:eastAsia="Times New Roman" w:hAnsi="Times New Roman" w:cs="Times New Roman"/>
          <w:b/>
          <w:bCs/>
          <w:color w:val="000000"/>
          <w:sz w:val="28"/>
          <w:lang w:val="en-US"/>
        </w:rPr>
        <w:t>The genotypes of the strains</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b/>
          <w:bCs/>
          <w:color w:val="000000"/>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isolated from</w:t>
      </w:r>
      <w:r w:rsidR="007112D4">
        <w:rPr>
          <w:rFonts w:ascii="Times New Roman" w:eastAsia="Times New Roman" w:hAnsi="Times New Roman" w:cs="Times New Roman"/>
          <w:color w:val="000000"/>
          <w:sz w:val="27"/>
          <w:lang w:val="en-US"/>
        </w:rPr>
        <w:t xml:space="preserve"> </w:t>
      </w:r>
      <w:r w:rsidR="007112D4" w:rsidRPr="007112D4">
        <w:rPr>
          <w:rFonts w:ascii="Times New Roman" w:eastAsia="Times New Roman" w:hAnsi="Times New Roman" w:cs="Times New Roman"/>
          <w:b/>
          <w:bCs/>
          <w:color w:val="000000"/>
          <w:sz w:val="28"/>
          <w:lang w:val="en-US"/>
        </w:rPr>
        <w:t>biopsy material</w:t>
      </w:r>
      <w:r w:rsidR="007112D4">
        <w:rPr>
          <w:rFonts w:ascii="Times New Roman" w:eastAsia="Times New Roman" w:hAnsi="Times New Roman" w:cs="Times New Roman"/>
          <w:b/>
          <w:bCs/>
          <w:color w:val="000000"/>
          <w:sz w:val="28"/>
          <w:lang w:val="en-US"/>
        </w:rPr>
        <w:t xml:space="preserve"> of </w:t>
      </w:r>
      <w:r w:rsidRPr="00001C0F">
        <w:rPr>
          <w:rFonts w:ascii="Times New Roman" w:eastAsia="Times New Roman" w:hAnsi="Times New Roman" w:cs="Times New Roman"/>
          <w:b/>
          <w:bCs/>
          <w:color w:val="000000"/>
          <w:sz w:val="28"/>
          <w:lang w:val="en-US"/>
        </w:rPr>
        <w:t>gastric mucosa</w:t>
      </w:r>
      <w:r w:rsidR="007112D4">
        <w:rPr>
          <w:rFonts w:ascii="Times New Roman" w:eastAsia="Times New Roman" w:hAnsi="Times New Roman" w:cs="Times New Roman"/>
          <w:b/>
          <w:bCs/>
          <w:color w:val="000000"/>
          <w:sz w:val="28"/>
          <w:lang w:val="en-US"/>
        </w:rPr>
        <w:t>, divided</w:t>
      </w:r>
      <w:r w:rsidRPr="00001C0F">
        <w:rPr>
          <w:rFonts w:ascii="Times New Roman" w:eastAsia="Times New Roman" w:hAnsi="Times New Roman" w:cs="Times New Roman"/>
          <w:b/>
          <w:bCs/>
          <w:color w:val="000000"/>
          <w:sz w:val="28"/>
          <w:lang w:val="en-US"/>
        </w:rPr>
        <w:t xml:space="preserve"> by the clinical groups</w:t>
      </w:r>
    </w:p>
    <w:p w:rsidR="00001C0F" w:rsidRPr="00001C0F" w:rsidRDefault="007112D4" w:rsidP="00001C0F">
      <w:pPr>
        <w:spacing w:after="0" w:line="240" w:lineRule="auto"/>
        <w:ind w:firstLine="284"/>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b/>
          <w:bCs/>
          <w:i/>
          <w:iCs/>
          <w:color w:val="000000"/>
          <w:sz w:val="28"/>
          <w:szCs w:val="28"/>
          <w:lang w:val="en-US"/>
        </w:rPr>
        <w:t xml:space="preserve"> </w:t>
      </w:r>
    </w:p>
    <w:tbl>
      <w:tblPr>
        <w:tblW w:w="9639" w:type="dxa"/>
        <w:tblCellMar>
          <w:left w:w="0" w:type="dxa"/>
          <w:right w:w="0" w:type="dxa"/>
        </w:tblCellMar>
        <w:tblLook w:val="04A0"/>
      </w:tblPr>
      <w:tblGrid>
        <w:gridCol w:w="738"/>
        <w:gridCol w:w="3997"/>
        <w:gridCol w:w="813"/>
        <w:gridCol w:w="821"/>
        <w:gridCol w:w="814"/>
        <w:gridCol w:w="821"/>
        <w:gridCol w:w="814"/>
        <w:gridCol w:w="821"/>
      </w:tblGrid>
      <w:tr w:rsidR="00001C0F" w:rsidRPr="00001C0F" w:rsidTr="00001C0F">
        <w:tc>
          <w:tcPr>
            <w:tcW w:w="56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No</w:t>
            </w:r>
            <w:proofErr w:type="spellEnd"/>
            <w:r w:rsidRPr="00001C0F">
              <w:rPr>
                <w:rFonts w:ascii="Times New Roman" w:eastAsia="Times New Roman" w:hAnsi="Times New Roman" w:cs="Times New Roman"/>
                <w:b/>
                <w:bCs/>
                <w:sz w:val="20"/>
              </w:rPr>
              <w:t>.</w:t>
            </w:r>
          </w:p>
        </w:tc>
        <w:tc>
          <w:tcPr>
            <w:tcW w:w="4111"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001C0F" w:rsidRPr="00001C0F" w:rsidRDefault="00001C0F" w:rsidP="00001C0F">
            <w:pPr>
              <w:spacing w:after="0" w:line="240" w:lineRule="auto"/>
              <w:jc w:val="center"/>
              <w:rPr>
                <w:rFonts w:ascii="Times New Roman" w:eastAsia="Times New Roman" w:hAnsi="Times New Roman" w:cs="Times New Roman"/>
                <w:sz w:val="24"/>
                <w:szCs w:val="24"/>
                <w:lang w:val="en-US"/>
              </w:rPr>
            </w:pPr>
            <w:r w:rsidRPr="00001C0F">
              <w:rPr>
                <w:rFonts w:ascii="Times New Roman" w:eastAsia="Times New Roman" w:hAnsi="Times New Roman" w:cs="Times New Roman"/>
                <w:b/>
                <w:bCs/>
                <w:sz w:val="20"/>
                <w:lang w:val="en-US"/>
              </w:rPr>
              <w:t>The genotypes of</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b/>
                <w:bCs/>
                <w:sz w:val="20"/>
                <w:lang w:val="en-US"/>
              </w:rPr>
              <w:t>Helicobacter pylori</w:t>
            </w:r>
          </w:p>
        </w:tc>
        <w:tc>
          <w:tcPr>
            <w:tcW w:w="16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group</w:t>
            </w:r>
            <w:proofErr w:type="spellEnd"/>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I</w:t>
            </w:r>
          </w:p>
        </w:tc>
        <w:tc>
          <w:tcPr>
            <w:tcW w:w="16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group</w:t>
            </w:r>
            <w:proofErr w:type="spellEnd"/>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II</w:t>
            </w:r>
          </w:p>
        </w:tc>
        <w:tc>
          <w:tcPr>
            <w:tcW w:w="16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7112D4" w:rsidP="00001C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0"/>
                <w:lang w:val="en-US"/>
              </w:rPr>
              <w:t>g</w:t>
            </w:r>
            <w:proofErr w:type="spellStart"/>
            <w:r w:rsidR="00001C0F" w:rsidRPr="00001C0F">
              <w:rPr>
                <w:rFonts w:ascii="Times New Roman" w:eastAsia="Times New Roman" w:hAnsi="Times New Roman" w:cs="Times New Roman"/>
                <w:b/>
                <w:bCs/>
                <w:sz w:val="20"/>
              </w:rPr>
              <w:t>roup</w:t>
            </w:r>
            <w:proofErr w:type="spellEnd"/>
            <w:r>
              <w:rPr>
                <w:rFonts w:ascii="Times New Roman" w:eastAsia="Times New Roman" w:hAnsi="Times New Roman" w:cs="Times New Roman"/>
                <w:sz w:val="24"/>
                <w:szCs w:val="24"/>
              </w:rPr>
              <w:t xml:space="preserve"> </w:t>
            </w:r>
            <w:r w:rsidR="00001C0F" w:rsidRPr="00001C0F">
              <w:rPr>
                <w:rFonts w:ascii="Times New Roman" w:eastAsia="Times New Roman" w:hAnsi="Times New Roman" w:cs="Times New Roman"/>
                <w:b/>
                <w:bCs/>
                <w:sz w:val="20"/>
              </w:rPr>
              <w:t>II</w:t>
            </w:r>
            <w:r>
              <w:rPr>
                <w:rFonts w:ascii="Times New Roman" w:eastAsia="Times New Roman" w:hAnsi="Times New Roman" w:cs="Times New Roman"/>
                <w:sz w:val="24"/>
                <w:szCs w:val="24"/>
              </w:rPr>
              <w:t xml:space="preserve"> </w:t>
            </w:r>
            <w:r w:rsidR="00001C0F" w:rsidRPr="00001C0F">
              <w:rPr>
                <w:rFonts w:ascii="Times New Roman" w:eastAsia="Times New Roman" w:hAnsi="Times New Roman" w:cs="Times New Roman"/>
                <w:b/>
                <w:bCs/>
                <w:sz w:val="20"/>
              </w:rPr>
              <w:t>I</w:t>
            </w:r>
          </w:p>
        </w:tc>
      </w:tr>
      <w:tr w:rsidR="00001C0F" w:rsidRPr="00001C0F" w:rsidTr="00001C0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1C0F" w:rsidRPr="00001C0F" w:rsidRDefault="00001C0F" w:rsidP="00001C0F">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1C0F" w:rsidRPr="00001C0F" w:rsidRDefault="00001C0F" w:rsidP="00001C0F">
            <w:pPr>
              <w:spacing w:after="0" w:line="240" w:lineRule="auto"/>
              <w:rPr>
                <w:rFonts w:ascii="Times New Roman" w:eastAsia="Times New Roman" w:hAnsi="Times New Roman" w:cs="Times New Roman"/>
                <w:sz w:val="24"/>
                <w:szCs w:val="24"/>
              </w:rPr>
            </w:pP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abs</w:t>
            </w:r>
            <w:proofErr w:type="spellEnd"/>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sz w:val="20"/>
              </w:rPr>
              <w:t>%</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abs</w:t>
            </w:r>
            <w:proofErr w:type="spellEnd"/>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sz w:val="20"/>
              </w:rPr>
              <w:t>%</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abs</w:t>
            </w:r>
            <w:proofErr w:type="spellEnd"/>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sz w:val="20"/>
              </w:rPr>
              <w:t>%</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7112D4" w:rsidP="00001C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0"/>
                <w:szCs w:val="20"/>
              </w:rPr>
              <w:t xml:space="preserve"> </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i/>
                <w:iCs/>
                <w:sz w:val="20"/>
              </w:rPr>
              <w:t>Number</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of</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the</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graph</w:t>
            </w:r>
            <w:proofErr w:type="spellEnd"/>
          </w:p>
        </w:tc>
        <w:tc>
          <w:tcPr>
            <w:tcW w:w="165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i/>
                <w:iCs/>
                <w:sz w:val="20"/>
              </w:rPr>
              <w:t>1</w:t>
            </w:r>
          </w:p>
        </w:tc>
        <w:tc>
          <w:tcPr>
            <w:tcW w:w="16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i/>
                <w:iCs/>
                <w:sz w:val="20"/>
              </w:rPr>
              <w:t>2</w:t>
            </w:r>
          </w:p>
        </w:tc>
        <w:tc>
          <w:tcPr>
            <w:tcW w:w="165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i/>
                <w:iCs/>
                <w:sz w:val="20"/>
              </w:rPr>
              <w:t>3</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r w:rsidRPr="00001C0F">
              <w:rPr>
                <w:rFonts w:ascii="Times New Roman" w:eastAsia="Times New Roman" w:hAnsi="Times New Roman" w:cs="Times New Roman"/>
                <w:sz w:val="20"/>
                <w:lang w:val="en-US"/>
              </w:rPr>
              <w:t>v</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ac</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9.09</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7112D4" w:rsidP="00001C0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r w:rsidRPr="00001C0F">
              <w:rPr>
                <w:rFonts w:ascii="Times New Roman" w:eastAsia="Times New Roman" w:hAnsi="Times New Roman" w:cs="Times New Roman"/>
                <w:sz w:val="20"/>
                <w:lang w:val="en-US"/>
              </w:rPr>
              <w:t>v</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ac</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iceA1</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27.27</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28.57</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14.29</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4</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9.09</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¹ ²</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28.57</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5</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18.18</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28.57</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6th</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7th</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²</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³</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8</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bab</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ice A2</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9</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10</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²</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³</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18.75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9.09</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sz w:val="20"/>
              </w:rPr>
              <w:t>eleven</w:t>
            </w:r>
            <w:proofErr w:type="spellEnd"/>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18.18</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56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12</w:t>
            </w:r>
          </w:p>
        </w:tc>
        <w:tc>
          <w:tcPr>
            <w:tcW w:w="41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bab</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9.09</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82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bl>
    <w:p w:rsidR="00001C0F" w:rsidRPr="00001C0F" w:rsidRDefault="00001C0F" w:rsidP="00001C0F">
      <w:pPr>
        <w:spacing w:after="0" w:line="240" w:lineRule="auto"/>
        <w:jc w:val="both"/>
        <w:rPr>
          <w:rFonts w:ascii="Times New Roman" w:eastAsia="Times New Roman" w:hAnsi="Times New Roman" w:cs="Times New Roman"/>
          <w:color w:val="000000"/>
          <w:sz w:val="27"/>
          <w:szCs w:val="27"/>
          <w:lang w:val="en-US"/>
        </w:rPr>
      </w:pPr>
      <w:r w:rsidRPr="00001C0F">
        <w:rPr>
          <w:rFonts w:ascii="Times New Roman" w:eastAsia="Times New Roman" w:hAnsi="Times New Roman" w:cs="Times New Roman"/>
          <w:b/>
          <w:bCs/>
          <w:color w:val="000000"/>
          <w:sz w:val="20"/>
          <w:lang w:val="en-US"/>
        </w:rPr>
        <w:lastRenderedPageBreak/>
        <w:t xml:space="preserve">Note: </w:t>
      </w:r>
      <w:r w:rsidR="007112D4">
        <w:rPr>
          <w:rFonts w:ascii="Times New Roman" w:eastAsia="Times New Roman" w:hAnsi="Times New Roman" w:cs="Times New Roman"/>
          <w:bCs/>
          <w:color w:val="000000"/>
          <w:sz w:val="20"/>
          <w:lang w:val="en-US"/>
        </w:rPr>
        <w:t>I</w:t>
      </w:r>
      <w:r w:rsidR="007112D4" w:rsidRPr="007112D4">
        <w:rPr>
          <w:rFonts w:ascii="Times New Roman" w:eastAsia="Times New Roman" w:hAnsi="Times New Roman" w:cs="Times New Roman"/>
          <w:bCs/>
          <w:color w:val="000000"/>
          <w:sz w:val="20"/>
          <w:lang w:val="en-US"/>
        </w:rPr>
        <w:t>n this table</w:t>
      </w:r>
      <w:r w:rsidR="007112D4" w:rsidRPr="007112D4">
        <w:rPr>
          <w:rFonts w:ascii="Times New Roman" w:eastAsia="Times New Roman" w:hAnsi="Times New Roman" w:cs="Times New Roman"/>
          <w:b/>
          <w:bCs/>
          <w:color w:val="000000"/>
          <w:sz w:val="20"/>
          <w:lang w:val="en-US"/>
        </w:rPr>
        <w:t xml:space="preserve"> </w:t>
      </w:r>
      <w:r w:rsidR="007112D4">
        <w:rPr>
          <w:rFonts w:ascii="Times New Roman" w:eastAsia="Times New Roman" w:hAnsi="Times New Roman" w:cs="Times New Roman"/>
          <w:bCs/>
          <w:color w:val="000000"/>
          <w:sz w:val="20"/>
          <w:lang w:val="en-US"/>
        </w:rPr>
        <w:t>t</w:t>
      </w:r>
      <w:r w:rsidRPr="007112D4">
        <w:rPr>
          <w:rFonts w:ascii="Times New Roman" w:eastAsia="Times New Roman" w:hAnsi="Times New Roman" w:cs="Times New Roman"/>
          <w:bCs/>
          <w:color w:val="000000"/>
          <w:sz w:val="20"/>
          <w:lang w:val="en-US"/>
        </w:rPr>
        <w:t>he</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0"/>
          <w:lang w:val="en-US"/>
        </w:rPr>
        <w:t>superscript denotes graph</w:t>
      </w:r>
      <w:r w:rsidR="007112D4">
        <w:rPr>
          <w:rFonts w:ascii="Times New Roman" w:eastAsia="Times New Roman" w:hAnsi="Times New Roman" w:cs="Times New Roman"/>
          <w:color w:val="000000"/>
          <w:sz w:val="20"/>
          <w:lang w:val="en-US"/>
        </w:rPr>
        <w:t xml:space="preserve"> number</w:t>
      </w:r>
      <w:r w:rsidRPr="00001C0F">
        <w:rPr>
          <w:rFonts w:ascii="Times New Roman" w:eastAsia="Times New Roman" w:hAnsi="Times New Roman" w:cs="Times New Roman"/>
          <w:color w:val="000000"/>
          <w:sz w:val="20"/>
          <w:lang w:val="en-US"/>
        </w:rPr>
        <w:t xml:space="preserve">, with the index of which </w:t>
      </w:r>
      <w:r w:rsidR="007112D4">
        <w:rPr>
          <w:rFonts w:ascii="Times New Roman" w:eastAsia="Times New Roman" w:hAnsi="Times New Roman" w:cs="Times New Roman"/>
          <w:color w:val="000000"/>
          <w:sz w:val="20"/>
          <w:lang w:val="en-US"/>
        </w:rPr>
        <w:t xml:space="preserve">there </w:t>
      </w:r>
      <w:r w:rsidRPr="00001C0F">
        <w:rPr>
          <w:rFonts w:ascii="Times New Roman" w:eastAsia="Times New Roman" w:hAnsi="Times New Roman" w:cs="Times New Roman"/>
          <w:color w:val="000000"/>
          <w:sz w:val="20"/>
          <w:lang w:val="en-US"/>
        </w:rPr>
        <w:t>are statistically significant differences.</w:t>
      </w:r>
    </w:p>
    <w:p w:rsidR="00001C0F" w:rsidRPr="00001C0F" w:rsidRDefault="007112D4" w:rsidP="00001C0F">
      <w:pPr>
        <w:spacing w:after="0" w:line="301" w:lineRule="atLeast"/>
        <w:ind w:firstLine="284"/>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C</w:t>
      </w:r>
      <w:r w:rsidR="00001C0F" w:rsidRPr="00001C0F">
        <w:rPr>
          <w:rFonts w:ascii="Times New Roman" w:eastAsia="Times New Roman" w:hAnsi="Times New Roman" w:cs="Times New Roman"/>
          <w:color w:val="000000"/>
          <w:sz w:val="28"/>
          <w:lang w:val="en-US"/>
        </w:rPr>
        <w:t>ombination of genes and alleles signal portions medium</w:t>
      </w:r>
      <w:r>
        <w:rPr>
          <w:rFonts w:ascii="Times New Roman" w:eastAsia="Times New Roman" w:hAnsi="Times New Roman" w:cs="Times New Roman"/>
          <w:color w:val="000000"/>
          <w:sz w:val="28"/>
          <w:szCs w:val="28"/>
          <w:lang w:val="en-US"/>
        </w:rPr>
        <w:t xml:space="preserve"> </w:t>
      </w:r>
      <w:proofErr w:type="spellStart"/>
      <w:r w:rsidR="00001C0F" w:rsidRPr="00001C0F">
        <w:rPr>
          <w:rFonts w:ascii="Times New Roman" w:eastAsia="Times New Roman" w:hAnsi="Times New Roman" w:cs="Times New Roman"/>
          <w:i/>
          <w:iCs/>
          <w:color w:val="000000"/>
          <w:sz w:val="28"/>
          <w:lang w:val="en-US"/>
        </w:rPr>
        <w:t>vac</w:t>
      </w:r>
      <w:proofErr w:type="spellEnd"/>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A</w:t>
      </w:r>
      <w:r>
        <w:rPr>
          <w:rFonts w:ascii="Times New Roman" w:eastAsia="Times New Roman" w:hAnsi="Times New Roman" w:cs="Times New Roman"/>
          <w:color w:val="000000"/>
          <w:sz w:val="28"/>
          <w:lang w:val="en-US"/>
        </w:rPr>
        <w:t xml:space="preserve"> were analyzed </w:t>
      </w:r>
      <w:r w:rsidR="00001C0F" w:rsidRPr="00001C0F">
        <w:rPr>
          <w:rFonts w:ascii="Times New Roman" w:eastAsia="Times New Roman" w:hAnsi="Times New Roman" w:cs="Times New Roman"/>
          <w:color w:val="000000"/>
          <w:sz w:val="28"/>
          <w:lang w:val="en-US"/>
        </w:rPr>
        <w:t>(</w:t>
      </w:r>
      <w:proofErr w:type="spellStart"/>
      <w:r w:rsidR="00001C0F" w:rsidRPr="00001C0F">
        <w:rPr>
          <w:rFonts w:ascii="Times New Roman" w:eastAsia="Times New Roman" w:hAnsi="Times New Roman" w:cs="Times New Roman"/>
          <w:color w:val="000000"/>
          <w:sz w:val="28"/>
          <w:lang w:val="en-US"/>
        </w:rPr>
        <w:t>vacuolating-associatted</w:t>
      </w:r>
      <w:proofErr w:type="spellEnd"/>
      <w:r>
        <w:rPr>
          <w:rFonts w:ascii="Times New Roman" w:eastAsia="Times New Roman" w:hAnsi="Times New Roman" w:cs="Times New Roman"/>
          <w:color w:val="000000"/>
          <w:sz w:val="28"/>
          <w:szCs w:val="28"/>
          <w:lang w:val="en-US"/>
        </w:rPr>
        <w:t xml:space="preserve"> </w:t>
      </w:r>
      <w:proofErr w:type="spellStart"/>
      <w:r w:rsidR="00001C0F" w:rsidRPr="00001C0F">
        <w:rPr>
          <w:rFonts w:ascii="Times New Roman" w:eastAsia="Times New Roman" w:hAnsi="Times New Roman" w:cs="Times New Roman"/>
          <w:color w:val="000000"/>
          <w:sz w:val="28"/>
          <w:lang w:val="en-US"/>
        </w:rPr>
        <w:t>cytotoxin</w:t>
      </w:r>
      <w:proofErr w:type="spellEnd"/>
      <w:r>
        <w:rPr>
          <w:rFonts w:ascii="Times New Roman" w:eastAsia="Times New Roman" w:hAnsi="Times New Roman" w:cs="Times New Roman"/>
          <w:color w:val="000000"/>
          <w:sz w:val="28"/>
          <w:lang w:val="en-US"/>
        </w:rPr>
        <w:t xml:space="preserve"> — </w:t>
      </w:r>
      <w:proofErr w:type="spellStart"/>
      <w:r w:rsidR="00001C0F" w:rsidRPr="00001C0F">
        <w:rPr>
          <w:rFonts w:ascii="Times New Roman" w:eastAsia="Times New Roman" w:hAnsi="Times New Roman" w:cs="Times New Roman"/>
          <w:color w:val="000000"/>
          <w:sz w:val="28"/>
          <w:lang w:val="en-US"/>
        </w:rPr>
        <w:t>vacuolating</w:t>
      </w:r>
      <w:proofErr w:type="spellEnd"/>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toxin)</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subtypes</w:t>
      </w:r>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i/>
          <w:iCs/>
          <w:color w:val="000000"/>
          <w:sz w:val="28"/>
          <w:lang w:val="en-US"/>
        </w:rPr>
        <w:t>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1 /</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2,</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m</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1 /m</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2.</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It is known that strains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with subtypes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s1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m1 and s1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m2</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have the highest level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expression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secretion of</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cytotoxin</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whereas subtypes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s2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m2</w:t>
      </w:r>
      <w:r w:rsidRPr="00001C0F">
        <w:rPr>
          <w:rFonts w:ascii="Times New Roman" w:eastAsia="Times New Roman" w:hAnsi="Times New Roman" w:cs="Times New Roman"/>
          <w:color w:val="000000"/>
          <w:sz w:val="28"/>
          <w:lang w:val="en-US"/>
        </w:rPr>
        <w:t>property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lower level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toxicity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[7].</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The total sample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met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ashche</w:t>
      </w:r>
      <w:proofErr w:type="spellEnd"/>
      <w:r w:rsidRPr="00001C0F">
        <w:rPr>
          <w:rFonts w:ascii="Times New Roman" w:eastAsia="Times New Roman" w:hAnsi="Times New Roman" w:cs="Times New Roman"/>
          <w:color w:val="000000"/>
          <w:sz w:val="28"/>
          <w:lang w:val="en-US"/>
        </w:rPr>
        <w:t xml:space="preserve"> genotype</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proofErr w:type="gramStart"/>
      <w:r w:rsidRPr="00001C0F">
        <w:rPr>
          <w:rFonts w:ascii="Times New Roman" w:eastAsia="Times New Roman" w:hAnsi="Times New Roman" w:cs="Times New Roman"/>
          <w:i/>
          <w:iCs/>
          <w:color w:val="000000"/>
          <w:sz w:val="28"/>
          <w:lang w:val="en-US"/>
        </w:rPr>
        <w:t>A</w:t>
      </w:r>
      <w:proofErr w:type="gramEnd"/>
      <w:r w:rsidRPr="00001C0F">
        <w:rPr>
          <w:rFonts w:ascii="Times New Roman" w:eastAsia="Times New Roman" w:hAnsi="Times New Roman" w:cs="Times New Roman"/>
          <w:i/>
          <w:iCs/>
          <w:color w:val="000000"/>
          <w:sz w:val="28"/>
          <w:lang w:val="en-US"/>
        </w:rPr>
        <w:t xml:space="preserve"> s2 / m2</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(38.24%).</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clinical</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group</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 43.75%</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 cases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isolated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pacing w:val="-2"/>
          <w:sz w:val="28"/>
          <w:lang w:val="en-US"/>
        </w:rPr>
        <w:t>pylori</w:t>
      </w:r>
      <w:r w:rsidRPr="00001C0F">
        <w:rPr>
          <w:rFonts w:ascii="Times New Roman" w:eastAsia="Times New Roman" w:hAnsi="Times New Roman" w:cs="Times New Roman"/>
          <w:color w:val="000000"/>
          <w:sz w:val="28"/>
          <w:lang w:val="en-US"/>
        </w:rPr>
        <w:t>with</w:t>
      </w:r>
      <w:proofErr w:type="spellEnd"/>
      <w:r w:rsidRPr="00001C0F">
        <w:rPr>
          <w:rFonts w:ascii="Times New Roman" w:eastAsia="Times New Roman" w:hAnsi="Times New Roman" w:cs="Times New Roman"/>
          <w:color w:val="000000"/>
          <w:sz w:val="28"/>
          <w:lang w:val="en-US"/>
        </w:rPr>
        <w:t xml:space="preserve"> availability</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s1 / m2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05.);</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 the second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third</w:t>
      </w:r>
      <w:r w:rsidR="007112D4">
        <w:rPr>
          <w:rFonts w:ascii="Times New Roman" w:eastAsia="Times New Roman" w:hAnsi="Times New Roman" w:cs="Times New Roman"/>
          <w:color w:val="000000"/>
          <w:sz w:val="28"/>
          <w:lang w:val="en-US"/>
        </w:rPr>
        <w:t xml:space="preserve"> —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s2 / m2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(45</w:t>
      </w:r>
      <w:proofErr w:type="gramStart"/>
      <w:r w:rsidRPr="00001C0F">
        <w:rPr>
          <w:rFonts w:ascii="Times New Roman" w:eastAsia="Times New Roman" w:hAnsi="Times New Roman" w:cs="Times New Roman"/>
          <w:color w:val="000000"/>
          <w:sz w:val="28"/>
          <w:lang w:val="en-US"/>
        </w:rPr>
        <w:t>,46</w:t>
      </w:r>
      <w:proofErr w:type="gramEnd"/>
      <w:r w:rsidRPr="00001C0F">
        <w:rPr>
          <w:rFonts w:ascii="Times New Roman" w:eastAsia="Times New Roman" w:hAnsi="Times New Roman" w:cs="Times New Roman"/>
          <w:color w:val="000000"/>
          <w:sz w:val="28"/>
          <w:lang w:val="en-US"/>
        </w:rPr>
        <w:t>% and 57.14% respectively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Art</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venno</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0</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5.).</w:t>
      </w:r>
    </w:p>
    <w:p w:rsidR="00001C0F" w:rsidRPr="00001C0F" w:rsidRDefault="005861DC" w:rsidP="00001C0F">
      <w:pPr>
        <w:spacing w:after="144" w:line="240" w:lineRule="auto"/>
        <w:rPr>
          <w:rFonts w:ascii="Times New Roman" w:eastAsia="Times New Roman" w:hAnsi="Times New Roman" w:cs="Times New Roman"/>
          <w:color w:val="000000"/>
          <w:sz w:val="27"/>
          <w:szCs w:val="27"/>
          <w:lang w:val="en-US"/>
        </w:rPr>
      </w:pPr>
      <w:r w:rsidRPr="005861DC">
        <w:rPr>
          <w:rFonts w:ascii="Times New Roman" w:eastAsia="Times New Roman" w:hAnsi="Times New Roman" w:cs="Times New Roman"/>
          <w:noProof/>
          <w:color w:val="000000"/>
          <w:sz w:val="27"/>
          <w:szCs w:val="27"/>
          <w:lang w:eastAsia="zh-CN"/>
        </w:rPr>
        <w:drawing>
          <wp:inline distT="0" distB="0" distL="0" distR="0">
            <wp:extent cx="5934075" cy="3505200"/>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112D4">
        <w:rPr>
          <w:rFonts w:ascii="Times New Roman" w:eastAsia="Times New Roman" w:hAnsi="Times New Roman" w:cs="Times New Roman"/>
          <w:color w:val="000000"/>
          <w:sz w:val="24"/>
          <w:szCs w:val="24"/>
          <w:lang w:val="en-US"/>
        </w:rPr>
        <w:t xml:space="preserve"> </w:t>
      </w:r>
    </w:p>
    <w:p w:rsidR="00001C0F" w:rsidRPr="00001C0F" w:rsidRDefault="00001C0F" w:rsidP="00001C0F">
      <w:pPr>
        <w:spacing w:after="0" w:line="240" w:lineRule="auto"/>
        <w:jc w:val="both"/>
        <w:rPr>
          <w:rFonts w:ascii="Times New Roman" w:eastAsia="Times New Roman" w:hAnsi="Times New Roman" w:cs="Times New Roman"/>
          <w:color w:val="000000"/>
          <w:sz w:val="27"/>
          <w:szCs w:val="27"/>
          <w:lang w:val="en-US"/>
        </w:rPr>
      </w:pPr>
      <w:proofErr w:type="gramStart"/>
      <w:r w:rsidRPr="00001C0F">
        <w:rPr>
          <w:rFonts w:ascii="Times New Roman" w:eastAsia="Times New Roman" w:hAnsi="Times New Roman" w:cs="Times New Roman"/>
          <w:color w:val="000000"/>
          <w:sz w:val="28"/>
          <w:lang w:val="en-US"/>
        </w:rPr>
        <w:t>Fig.</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1.</w:t>
      </w:r>
      <w:proofErr w:type="gramEnd"/>
      <w:r w:rsidR="007112D4">
        <w:rPr>
          <w:rFonts w:ascii="Times New Roman" w:eastAsia="Times New Roman" w:hAnsi="Times New Roman" w:cs="Times New Roman"/>
          <w:color w:val="000000"/>
          <w:sz w:val="27"/>
          <w:lang w:val="en-US"/>
        </w:rPr>
        <w:t xml:space="preserve"> </w:t>
      </w:r>
      <w:proofErr w:type="gramStart"/>
      <w:r w:rsidRPr="00001C0F">
        <w:rPr>
          <w:rFonts w:ascii="Times New Roman" w:eastAsia="Times New Roman" w:hAnsi="Times New Roman" w:cs="Times New Roman"/>
          <w:color w:val="000000"/>
          <w:sz w:val="28"/>
          <w:lang w:val="en-US"/>
        </w:rPr>
        <w:t>The distribution of genotype variants</w:t>
      </w:r>
      <w:r w:rsidR="007112D4">
        <w:rPr>
          <w:rFonts w:ascii="Times New Roman" w:eastAsia="Times New Roman" w:hAnsi="Times New Roman" w:cs="Times New Roman"/>
          <w:color w:val="000000"/>
          <w:sz w:val="27"/>
          <w:lang w:val="en-US"/>
        </w:rPr>
        <w:t xml:space="preserve"> </w:t>
      </w:r>
      <w:proofErr w:type="spellStart"/>
      <w:r w:rsidRPr="00001C0F">
        <w:rPr>
          <w:rFonts w:ascii="Times New Roman" w:eastAsia="Times New Roman" w:hAnsi="Times New Roman" w:cs="Times New Roman"/>
          <w:color w:val="000000"/>
          <w:sz w:val="28"/>
          <w:lang w:val="en-US"/>
        </w:rPr>
        <w:t>vac</w:t>
      </w:r>
      <w:proofErr w:type="spellEnd"/>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in clinical groups.</w:t>
      </w:r>
      <w:proofErr w:type="gramEnd"/>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proofErr w:type="spellStart"/>
      <w:r w:rsidRPr="00001C0F">
        <w:rPr>
          <w:rFonts w:ascii="Times New Roman" w:eastAsia="Times New Roman" w:hAnsi="Times New Roman" w:cs="Times New Roman"/>
          <w:i/>
          <w:iCs/>
          <w:color w:val="000000"/>
          <w:sz w:val="28"/>
          <w:lang w:val="en-US"/>
        </w:rPr>
        <w:t>cag</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gene</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t>
      </w:r>
      <w:proofErr w:type="spellStart"/>
      <w:r w:rsidRPr="00001C0F">
        <w:rPr>
          <w:rFonts w:ascii="Times New Roman" w:eastAsia="Times New Roman" w:hAnsi="Times New Roman" w:cs="Times New Roman"/>
          <w:color w:val="000000"/>
          <w:sz w:val="28"/>
          <w:lang w:val="en-US"/>
        </w:rPr>
        <w:t>cytotoxin</w:t>
      </w:r>
      <w:proofErr w:type="spellEnd"/>
      <w:r w:rsidRPr="00001C0F">
        <w:rPr>
          <w:rFonts w:ascii="Times New Roman" w:eastAsia="Times New Roman" w:hAnsi="Times New Roman" w:cs="Times New Roman"/>
          <w:color w:val="000000"/>
          <w:sz w:val="28"/>
          <w:lang w:val="en-US"/>
        </w:rPr>
        <w:t>-associated</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gene)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one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 the most important factors</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tsittoksichnosti</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encodes proteins IV secretion system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necessary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for transporting</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effector</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molecules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to Rhee</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bacta</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szCs w:val="28"/>
          <w:lang w:val="en-US"/>
        </w:rPr>
        <w:br/>
      </w:r>
      <w:r w:rsidRPr="00001C0F">
        <w:rPr>
          <w:rFonts w:ascii="Times New Roman" w:eastAsia="Times New Roman" w:hAnsi="Times New Roman" w:cs="Times New Roman"/>
          <w:color w:val="000000"/>
          <w:sz w:val="28"/>
          <w:lang w:val="en-US"/>
        </w:rPr>
        <w:t>eukaryotic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cells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[19]</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which</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allow</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to modulate the metabolism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 epithelial cells</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gastric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mucosa,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including expression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proto-</w:t>
      </w:r>
      <w:proofErr w:type="spellStart"/>
      <w:r w:rsidRPr="00001C0F">
        <w:rPr>
          <w:rFonts w:ascii="Times New Roman" w:eastAsia="Times New Roman" w:hAnsi="Times New Roman" w:cs="Times New Roman"/>
          <w:color w:val="000000"/>
          <w:sz w:val="28"/>
          <w:lang w:val="en-US"/>
        </w:rPr>
        <w:t>oncogenes</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[8].</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Infection</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cag</w:t>
      </w:r>
      <w:proofErr w:type="spellEnd"/>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A</w:t>
      </w:r>
      <w:r w:rsidRPr="00001C0F">
        <w:rPr>
          <w:rFonts w:ascii="Times New Roman" w:eastAsia="Times New Roman" w:hAnsi="Times New Roman" w:cs="Times New Roman"/>
          <w:color w:val="000000"/>
          <w:sz w:val="28"/>
          <w:lang w:val="en-US"/>
        </w:rPr>
        <w:t>positive</w:t>
      </w:r>
      <w:proofErr w:type="spellEnd"/>
      <w:r w:rsidRPr="00001C0F">
        <w:rPr>
          <w:rFonts w:ascii="Times New Roman" w:eastAsia="Times New Roman" w:hAnsi="Times New Roman" w:cs="Times New Roman"/>
          <w:color w:val="000000"/>
          <w:sz w:val="28"/>
          <w:lang w:val="en-US"/>
        </w:rPr>
        <w:t xml:space="preserve"> strains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increases the risk of development</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ospalitelnogo</w:t>
      </w:r>
      <w:proofErr w:type="spellEnd"/>
      <w:r w:rsidRPr="00001C0F">
        <w:rPr>
          <w:rFonts w:ascii="Times New Roman" w:eastAsia="Times New Roman" w:hAnsi="Times New Roman" w:cs="Times New Roman"/>
          <w:color w:val="000000"/>
          <w:sz w:val="28"/>
          <w:lang w:val="en-US"/>
        </w:rPr>
        <w:t xml:space="preserve"> process 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gastric mucosa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[18].</w:t>
      </w:r>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proofErr w:type="spellStart"/>
      <w:proofErr w:type="gramStart"/>
      <w:r w:rsidRPr="00001C0F">
        <w:rPr>
          <w:rFonts w:ascii="Times New Roman" w:eastAsia="Times New Roman" w:hAnsi="Times New Roman" w:cs="Times New Roman"/>
          <w:i/>
          <w:iCs/>
          <w:color w:val="000000"/>
          <w:sz w:val="28"/>
          <w:lang w:val="en-US"/>
        </w:rPr>
        <w:t>cag</w:t>
      </w:r>
      <w:proofErr w:type="spellEnd"/>
      <w:proofErr w:type="gramEnd"/>
      <w:r>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distribution</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on the investigated groups presented in Fig</w:t>
      </w:r>
      <w:r>
        <w:rPr>
          <w:rFonts w:ascii="Times New Roman" w:eastAsia="Times New Roman" w:hAnsi="Times New Roman" w:cs="Times New Roman"/>
          <w:color w:val="000000"/>
          <w:sz w:val="28"/>
          <w:lang w:val="en-US"/>
        </w:rPr>
        <w:t>.</w:t>
      </w:r>
      <w:r w:rsidR="00001C0F" w:rsidRPr="00001C0F">
        <w:rPr>
          <w:rFonts w:ascii="Times New Roman" w:eastAsia="Times New Roman" w:hAnsi="Times New Roman" w:cs="Times New Roman"/>
          <w:color w:val="000000"/>
          <w:sz w:val="28"/>
          <w:lang w:val="en-US"/>
        </w:rPr>
        <w:t>2.</w:t>
      </w:r>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In the group of patients treated with</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meloxicam</w:t>
      </w:r>
      <w:proofErr w:type="spellEnd"/>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and</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to</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diklofena</w:t>
      </w:r>
      <w:proofErr w:type="spellEnd"/>
      <w:r>
        <w:rPr>
          <w:rFonts w:ascii="Times New Roman" w:eastAsia="Times New Roman" w:hAnsi="Times New Roman" w:cs="Times New Roman"/>
          <w:color w:val="000000"/>
          <w:sz w:val="28"/>
          <w:szCs w:val="28"/>
          <w:lang w:val="en-US"/>
        </w:rPr>
        <w:t xml:space="preserve"> </w:t>
      </w:r>
      <w:proofErr w:type="spellStart"/>
      <w:r w:rsidR="00001C0F" w:rsidRPr="00001C0F">
        <w:rPr>
          <w:rFonts w:ascii="Times New Roman" w:eastAsia="Times New Roman" w:hAnsi="Times New Roman" w:cs="Times New Roman"/>
          <w:i/>
          <w:iCs/>
          <w:color w:val="000000"/>
          <w:sz w:val="28"/>
          <w:lang w:val="en-US"/>
        </w:rPr>
        <w:t>cag</w:t>
      </w:r>
      <w:proofErr w:type="spellEnd"/>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i/>
          <w:iCs/>
          <w:color w:val="000000"/>
          <w:sz w:val="28"/>
          <w:lang w:val="en-US"/>
        </w:rPr>
        <w:t>A</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i/>
          <w:iCs/>
          <w:color w:val="000000"/>
          <w:sz w:val="28"/>
          <w:lang w:val="en-US"/>
        </w:rPr>
        <w:t>+</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stood with approximately equal frequencies</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minutes</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43.75%</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and 45.45% respectively</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lastRenderedPageBreak/>
        <w:t>governmental</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m</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(p&gt;</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0</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0</w:t>
      </w:r>
      <w:proofErr w:type="spellEnd"/>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5.),</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Wherein a total</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Selecting</w:t>
      </w:r>
      <w:r>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ke</w:t>
      </w:r>
      <w:proofErr w:type="spellEnd"/>
      <w:r w:rsidR="00001C0F" w:rsidRPr="00001C0F">
        <w:rPr>
          <w:rFonts w:ascii="Times New Roman" w:eastAsia="Times New Roman" w:hAnsi="Times New Roman" w:cs="Times New Roman"/>
          <w:color w:val="000000"/>
          <w:sz w:val="28"/>
          <w:lang w:val="en-US"/>
        </w:rPr>
        <w:t xml:space="preserve"> investigated contingent</w:t>
      </w:r>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 xml:space="preserve">were also more often </w:t>
      </w:r>
      <w:proofErr w:type="spellStart"/>
      <w:r w:rsidR="00001C0F" w:rsidRPr="00001C0F">
        <w:rPr>
          <w:rFonts w:ascii="Times New Roman" w:eastAsia="Times New Roman" w:hAnsi="Times New Roman" w:cs="Times New Roman"/>
          <w:color w:val="000000"/>
          <w:sz w:val="28"/>
          <w:lang w:val="en-US"/>
        </w:rPr>
        <w:t>detectedstrains</w:t>
      </w:r>
      <w:proofErr w:type="spellEnd"/>
      <w:r>
        <w:rPr>
          <w:rFonts w:ascii="Times New Roman" w:eastAsia="Times New Roman" w:hAnsi="Times New Roman" w:cs="Times New Roman"/>
          <w:color w:val="000000"/>
          <w:sz w:val="28"/>
          <w:szCs w:val="28"/>
          <w:lang w:val="en-US"/>
        </w:rPr>
        <w:t xml:space="preserve"> </w:t>
      </w:r>
      <w:proofErr w:type="spellStart"/>
      <w:r w:rsidR="00001C0F" w:rsidRPr="00001C0F">
        <w:rPr>
          <w:rFonts w:ascii="Times New Roman" w:eastAsia="Times New Roman" w:hAnsi="Times New Roman" w:cs="Times New Roman"/>
          <w:i/>
          <w:iCs/>
          <w:color w:val="000000"/>
          <w:sz w:val="28"/>
          <w:lang w:val="en-US"/>
        </w:rPr>
        <w:t>cag</w:t>
      </w:r>
      <w:proofErr w:type="spellEnd"/>
      <w:r>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i/>
          <w:iCs/>
          <w:color w:val="000000"/>
          <w:sz w:val="28"/>
          <w:lang w:val="en-US"/>
        </w:rPr>
        <w:t>A</w:t>
      </w:r>
      <w:r>
        <w:rPr>
          <w:rFonts w:ascii="Times New Roman" w:eastAsia="Times New Roman" w:hAnsi="Times New Roman" w:cs="Times New Roman"/>
          <w:color w:val="000000"/>
          <w:sz w:val="28"/>
          <w:lang w:val="en-US"/>
        </w:rPr>
        <w:t xml:space="preserve"> — </w:t>
      </w:r>
      <w:r w:rsidR="00001C0F" w:rsidRPr="00001C0F">
        <w:rPr>
          <w:rFonts w:ascii="Times New Roman" w:eastAsia="Times New Roman" w:hAnsi="Times New Roman" w:cs="Times New Roman"/>
          <w:color w:val="000000"/>
          <w:sz w:val="28"/>
          <w:lang w:val="en-US"/>
        </w:rPr>
        <w:t>(58%,</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p&gt;</w:t>
      </w:r>
      <w:r>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0.05).</w:t>
      </w:r>
    </w:p>
    <w:p w:rsidR="00001C0F" w:rsidRPr="00001C0F" w:rsidRDefault="005861DC" w:rsidP="00001C0F">
      <w:pPr>
        <w:spacing w:after="0" w:line="240" w:lineRule="auto"/>
        <w:ind w:firstLine="284"/>
        <w:rPr>
          <w:rFonts w:ascii="Times New Roman" w:eastAsia="Times New Roman" w:hAnsi="Times New Roman" w:cs="Times New Roman"/>
          <w:color w:val="000000"/>
          <w:sz w:val="27"/>
          <w:szCs w:val="27"/>
        </w:rPr>
      </w:pPr>
      <w:r w:rsidRPr="005861DC">
        <w:rPr>
          <w:rFonts w:ascii="Times New Roman" w:eastAsia="Times New Roman" w:hAnsi="Times New Roman" w:cs="Times New Roman"/>
          <w:noProof/>
          <w:color w:val="000000"/>
          <w:sz w:val="27"/>
          <w:szCs w:val="27"/>
          <w:lang w:eastAsia="zh-CN"/>
        </w:rPr>
        <w:drawing>
          <wp:inline distT="0" distB="0" distL="0" distR="0">
            <wp:extent cx="5400675" cy="3257550"/>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01C0F" w:rsidRPr="00001C0F" w:rsidRDefault="007112D4" w:rsidP="00001C0F">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i/>
          <w:iCs/>
          <w:color w:val="000000"/>
          <w:sz w:val="24"/>
          <w:szCs w:val="24"/>
          <w:lang w:val="en-US"/>
        </w:rPr>
        <w:t xml:space="preserve"> </w:t>
      </w:r>
    </w:p>
    <w:p w:rsidR="00001C0F" w:rsidRPr="00001C0F" w:rsidRDefault="00001C0F" w:rsidP="00001C0F">
      <w:pPr>
        <w:spacing w:after="0" w:line="240" w:lineRule="auto"/>
        <w:jc w:val="both"/>
        <w:rPr>
          <w:rFonts w:ascii="Times New Roman" w:eastAsia="Times New Roman" w:hAnsi="Times New Roman" w:cs="Times New Roman"/>
          <w:color w:val="000000"/>
          <w:sz w:val="27"/>
          <w:szCs w:val="27"/>
          <w:lang w:val="en-US"/>
        </w:rPr>
      </w:pPr>
      <w:proofErr w:type="gramStart"/>
      <w:r w:rsidRPr="00001C0F">
        <w:rPr>
          <w:rFonts w:ascii="Times New Roman" w:eastAsia="Times New Roman" w:hAnsi="Times New Roman" w:cs="Times New Roman"/>
          <w:color w:val="000000"/>
          <w:sz w:val="28"/>
          <w:lang w:val="en-US"/>
        </w:rPr>
        <w:t>Fig.</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2.</w:t>
      </w:r>
      <w:proofErr w:type="gramEnd"/>
      <w:r w:rsidR="007112D4">
        <w:rPr>
          <w:rFonts w:ascii="Times New Roman" w:eastAsia="Times New Roman" w:hAnsi="Times New Roman" w:cs="Times New Roman"/>
          <w:color w:val="000000"/>
          <w:sz w:val="27"/>
          <w:lang w:val="en-US"/>
        </w:rPr>
        <w:t xml:space="preserve"> </w:t>
      </w:r>
      <w:proofErr w:type="gramStart"/>
      <w:r w:rsidRPr="00001C0F">
        <w:rPr>
          <w:rFonts w:ascii="Times New Roman" w:eastAsia="Times New Roman" w:hAnsi="Times New Roman" w:cs="Times New Roman"/>
          <w:color w:val="000000"/>
          <w:sz w:val="28"/>
          <w:lang w:val="en-US"/>
        </w:rPr>
        <w:t>The distribution of variants of genotype</w:t>
      </w:r>
      <w:r w:rsidR="007112D4">
        <w:rPr>
          <w:rFonts w:ascii="Times New Roman" w:eastAsia="Times New Roman" w:hAnsi="Times New Roman" w:cs="Times New Roman"/>
          <w:color w:val="000000"/>
          <w:sz w:val="27"/>
          <w:lang w:val="en-US"/>
        </w:rPr>
        <w:t xml:space="preserve"> </w:t>
      </w:r>
      <w:proofErr w:type="spellStart"/>
      <w:r w:rsidRPr="00001C0F">
        <w:rPr>
          <w:rFonts w:ascii="Times New Roman" w:eastAsia="Times New Roman" w:hAnsi="Times New Roman" w:cs="Times New Roman"/>
          <w:color w:val="000000"/>
          <w:sz w:val="28"/>
          <w:lang w:val="en-US"/>
        </w:rPr>
        <w:t>cagA</w:t>
      </w:r>
      <w:proofErr w:type="spellEnd"/>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in clinical groups.</w:t>
      </w:r>
      <w:proofErr w:type="gramEnd"/>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Of particular interest is the distribution of serotypes in patients with erosive and ulcerative changes 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gastric</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mucosa</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without them.</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First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all,</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it should be noted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that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 xml:space="preserve">in </w:t>
      </w:r>
      <w:proofErr w:type="gramStart"/>
      <w:r w:rsidRPr="00001C0F">
        <w:rPr>
          <w:rFonts w:ascii="Times New Roman" w:eastAsia="Times New Roman" w:hAnsi="Times New Roman" w:cs="Times New Roman"/>
          <w:color w:val="000000"/>
          <w:sz w:val="28"/>
          <w:lang w:val="en-US"/>
        </w:rPr>
        <w:t>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w:t>
      </w:r>
      <w:proofErr w:type="gram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clinical group</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erosive-ulcerous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 xml:space="preserve">s changes were </w:t>
      </w:r>
      <w:proofErr w:type="spellStart"/>
      <w:r w:rsidRPr="00001C0F">
        <w:rPr>
          <w:rFonts w:ascii="Times New Roman" w:eastAsia="Times New Roman" w:hAnsi="Times New Roman" w:cs="Times New Roman"/>
          <w:color w:val="000000"/>
          <w:sz w:val="28"/>
          <w:lang w:val="en-US"/>
        </w:rPr>
        <w:t>diagnostirova</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us in 50% of cases during</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II</w:t>
      </w:r>
      <w:r w:rsidR="007112D4">
        <w:rPr>
          <w:rFonts w:ascii="Times New Roman" w:eastAsia="Times New Roman" w:hAnsi="Times New Roman" w:cs="Times New Roman"/>
          <w:color w:val="000000"/>
          <w:sz w:val="28"/>
          <w:lang w:val="en-US"/>
        </w:rPr>
        <w:t xml:space="preserve"> —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54.5%,</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 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III</w:t>
      </w:r>
      <w:r w:rsidR="007112D4">
        <w:rPr>
          <w:rFonts w:ascii="Times New Roman" w:eastAsia="Times New Roman" w:hAnsi="Times New Roman" w:cs="Times New Roman"/>
          <w:color w:val="000000"/>
          <w:sz w:val="28"/>
          <w:lang w:val="en-US"/>
        </w:rPr>
        <w:t xml:space="preserve"> — </w:t>
      </w:r>
      <w:r w:rsidRPr="00001C0F">
        <w:rPr>
          <w:rFonts w:ascii="Times New Roman" w:eastAsia="Times New Roman" w:hAnsi="Times New Roman" w:cs="Times New Roman"/>
          <w:color w:val="000000"/>
          <w:sz w:val="28"/>
          <w:lang w:val="en-US"/>
        </w:rPr>
        <w:t>14.3%.</w:t>
      </w:r>
    </w:p>
    <w:p w:rsidR="00001C0F" w:rsidRPr="00001C0F" w:rsidRDefault="00001C0F" w:rsidP="00001C0F">
      <w:pPr>
        <w:spacing w:after="0" w:line="351" w:lineRule="atLeast"/>
        <w:jc w:val="right"/>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able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w:t>
      </w:r>
    </w:p>
    <w:p w:rsidR="00001C0F" w:rsidRPr="00001C0F" w:rsidRDefault="00001C0F" w:rsidP="00001C0F">
      <w:pPr>
        <w:spacing w:after="0" w:line="240" w:lineRule="auto"/>
        <w:ind w:firstLine="284"/>
        <w:jc w:val="center"/>
        <w:rPr>
          <w:rFonts w:ascii="Times New Roman" w:eastAsia="Times New Roman" w:hAnsi="Times New Roman" w:cs="Times New Roman"/>
          <w:color w:val="000000"/>
          <w:sz w:val="27"/>
          <w:szCs w:val="27"/>
          <w:lang w:val="en-US"/>
        </w:rPr>
      </w:pPr>
      <w:r w:rsidRPr="00001C0F">
        <w:rPr>
          <w:rFonts w:ascii="Times New Roman" w:eastAsia="Times New Roman" w:hAnsi="Times New Roman" w:cs="Times New Roman"/>
          <w:b/>
          <w:bCs/>
          <w:color w:val="000000"/>
          <w:sz w:val="28"/>
          <w:lang w:val="en-US"/>
        </w:rPr>
        <w:t>The genotypes of the strains</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b/>
          <w:bCs/>
          <w:color w:val="000000"/>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isolated from</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biopsy specimens</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of gastric</w:t>
      </w:r>
      <w:r w:rsidR="007112D4">
        <w:rPr>
          <w:rFonts w:ascii="Times New Roman" w:eastAsia="Times New Roman" w:hAnsi="Times New Roman" w:cs="Times New Roman"/>
          <w:b/>
          <w:bCs/>
          <w:color w:val="000000"/>
          <w:sz w:val="28"/>
          <w:lang w:val="en-US"/>
        </w:rPr>
        <w:t xml:space="preserve"> </w:t>
      </w:r>
      <w:r w:rsidRPr="00001C0F">
        <w:rPr>
          <w:rFonts w:ascii="Times New Roman" w:eastAsia="Times New Roman" w:hAnsi="Times New Roman" w:cs="Times New Roman"/>
          <w:b/>
          <w:bCs/>
          <w:color w:val="000000"/>
          <w:sz w:val="28"/>
          <w:lang w:val="en-US"/>
        </w:rPr>
        <w:t>mucosa,</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depending on the</w:t>
      </w:r>
      <w:r w:rsidR="007112D4">
        <w:rPr>
          <w:rFonts w:ascii="Times New Roman" w:eastAsia="Times New Roman" w:hAnsi="Times New Roman" w:cs="Times New Roman"/>
          <w:b/>
          <w:bCs/>
          <w:color w:val="000000"/>
          <w:sz w:val="28"/>
          <w:lang w:val="en-US"/>
        </w:rPr>
        <w:t xml:space="preserve"> presence</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b/>
          <w:bCs/>
          <w:color w:val="000000"/>
          <w:sz w:val="28"/>
          <w:lang w:val="en-US"/>
        </w:rPr>
        <w:t>of erosive and ulcerative changes</w:t>
      </w:r>
    </w:p>
    <w:tbl>
      <w:tblPr>
        <w:tblW w:w="8598" w:type="dxa"/>
        <w:tblCellMar>
          <w:left w:w="0" w:type="dxa"/>
          <w:right w:w="0" w:type="dxa"/>
        </w:tblCellMar>
        <w:tblLook w:val="04A0"/>
      </w:tblPr>
      <w:tblGrid>
        <w:gridCol w:w="738"/>
        <w:gridCol w:w="4100"/>
        <w:gridCol w:w="936"/>
        <w:gridCol w:w="944"/>
        <w:gridCol w:w="936"/>
        <w:gridCol w:w="944"/>
      </w:tblGrid>
      <w:tr w:rsidR="00001C0F" w:rsidRPr="00001C0F" w:rsidTr="00001C0F">
        <w:tc>
          <w:tcPr>
            <w:tcW w:w="498"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No</w:t>
            </w:r>
            <w:proofErr w:type="spellEnd"/>
            <w:r w:rsidRPr="00001C0F">
              <w:rPr>
                <w:rFonts w:ascii="Times New Roman" w:eastAsia="Times New Roman" w:hAnsi="Times New Roman" w:cs="Times New Roman"/>
                <w:b/>
                <w:bCs/>
                <w:sz w:val="20"/>
              </w:rPr>
              <w:t>.</w:t>
            </w:r>
          </w:p>
        </w:tc>
        <w:tc>
          <w:tcPr>
            <w:tcW w:w="4260" w:type="dxa"/>
            <w:vMerge w:val="restart"/>
            <w:tcBorders>
              <w:top w:val="single" w:sz="6" w:space="0" w:color="000000"/>
              <w:left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lang w:val="en-US"/>
              </w:rPr>
            </w:pPr>
            <w:r w:rsidRPr="00001C0F">
              <w:rPr>
                <w:rFonts w:ascii="Times New Roman" w:eastAsia="Times New Roman" w:hAnsi="Times New Roman" w:cs="Times New Roman"/>
                <w:b/>
                <w:bCs/>
                <w:sz w:val="20"/>
                <w:lang w:val="en-US"/>
              </w:rPr>
              <w:t>The genotypes of</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b/>
                <w:bCs/>
                <w:sz w:val="20"/>
                <w:lang w:val="en-US"/>
              </w:rPr>
              <w:t>Helicobacter</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b/>
                <w:bCs/>
                <w:sz w:val="20"/>
                <w:lang w:val="en-US"/>
              </w:rPr>
              <w:t>pylori</w:t>
            </w:r>
          </w:p>
        </w:tc>
        <w:tc>
          <w:tcPr>
            <w:tcW w:w="1920"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gastritis</w:t>
            </w:r>
            <w:proofErr w:type="spellEnd"/>
          </w:p>
        </w:tc>
        <w:tc>
          <w:tcPr>
            <w:tcW w:w="1920" w:type="dxa"/>
            <w:gridSpan w:val="2"/>
            <w:tcBorders>
              <w:top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erosion</w:t>
            </w:r>
            <w:proofErr w:type="spellEnd"/>
          </w:p>
        </w:tc>
      </w:tr>
      <w:tr w:rsidR="00001C0F" w:rsidRPr="00001C0F" w:rsidTr="00001C0F">
        <w:tc>
          <w:tcPr>
            <w:tcW w:w="0" w:type="auto"/>
            <w:vMerge/>
            <w:tcBorders>
              <w:top w:val="single" w:sz="6" w:space="0" w:color="000000"/>
              <w:left w:val="single" w:sz="6" w:space="0" w:color="000000"/>
              <w:right w:val="single" w:sz="6" w:space="0" w:color="000000"/>
            </w:tcBorders>
            <w:vAlign w:val="center"/>
            <w:hideMark/>
          </w:tcPr>
          <w:p w:rsidR="00001C0F" w:rsidRPr="00001C0F" w:rsidRDefault="00001C0F" w:rsidP="00001C0F">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right w:val="single" w:sz="6" w:space="0" w:color="000000"/>
            </w:tcBorders>
            <w:vAlign w:val="center"/>
            <w:hideMark/>
          </w:tcPr>
          <w:p w:rsidR="00001C0F" w:rsidRPr="00001C0F" w:rsidRDefault="00001C0F" w:rsidP="00001C0F">
            <w:pPr>
              <w:spacing w:after="0" w:line="240" w:lineRule="auto"/>
              <w:rPr>
                <w:rFonts w:ascii="Times New Roman" w:eastAsia="Times New Roman" w:hAnsi="Times New Roman" w:cs="Times New Roman"/>
                <w:sz w:val="24"/>
                <w:szCs w:val="24"/>
              </w:rPr>
            </w:pPr>
          </w:p>
        </w:tc>
        <w:tc>
          <w:tcPr>
            <w:tcW w:w="960" w:type="dxa"/>
            <w:tcBorders>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abs</w:t>
            </w:r>
            <w:proofErr w:type="spellEnd"/>
          </w:p>
        </w:tc>
        <w:tc>
          <w:tcPr>
            <w:tcW w:w="960" w:type="dxa"/>
            <w:tcBorders>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rPr>
            </w:pPr>
            <w:r w:rsidRPr="00001C0F">
              <w:rPr>
                <w:rFonts w:ascii="Times New Roman" w:eastAsia="Times New Roman" w:hAnsi="Times New Roman" w:cs="Times New Roman"/>
                <w:b/>
                <w:bCs/>
                <w:sz w:val="20"/>
              </w:rPr>
              <w:t>%</w:t>
            </w:r>
          </w:p>
        </w:tc>
        <w:tc>
          <w:tcPr>
            <w:tcW w:w="960" w:type="dxa"/>
            <w:tcBorders>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sz w:val="20"/>
              </w:rPr>
              <w:t>abs</w:t>
            </w:r>
            <w:proofErr w:type="spellEnd"/>
          </w:p>
        </w:tc>
        <w:tc>
          <w:tcPr>
            <w:tcW w:w="960" w:type="dxa"/>
            <w:tcBorders>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rPr>
            </w:pPr>
            <w:r w:rsidRPr="00001C0F">
              <w:rPr>
                <w:rFonts w:ascii="Times New Roman" w:eastAsia="Times New Roman" w:hAnsi="Times New Roman" w:cs="Times New Roman"/>
                <w:b/>
                <w:bCs/>
                <w:sz w:val="20"/>
              </w:rPr>
              <w:t>%</w:t>
            </w:r>
          </w:p>
        </w:tc>
      </w:tr>
      <w:tr w:rsidR="00001C0F" w:rsidRPr="00001C0F" w:rsidTr="00001C0F">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7112D4" w:rsidP="00001C0F">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bCs/>
                <w:sz w:val="20"/>
                <w:szCs w:val="20"/>
              </w:rPr>
              <w:t xml:space="preserve"> </w:t>
            </w:r>
          </w:p>
        </w:tc>
        <w:tc>
          <w:tcPr>
            <w:tcW w:w="42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b/>
                <w:bCs/>
                <w:i/>
                <w:iCs/>
                <w:sz w:val="20"/>
              </w:rPr>
              <w:t>Number</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of</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the</w:t>
            </w:r>
            <w:proofErr w:type="spellEnd"/>
            <w:r w:rsidRPr="00001C0F">
              <w:rPr>
                <w:rFonts w:ascii="Times New Roman" w:eastAsia="Times New Roman" w:hAnsi="Times New Roman" w:cs="Times New Roman"/>
                <w:b/>
                <w:bCs/>
                <w:i/>
                <w:iCs/>
                <w:sz w:val="20"/>
              </w:rPr>
              <w:t xml:space="preserve"> </w:t>
            </w:r>
            <w:proofErr w:type="spellStart"/>
            <w:r w:rsidRPr="00001C0F">
              <w:rPr>
                <w:rFonts w:ascii="Times New Roman" w:eastAsia="Times New Roman" w:hAnsi="Times New Roman" w:cs="Times New Roman"/>
                <w:b/>
                <w:bCs/>
                <w:i/>
                <w:iCs/>
                <w:sz w:val="20"/>
              </w:rPr>
              <w:t>graph</w:t>
            </w:r>
            <w:proofErr w:type="spellEnd"/>
          </w:p>
        </w:tc>
        <w:tc>
          <w:tcPr>
            <w:tcW w:w="1920"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i/>
                <w:iCs/>
                <w:sz w:val="20"/>
              </w:rPr>
              <w:t>1</w:t>
            </w:r>
          </w:p>
        </w:tc>
        <w:tc>
          <w:tcPr>
            <w:tcW w:w="1920" w:type="dxa"/>
            <w:gridSpan w:val="2"/>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center"/>
              <w:rPr>
                <w:rFonts w:ascii="Times New Roman" w:eastAsia="Times New Roman" w:hAnsi="Times New Roman" w:cs="Times New Roman"/>
                <w:sz w:val="24"/>
                <w:szCs w:val="24"/>
              </w:rPr>
            </w:pPr>
            <w:r w:rsidRPr="00001C0F">
              <w:rPr>
                <w:rFonts w:ascii="Times New Roman" w:eastAsia="Times New Roman" w:hAnsi="Times New Roman" w:cs="Times New Roman"/>
                <w:b/>
                <w:bCs/>
                <w:i/>
                <w:iCs/>
                <w:sz w:val="20"/>
              </w:rPr>
              <w:t>2</w:t>
            </w:r>
          </w:p>
        </w:tc>
      </w:tr>
      <w:tr w:rsidR="00001C0F" w:rsidRPr="00001C0F" w:rsidTr="00001C0F">
        <w:tc>
          <w:tcPr>
            <w:tcW w:w="49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42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r w:rsidRPr="00001C0F">
              <w:rPr>
                <w:rFonts w:ascii="Times New Roman" w:eastAsia="Times New Roman" w:hAnsi="Times New Roman" w:cs="Times New Roman"/>
                <w:sz w:val="20"/>
                <w:lang w:val="en-US"/>
              </w:rPr>
              <w:t>v</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ac</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p>
        </w:tc>
        <w:tc>
          <w:tcPr>
            <w:tcW w:w="9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top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42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r w:rsidRPr="00001C0F">
              <w:rPr>
                <w:rFonts w:ascii="Times New Roman" w:eastAsia="Times New Roman" w:hAnsi="Times New Roman" w:cs="Times New Roman"/>
                <w:sz w:val="20"/>
                <w:lang w:val="en-US"/>
              </w:rPr>
              <w:t>c</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ac</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11.11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¹</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31.25</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4</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11.11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16.67</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6th</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7th</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7112D4" w:rsidP="00001C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¹</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12.50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8</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bab</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ice A2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9</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m1;</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10</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4</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²</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22,22</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0</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proofErr w:type="spellStart"/>
            <w:r w:rsidRPr="00001C0F">
              <w:rPr>
                <w:rFonts w:ascii="Times New Roman" w:eastAsia="Times New Roman" w:hAnsi="Times New Roman" w:cs="Times New Roman"/>
                <w:sz w:val="20"/>
              </w:rPr>
              <w:t>eleven</w:t>
            </w:r>
            <w:proofErr w:type="spellEnd"/>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s2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ice A1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3</w:t>
            </w:r>
            <w:r w:rsidR="007112D4">
              <w:rPr>
                <w:rFonts w:ascii="Times New Roman" w:eastAsia="Times New Roman" w:hAnsi="Times New Roman" w:cs="Times New Roman"/>
                <w:sz w:val="24"/>
                <w:szCs w:val="24"/>
              </w:rPr>
              <w:t xml:space="preserve"> </w:t>
            </w:r>
            <w:r w:rsidRPr="00001C0F">
              <w:rPr>
                <w:rFonts w:ascii="Times New Roman" w:eastAsia="Times New Roman" w:hAnsi="Times New Roman" w:cs="Times New Roman"/>
                <w:b/>
                <w:bCs/>
                <w:sz w:val="20"/>
              </w:rPr>
              <w:t>¹</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18.75</w:t>
            </w:r>
          </w:p>
        </w:tc>
      </w:tr>
      <w:tr w:rsidR="00001C0F" w:rsidRPr="00001C0F" w:rsidTr="00001C0F">
        <w:tc>
          <w:tcPr>
            <w:tcW w:w="498" w:type="dxa"/>
            <w:tcBorders>
              <w:left w:val="single" w:sz="6" w:space="0" w:color="000000"/>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12</w:t>
            </w:r>
          </w:p>
        </w:tc>
        <w:tc>
          <w:tcPr>
            <w:tcW w:w="4260" w:type="dxa"/>
            <w:tcBorders>
              <w:bottom w:val="single" w:sz="6" w:space="0" w:color="000000"/>
              <w:right w:val="single" w:sz="6" w:space="0" w:color="000000"/>
            </w:tcBorders>
            <w:tcMar>
              <w:top w:w="0" w:type="dxa"/>
              <w:left w:w="108" w:type="dxa"/>
              <w:bottom w:w="0" w:type="dxa"/>
              <w:right w:w="108" w:type="dxa"/>
            </w:tcMar>
            <w:vAlign w:val="bottom"/>
            <w:hideMark/>
          </w:tcPr>
          <w:p w:rsidR="00001C0F" w:rsidRPr="00001C0F" w:rsidRDefault="00001C0F" w:rsidP="00001C0F">
            <w:pPr>
              <w:spacing w:after="0" w:line="240" w:lineRule="auto"/>
              <w:rPr>
                <w:rFonts w:ascii="Times New Roman" w:eastAsia="Times New Roman" w:hAnsi="Times New Roman" w:cs="Times New Roman"/>
                <w:sz w:val="24"/>
                <w:szCs w:val="24"/>
                <w:lang w:val="en-US"/>
              </w:rPr>
            </w:pPr>
            <w:proofErr w:type="spellStart"/>
            <w:r w:rsidRPr="00001C0F">
              <w:rPr>
                <w:rFonts w:ascii="Times New Roman" w:eastAsia="Times New Roman" w:hAnsi="Times New Roman" w:cs="Times New Roman"/>
                <w:sz w:val="20"/>
                <w:lang w:val="en-US"/>
              </w:rPr>
              <w:t>vac</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s1 / m2;</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cag</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 +;</w:t>
            </w:r>
            <w:r w:rsidR="007112D4">
              <w:rPr>
                <w:rFonts w:ascii="Times New Roman" w:eastAsia="Times New Roman" w:hAnsi="Times New Roman" w:cs="Times New Roman"/>
                <w:sz w:val="24"/>
                <w:szCs w:val="24"/>
                <w:lang w:val="en-US"/>
              </w:rPr>
              <w:t xml:space="preserve"> </w:t>
            </w:r>
            <w:proofErr w:type="spellStart"/>
            <w:r w:rsidRPr="00001C0F">
              <w:rPr>
                <w:rFonts w:ascii="Times New Roman" w:eastAsia="Times New Roman" w:hAnsi="Times New Roman" w:cs="Times New Roman"/>
                <w:sz w:val="20"/>
                <w:lang w:val="en-US"/>
              </w:rPr>
              <w:t>bab</w:t>
            </w:r>
            <w:proofErr w:type="spellEnd"/>
            <w:r w:rsidR="007112D4">
              <w:rPr>
                <w:rFonts w:ascii="Times New Roman" w:eastAsia="Times New Roman" w:hAnsi="Times New Roman" w:cs="Times New Roman"/>
                <w:sz w:val="24"/>
                <w:szCs w:val="24"/>
                <w:lang w:val="en-US"/>
              </w:rPr>
              <w:t xml:space="preserve"> </w:t>
            </w:r>
            <w:r w:rsidRPr="00001C0F">
              <w:rPr>
                <w:rFonts w:ascii="Times New Roman" w:eastAsia="Times New Roman" w:hAnsi="Times New Roman" w:cs="Times New Roman"/>
                <w:sz w:val="20"/>
                <w:lang w:val="en-US"/>
              </w:rPr>
              <w:t>A</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5.56</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1</w:t>
            </w:r>
          </w:p>
        </w:tc>
        <w:tc>
          <w:tcPr>
            <w:tcW w:w="960" w:type="dxa"/>
            <w:tcBorders>
              <w:bottom w:val="single" w:sz="6" w:space="0" w:color="000000"/>
              <w:right w:val="single" w:sz="6" w:space="0" w:color="000000"/>
            </w:tcBorders>
            <w:tcMar>
              <w:top w:w="0" w:type="dxa"/>
              <w:left w:w="108" w:type="dxa"/>
              <w:bottom w:w="0" w:type="dxa"/>
              <w:right w:w="108" w:type="dxa"/>
            </w:tcMar>
            <w:hideMark/>
          </w:tcPr>
          <w:p w:rsidR="00001C0F" w:rsidRPr="00001C0F" w:rsidRDefault="00001C0F" w:rsidP="00001C0F">
            <w:pPr>
              <w:spacing w:after="0" w:line="240" w:lineRule="auto"/>
              <w:jc w:val="right"/>
              <w:rPr>
                <w:rFonts w:ascii="Times New Roman" w:eastAsia="Times New Roman" w:hAnsi="Times New Roman" w:cs="Times New Roman"/>
                <w:sz w:val="24"/>
                <w:szCs w:val="24"/>
              </w:rPr>
            </w:pPr>
            <w:r w:rsidRPr="00001C0F">
              <w:rPr>
                <w:rFonts w:ascii="Times New Roman" w:eastAsia="Times New Roman" w:hAnsi="Times New Roman" w:cs="Times New Roman"/>
                <w:sz w:val="20"/>
              </w:rPr>
              <w:t>6.25</w:t>
            </w:r>
          </w:p>
        </w:tc>
      </w:tr>
    </w:tbl>
    <w:p w:rsidR="00001C0F" w:rsidRPr="00001C0F" w:rsidRDefault="00001C0F" w:rsidP="00001C0F">
      <w:pPr>
        <w:spacing w:after="0" w:line="240" w:lineRule="auto"/>
        <w:jc w:val="both"/>
        <w:rPr>
          <w:rFonts w:ascii="Times New Roman" w:eastAsia="Times New Roman" w:hAnsi="Times New Roman" w:cs="Times New Roman"/>
          <w:color w:val="000000"/>
          <w:sz w:val="27"/>
          <w:szCs w:val="27"/>
          <w:lang w:val="en-US"/>
        </w:rPr>
      </w:pPr>
      <w:r w:rsidRPr="00001C0F">
        <w:rPr>
          <w:rFonts w:ascii="Times New Roman" w:eastAsia="Times New Roman" w:hAnsi="Times New Roman" w:cs="Times New Roman"/>
          <w:b/>
          <w:bCs/>
          <w:color w:val="000000"/>
          <w:sz w:val="20"/>
          <w:lang w:val="en-US"/>
        </w:rPr>
        <w:t>Note:</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0"/>
          <w:lang w:val="en-US"/>
        </w:rPr>
        <w:t xml:space="preserve">This table superscript denotes the number of </w:t>
      </w:r>
      <w:r w:rsidR="00500DC6">
        <w:rPr>
          <w:rFonts w:ascii="Times New Roman" w:eastAsia="Times New Roman" w:hAnsi="Times New Roman" w:cs="Times New Roman"/>
          <w:color w:val="000000"/>
          <w:sz w:val="20"/>
          <w:lang w:val="en-US"/>
        </w:rPr>
        <w:t>graph</w:t>
      </w:r>
      <w:r w:rsidRPr="00001C0F">
        <w:rPr>
          <w:rFonts w:ascii="Times New Roman" w:eastAsia="Times New Roman" w:hAnsi="Times New Roman" w:cs="Times New Roman"/>
          <w:color w:val="000000"/>
          <w:sz w:val="20"/>
          <w:lang w:val="en-US"/>
        </w:rPr>
        <w:t xml:space="preserve">, </w:t>
      </w:r>
      <w:r w:rsidR="00500DC6" w:rsidRPr="00001C0F">
        <w:rPr>
          <w:rFonts w:ascii="Times New Roman" w:eastAsia="Times New Roman" w:hAnsi="Times New Roman" w:cs="Times New Roman"/>
          <w:color w:val="000000"/>
          <w:sz w:val="20"/>
          <w:lang w:val="en-US"/>
        </w:rPr>
        <w:t xml:space="preserve">with the index of which </w:t>
      </w:r>
      <w:r w:rsidR="00500DC6">
        <w:rPr>
          <w:rFonts w:ascii="Times New Roman" w:eastAsia="Times New Roman" w:hAnsi="Times New Roman" w:cs="Times New Roman"/>
          <w:color w:val="000000"/>
          <w:sz w:val="20"/>
          <w:lang w:val="en-US"/>
        </w:rPr>
        <w:t xml:space="preserve">there </w:t>
      </w:r>
      <w:r w:rsidR="00500DC6" w:rsidRPr="00001C0F">
        <w:rPr>
          <w:rFonts w:ascii="Times New Roman" w:eastAsia="Times New Roman" w:hAnsi="Times New Roman" w:cs="Times New Roman"/>
          <w:color w:val="000000"/>
          <w:sz w:val="20"/>
          <w:lang w:val="en-US"/>
        </w:rPr>
        <w:t>are statistically significant differences</w:t>
      </w:r>
      <w:r w:rsidRPr="00001C0F">
        <w:rPr>
          <w:rFonts w:ascii="Times New Roman" w:eastAsia="Times New Roman" w:hAnsi="Times New Roman" w:cs="Times New Roman"/>
          <w:color w:val="000000"/>
          <w:sz w:val="20"/>
          <w:lang w:val="en-US"/>
        </w:rPr>
        <w:t>.</w:t>
      </w:r>
    </w:p>
    <w:p w:rsidR="00001C0F" w:rsidRPr="00001C0F" w:rsidRDefault="007112D4" w:rsidP="00001C0F">
      <w:pPr>
        <w:spacing w:after="0" w:line="301" w:lineRule="atLeast"/>
        <w:ind w:firstLine="709"/>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lastRenderedPageBreak/>
        <w:t>If 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total sample of patients (excluding NSAID) erosive and ulcerative lesions in 31.25% were associated with genotype</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vacA</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s1 / m1;</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cagA</w:t>
      </w:r>
      <w:proofErr w:type="spellEnd"/>
      <w:r w:rsidR="007112D4">
        <w:rPr>
          <w:rFonts w:ascii="Times New Roman" w:eastAsia="Times New Roman" w:hAnsi="Times New Roman" w:cs="Times New Roman"/>
          <w:i/>
          <w:iCs/>
          <w:color w:val="000000"/>
          <w:sz w:val="28"/>
          <w:lang w:val="en-US"/>
        </w:rPr>
        <w:t xml:space="preserve"> </w:t>
      </w:r>
      <w:r w:rsidRPr="00001C0F">
        <w:rPr>
          <w:rFonts w:ascii="Times New Roman" w:eastAsia="Times New Roman" w:hAnsi="Times New Roman" w:cs="Times New Roman"/>
          <w:i/>
          <w:iCs/>
          <w:color w:val="000000"/>
          <w:sz w:val="28"/>
          <w:lang w:val="en-US"/>
        </w:rPr>
        <w: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ice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i/>
          <w:iCs/>
          <w:color w:val="000000"/>
          <w:sz w:val="28"/>
          <w:lang w:val="en-US"/>
        </w:rPr>
        <w:t>A1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(Table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thegroups</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formed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depending on the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NSAID,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ratio was different.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Among the observed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clinical group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taking</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z w:val="28"/>
          <w:lang w:val="en-US"/>
        </w:rPr>
        <w:t>diclofenac</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erosive and ulcerative changes were associated with</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cagA</w:t>
      </w:r>
      <w:proofErr w:type="spellEnd"/>
      <w:r w:rsidRPr="00001C0F">
        <w:rPr>
          <w:rFonts w:ascii="Times New Roman" w:eastAsia="Times New Roman" w:hAnsi="Times New Roman" w:cs="Times New Roman"/>
          <w:i/>
          <w:iCs/>
          <w:color w:val="000000"/>
          <w:sz w:val="28"/>
          <w:lang w:val="en-US"/>
        </w:rPr>
        <w:t xml:space="preserve"> +</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62.5%</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 66.67% in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group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II of</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meloxicam</w:t>
      </w:r>
      <w:proofErr w:type="spellEnd"/>
      <w:r w:rsidR="007112D4">
        <w:rPr>
          <w:rFonts w:ascii="Times New Roman" w:eastAsia="Times New Roman" w:hAnsi="Times New Roman" w:cs="Times New Roman"/>
          <w:color w:val="000000"/>
          <w:sz w:val="28"/>
          <w:lang w:val="en-US"/>
        </w:rPr>
        <w:t xml:space="preserve"> — </w:t>
      </w:r>
      <w:r w:rsidRPr="00001C0F">
        <w:rPr>
          <w:rFonts w:ascii="Times New Roman" w:eastAsia="Times New Roman" w:hAnsi="Times New Roman" w:cs="Times New Roman"/>
          <w:color w:val="000000"/>
          <w:sz w:val="28"/>
          <w:lang w:val="en-US"/>
        </w:rPr>
        <w:t>66.67%</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 33.33% respectively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governmental</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0</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5.).</w:t>
      </w:r>
    </w:p>
    <w:p w:rsidR="00001C0F" w:rsidRPr="00001C0F" w:rsidRDefault="005861DC" w:rsidP="00001C0F">
      <w:pPr>
        <w:spacing w:after="0" w:line="240" w:lineRule="auto"/>
        <w:ind w:firstLine="284"/>
        <w:rPr>
          <w:rFonts w:ascii="Times New Roman" w:eastAsia="Times New Roman" w:hAnsi="Times New Roman" w:cs="Times New Roman"/>
          <w:color w:val="000000"/>
          <w:sz w:val="27"/>
          <w:szCs w:val="27"/>
        </w:rPr>
      </w:pPr>
      <w:r w:rsidRPr="005861DC">
        <w:rPr>
          <w:rFonts w:ascii="Times New Roman" w:eastAsia="Times New Roman" w:hAnsi="Times New Roman" w:cs="Times New Roman"/>
          <w:noProof/>
          <w:color w:val="000000"/>
          <w:sz w:val="27"/>
          <w:szCs w:val="27"/>
          <w:lang w:eastAsia="zh-CN"/>
        </w:rPr>
        <w:drawing>
          <wp:inline distT="0" distB="0" distL="0" distR="0">
            <wp:extent cx="4848225" cy="3257550"/>
            <wp:effectExtent l="0" t="0" r="0" b="0"/>
            <wp:docPr id="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01C0F" w:rsidRPr="00001C0F" w:rsidRDefault="007112D4" w:rsidP="00001C0F">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i/>
          <w:iCs/>
          <w:color w:val="000000"/>
          <w:sz w:val="24"/>
          <w:szCs w:val="24"/>
          <w:lang w:val="en-US"/>
        </w:rPr>
        <w:t xml:space="preserve"> </w:t>
      </w:r>
    </w:p>
    <w:p w:rsidR="00001C0F" w:rsidRPr="00001C0F" w:rsidRDefault="00001C0F" w:rsidP="00001C0F">
      <w:pPr>
        <w:spacing w:after="0" w:line="240" w:lineRule="auto"/>
        <w:jc w:val="both"/>
        <w:rPr>
          <w:rFonts w:ascii="Times New Roman" w:eastAsia="Times New Roman" w:hAnsi="Times New Roman" w:cs="Times New Roman"/>
          <w:color w:val="000000"/>
          <w:sz w:val="27"/>
          <w:szCs w:val="27"/>
          <w:lang w:val="en-US"/>
        </w:rPr>
      </w:pPr>
      <w:proofErr w:type="gramStart"/>
      <w:r w:rsidRPr="00001C0F">
        <w:rPr>
          <w:rFonts w:ascii="Times New Roman" w:eastAsia="Times New Roman" w:hAnsi="Times New Roman" w:cs="Times New Roman"/>
          <w:color w:val="000000"/>
          <w:sz w:val="28"/>
          <w:lang w:val="en-US"/>
        </w:rPr>
        <w:t>Fig.</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3.</w:t>
      </w:r>
      <w:proofErr w:type="gramEnd"/>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The distribution of genotype variants</w:t>
      </w:r>
      <w:r w:rsidR="007112D4">
        <w:rPr>
          <w:rFonts w:ascii="Times New Roman" w:eastAsia="Times New Roman" w:hAnsi="Times New Roman" w:cs="Times New Roman"/>
          <w:color w:val="000000"/>
          <w:sz w:val="27"/>
          <w:lang w:val="en-US"/>
        </w:rPr>
        <w:t xml:space="preserve"> </w:t>
      </w:r>
      <w:proofErr w:type="spellStart"/>
      <w:r w:rsidRPr="00001C0F">
        <w:rPr>
          <w:rFonts w:ascii="Times New Roman" w:eastAsia="Times New Roman" w:hAnsi="Times New Roman" w:cs="Times New Roman"/>
          <w:color w:val="000000"/>
          <w:sz w:val="28"/>
          <w:lang w:val="en-US"/>
        </w:rPr>
        <w:t>cag</w:t>
      </w:r>
      <w:proofErr w:type="spellEnd"/>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A</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clinical groups depending on the presence of erosive and ulcerative changes.</w:t>
      </w:r>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01C0F" w:rsidRPr="00500DC6"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Even more interesting was the distribution of serotypes</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In the group treated with</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diclofenac</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among</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persons with erosive-ulcerative changes were allocated only serotypes</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s1 /</w:t>
      </w:r>
      <w:r w:rsidR="007112D4">
        <w:rPr>
          <w:rFonts w:ascii="Times New Roman" w:eastAsia="Times New Roman" w:hAnsi="Times New Roman" w:cs="Times New Roman"/>
          <w:i/>
          <w:iCs/>
          <w:color w:val="000000"/>
          <w:sz w:val="28"/>
          <w:lang w:val="en-US"/>
        </w:rPr>
        <w:t xml:space="preserve"> </w:t>
      </w:r>
      <w:r w:rsidRPr="00001C0F">
        <w:rPr>
          <w:rFonts w:ascii="Times New Roman" w:eastAsia="Times New Roman" w:hAnsi="Times New Roman" w:cs="Times New Roman"/>
          <w:i/>
          <w:iCs/>
          <w:color w:val="000000"/>
          <w:sz w:val="28"/>
          <w:lang w:val="en-US"/>
        </w:rPr>
        <w:t>m1,</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s1 / m2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s2 / m2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distribution 2</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2</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33</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3%</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44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respectively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(p&lt;0.</w:t>
      </w:r>
      <w:r w:rsidRPr="00500DC6">
        <w:rPr>
          <w:rFonts w:ascii="Times New Roman" w:eastAsia="Times New Roman" w:hAnsi="Times New Roman" w:cs="Times New Roman"/>
          <w:color w:val="000000"/>
          <w:sz w:val="28"/>
          <w:lang w:val="en-US"/>
        </w:rPr>
        <w:t>05).</w:t>
      </w:r>
    </w:p>
    <w:p w:rsidR="00001C0F" w:rsidRPr="00001C0F" w:rsidRDefault="005861DC" w:rsidP="00001C0F">
      <w:pPr>
        <w:spacing w:after="0" w:line="240" w:lineRule="auto"/>
        <w:ind w:firstLine="284"/>
        <w:rPr>
          <w:rFonts w:ascii="Times New Roman" w:eastAsia="Times New Roman" w:hAnsi="Times New Roman" w:cs="Times New Roman"/>
          <w:color w:val="000000"/>
          <w:sz w:val="27"/>
          <w:szCs w:val="27"/>
        </w:rPr>
      </w:pPr>
      <w:r w:rsidRPr="005861DC">
        <w:rPr>
          <w:rFonts w:ascii="Times New Roman" w:eastAsia="Times New Roman" w:hAnsi="Times New Roman" w:cs="Times New Roman"/>
          <w:noProof/>
          <w:color w:val="000000"/>
          <w:sz w:val="27"/>
          <w:szCs w:val="27"/>
          <w:lang w:eastAsia="zh-CN"/>
        </w:rPr>
        <w:lastRenderedPageBreak/>
        <w:drawing>
          <wp:inline distT="0" distB="0" distL="0" distR="0">
            <wp:extent cx="4791075" cy="3000375"/>
            <wp:effectExtent l="0" t="0" r="0" b="0"/>
            <wp:docPr id="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01C0F" w:rsidRPr="00001C0F" w:rsidRDefault="007112D4" w:rsidP="00001C0F">
      <w:pPr>
        <w:spacing w:after="0" w:line="240" w:lineRule="auto"/>
        <w:ind w:firstLine="284"/>
        <w:rPr>
          <w:rFonts w:ascii="Times New Roman" w:eastAsia="Times New Roman" w:hAnsi="Times New Roman" w:cs="Times New Roman"/>
          <w:color w:val="000000"/>
          <w:sz w:val="27"/>
          <w:szCs w:val="27"/>
          <w:lang w:val="en-US"/>
        </w:rPr>
      </w:pPr>
      <w:r>
        <w:rPr>
          <w:rFonts w:ascii="Times New Roman" w:eastAsia="Times New Roman" w:hAnsi="Times New Roman" w:cs="Times New Roman"/>
          <w:b/>
          <w:bCs/>
          <w:i/>
          <w:iCs/>
          <w:color w:val="000000"/>
          <w:sz w:val="24"/>
          <w:szCs w:val="24"/>
          <w:lang w:val="en-US"/>
        </w:rPr>
        <w:t xml:space="preserve"> </w:t>
      </w:r>
    </w:p>
    <w:p w:rsidR="00001C0F" w:rsidRPr="00001C0F" w:rsidRDefault="00001C0F" w:rsidP="00001C0F">
      <w:pPr>
        <w:spacing w:after="0" w:line="240" w:lineRule="auto"/>
        <w:rPr>
          <w:rFonts w:ascii="Times New Roman" w:eastAsia="Times New Roman" w:hAnsi="Times New Roman" w:cs="Times New Roman"/>
          <w:color w:val="000000"/>
          <w:sz w:val="27"/>
          <w:szCs w:val="27"/>
          <w:lang w:val="en-US"/>
        </w:rPr>
      </w:pPr>
      <w:proofErr w:type="gramStart"/>
      <w:r w:rsidRPr="00001C0F">
        <w:rPr>
          <w:rFonts w:ascii="Times New Roman" w:eastAsia="Times New Roman" w:hAnsi="Times New Roman" w:cs="Times New Roman"/>
          <w:color w:val="000000"/>
          <w:sz w:val="28"/>
          <w:lang w:val="en-US"/>
        </w:rPr>
        <w:t>Fig.</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z w:val="28"/>
          <w:lang w:val="en-US"/>
        </w:rPr>
        <w:t>4.</w:t>
      </w:r>
      <w:proofErr w:type="gramEnd"/>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The distribution of genotypes</w:t>
      </w:r>
      <w:r w:rsidR="007112D4">
        <w:rPr>
          <w:rFonts w:ascii="Times New Roman" w:eastAsia="Times New Roman" w:hAnsi="Times New Roman" w:cs="Times New Roman"/>
          <w:color w:val="000000"/>
          <w:sz w:val="27"/>
          <w:lang w:val="en-US"/>
        </w:rPr>
        <w:t xml:space="preserve"> </w:t>
      </w:r>
      <w:proofErr w:type="spellStart"/>
      <w:r w:rsidRPr="00001C0F">
        <w:rPr>
          <w:rFonts w:ascii="Times New Roman" w:eastAsia="Times New Roman" w:hAnsi="Times New Roman" w:cs="Times New Roman"/>
          <w:color w:val="000000"/>
          <w:sz w:val="28"/>
          <w:lang w:val="en-US"/>
        </w:rPr>
        <w:t>vacA</w:t>
      </w:r>
      <w:proofErr w:type="spellEnd"/>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options</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7"/>
          <w:szCs w:val="27"/>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7"/>
          <w:lang w:val="en-US"/>
        </w:rPr>
        <w:t xml:space="preserve"> </w:t>
      </w:r>
      <w:r w:rsidRPr="00001C0F">
        <w:rPr>
          <w:rFonts w:ascii="Times New Roman" w:eastAsia="Times New Roman" w:hAnsi="Times New Roman" w:cs="Times New Roman"/>
          <w:color w:val="000000"/>
          <w:sz w:val="28"/>
          <w:lang w:val="en-US"/>
        </w:rPr>
        <w:t>clinical groups depending on the presence of erosive and ulcerative changes.</w:t>
      </w:r>
    </w:p>
    <w:p w:rsidR="00001C0F" w:rsidRPr="00001C0F" w:rsidRDefault="007112D4"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 </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And in the second group, where patients took</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color w:val="000000"/>
          <w:sz w:val="28"/>
          <w:lang w:val="en-US"/>
        </w:rPr>
        <w:t>meloxicam</w:t>
      </w:r>
      <w:proofErr w:type="spellEnd"/>
      <w:r w:rsidRPr="00001C0F">
        <w:rPr>
          <w:rFonts w:ascii="Times New Roman" w:eastAsia="Times New Roman" w:hAnsi="Times New Roman" w:cs="Times New Roman"/>
          <w:color w:val="000000"/>
          <w:sz w:val="28"/>
          <w:lang w:val="en-US"/>
        </w:rPr>
        <w: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have been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allocated only serotypes</w:t>
      </w:r>
      <w:r w:rsidR="007112D4">
        <w:rPr>
          <w:rFonts w:ascii="Times New Roman" w:eastAsia="Times New Roman" w:hAnsi="Times New Roman" w:cs="Times New Roman"/>
          <w:color w:val="000000"/>
          <w:sz w:val="28"/>
          <w:szCs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proofErr w:type="gramStart"/>
      <w:r w:rsidRPr="00001C0F">
        <w:rPr>
          <w:rFonts w:ascii="Times New Roman" w:eastAsia="Times New Roman" w:hAnsi="Times New Roman" w:cs="Times New Roman"/>
          <w:i/>
          <w:iCs/>
          <w:color w:val="000000"/>
          <w:sz w:val="28"/>
          <w:lang w:val="en-US"/>
        </w:rPr>
        <w:t>A</w:t>
      </w:r>
      <w:proofErr w:type="gramEnd"/>
      <w:r w:rsidRPr="00001C0F">
        <w:rPr>
          <w:rFonts w:ascii="Times New Roman" w:eastAsia="Times New Roman" w:hAnsi="Times New Roman" w:cs="Times New Roman"/>
          <w:i/>
          <w:iCs/>
          <w:color w:val="000000"/>
          <w:sz w:val="28"/>
          <w:lang w:val="en-US"/>
        </w:rPr>
        <w:t xml:space="preserve"> s1 / m1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i/>
          <w:iCs/>
          <w:color w:val="000000"/>
          <w:sz w:val="28"/>
          <w:lang w:val="en-US"/>
        </w:rPr>
        <w:t>vac</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i/>
          <w:iCs/>
          <w:color w:val="000000"/>
          <w:sz w:val="28"/>
          <w:lang w:val="en-US"/>
        </w:rPr>
        <w:t>A s2 / m2</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with the distribution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66.67%</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33.33%,</w:t>
      </w:r>
      <w:r w:rsidR="00500DC6">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respectively</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&lt;0.05).</w:t>
      </w:r>
    </w:p>
    <w:p w:rsidR="00001C0F" w:rsidRPr="00001C0F" w:rsidRDefault="00500DC6" w:rsidP="00001C0F">
      <w:pPr>
        <w:spacing w:after="0" w:line="351" w:lineRule="atLeast"/>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lang w:val="en-US"/>
        </w:rPr>
        <w:t>Results of</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 xml:space="preserve">study </w:t>
      </w:r>
      <w:r>
        <w:rPr>
          <w:rFonts w:ascii="Times New Roman" w:eastAsia="Times New Roman" w:hAnsi="Times New Roman" w:cs="Times New Roman"/>
          <w:color w:val="000000"/>
          <w:sz w:val="28"/>
          <w:lang w:val="en-US"/>
        </w:rPr>
        <w:t>confirm</w:t>
      </w:r>
      <w:r w:rsidR="00001C0F" w:rsidRPr="00001C0F">
        <w:rPr>
          <w:rFonts w:ascii="Times New Roman" w:eastAsia="Times New Roman" w:hAnsi="Times New Roman" w:cs="Times New Roman"/>
          <w:color w:val="000000"/>
          <w:sz w:val="28"/>
          <w:lang w:val="en-US"/>
        </w:rPr>
        <w:t xml:space="preserve"> the presence of certain</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significant differences</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Depending on the</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presence</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of</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erosive-ulcerous and</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factor</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changes</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NSAID.</w:t>
      </w:r>
      <w:r w:rsidR="007112D4">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There was</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a significant impact on Factor NSAID availability</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definition</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of n</w:t>
      </w:r>
      <w:r w:rsidR="007112D4">
        <w:rPr>
          <w:rFonts w:ascii="Times New Roman" w:eastAsia="Times New Roman" w:hAnsi="Times New Roman" w:cs="Times New Roman"/>
          <w:color w:val="000000"/>
          <w:sz w:val="28"/>
          <w:lang w:val="en-US"/>
        </w:rPr>
        <w:t xml:space="preserve"> </w:t>
      </w:r>
      <w:proofErr w:type="spellStart"/>
      <w:r w:rsidR="00001C0F" w:rsidRPr="00001C0F">
        <w:rPr>
          <w:rFonts w:ascii="Times New Roman" w:eastAsia="Times New Roman" w:hAnsi="Times New Roman" w:cs="Times New Roman"/>
          <w:color w:val="000000"/>
          <w:sz w:val="28"/>
          <w:lang w:val="en-US"/>
        </w:rPr>
        <w:t>n</w:t>
      </w:r>
      <w:proofErr w:type="spellEnd"/>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s strains</w:t>
      </w:r>
      <w:r w:rsidR="007112D4">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pylori</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in erosive and ulcerative</w:t>
      </w:r>
      <w:r w:rsidR="007112D4">
        <w:rPr>
          <w:rFonts w:ascii="Times New Roman" w:eastAsia="Times New Roman" w:hAnsi="Times New Roman" w:cs="Times New Roman"/>
          <w:color w:val="000000"/>
          <w:sz w:val="28"/>
          <w:szCs w:val="28"/>
          <w:lang w:val="en-US"/>
        </w:rPr>
        <w:t xml:space="preserve"> </w:t>
      </w:r>
      <w:r w:rsidR="00001C0F" w:rsidRPr="00001C0F">
        <w:rPr>
          <w:rFonts w:ascii="Times New Roman" w:eastAsia="Times New Roman" w:hAnsi="Times New Roman" w:cs="Times New Roman"/>
          <w:color w:val="000000"/>
          <w:sz w:val="28"/>
          <w:lang w:val="en-US"/>
        </w:rPr>
        <w:t>changes in the gastric mucosa</w:t>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r w:rsidR="00001C0F" w:rsidRPr="00001C0F">
        <w:rPr>
          <w:rFonts w:ascii="Symbol" w:eastAsia="Times New Roman" w:hAnsi="Symbol" w:cs="Times New Roman"/>
          <w:color w:val="000000"/>
          <w:sz w:val="28"/>
        </w:rPr>
        <w:sym w:font="Symbol" w:char="F03C"/>
      </w:r>
      <w:r w:rsidR="007112D4">
        <w:rPr>
          <w:rFonts w:ascii="Times New Roman" w:eastAsia="Times New Roman" w:hAnsi="Times New Roman" w:cs="Times New Roman"/>
          <w:color w:val="000000"/>
          <w:sz w:val="28"/>
          <w:lang w:val="en-US"/>
        </w:rPr>
        <w:t xml:space="preserve"> </w:t>
      </w:r>
      <w:r w:rsidR="00001C0F" w:rsidRPr="00001C0F">
        <w:rPr>
          <w:rFonts w:ascii="Times New Roman" w:eastAsia="Times New Roman" w:hAnsi="Times New Roman" w:cs="Times New Roman"/>
          <w:color w:val="000000"/>
          <w:sz w:val="28"/>
          <w:lang w:val="en-US"/>
        </w:rPr>
        <w:t>0.01).</w:t>
      </w:r>
    </w:p>
    <w:p w:rsidR="00001C0F" w:rsidRPr="00001C0F" w:rsidRDefault="00001C0F" w:rsidP="00001C0F">
      <w:pPr>
        <w:spacing w:after="0" w:line="351" w:lineRule="atLeast"/>
        <w:ind w:firstLine="709"/>
        <w:jc w:val="both"/>
        <w:rPr>
          <w:rFonts w:ascii="Times New Roman" w:eastAsia="Times New Roman" w:hAnsi="Times New Roman" w:cs="Times New Roman"/>
          <w:color w:val="000000"/>
          <w:sz w:val="28"/>
          <w:szCs w:val="28"/>
          <w:lang w:val="en-US"/>
        </w:rPr>
      </w:pPr>
      <w:r w:rsidRPr="00001C0F">
        <w:rPr>
          <w:rFonts w:ascii="Times New Roman" w:eastAsia="Times New Roman" w:hAnsi="Times New Roman" w:cs="Times New Roman"/>
          <w:color w:val="000000"/>
          <w:sz w:val="28"/>
          <w:lang w:val="en-US"/>
        </w:rPr>
        <w:t>Despite the fact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that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 number of studies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in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vitro</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demonstrated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that aspirin and</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pacing w:val="-3"/>
          <w:sz w:val="28"/>
          <w:lang w:val="en-US"/>
        </w:rPr>
        <w:t>celecoxib</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3"/>
          <w:sz w:val="28"/>
          <w:lang w:val="en-US"/>
        </w:rPr>
        <w:t>(as a selective inhibitor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3"/>
          <w:sz w:val="28"/>
          <w:lang w:val="en-US"/>
        </w:rPr>
        <w:t xml:space="preserve">of </w:t>
      </w:r>
      <w:proofErr w:type="spellStart"/>
      <w:r w:rsidRPr="00001C0F">
        <w:rPr>
          <w:rFonts w:ascii="Times New Roman" w:eastAsia="Times New Roman" w:hAnsi="Times New Roman" w:cs="Times New Roman"/>
          <w:color w:val="000000"/>
          <w:spacing w:val="-3"/>
          <w:sz w:val="28"/>
          <w:lang w:val="en-US"/>
        </w:rPr>
        <w:t>cyclooxygenase</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3"/>
          <w:sz w:val="28"/>
          <w:lang w:val="en-US"/>
        </w:rPr>
        <w:t>-2), inhibited growth of</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pacing w:val="-2"/>
          <w:sz w:val="28"/>
          <w:lang w:val="en-US"/>
        </w:rPr>
        <w:t>Helicobacterpylori</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1"/>
          <w:sz w:val="28"/>
          <w:lang w:val="en-US"/>
        </w:rPr>
        <w:t>&amp; Reduction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whether the activity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 xml:space="preserve">of </w:t>
      </w:r>
      <w:proofErr w:type="spellStart"/>
      <w:r w:rsidRPr="00001C0F">
        <w:rPr>
          <w:rFonts w:ascii="Times New Roman" w:eastAsia="Times New Roman" w:hAnsi="Times New Roman" w:cs="Times New Roman"/>
          <w:color w:val="000000"/>
          <w:spacing w:val="1"/>
          <w:sz w:val="28"/>
          <w:lang w:val="en-US"/>
        </w:rPr>
        <w:t>urease</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pacing w:val="1"/>
          <w:sz w:val="28"/>
          <w:lang w:val="en-US"/>
        </w:rPr>
        <w:t>and</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toxin</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vacuolating</w:t>
      </w:r>
      <w:proofErr w:type="spellEnd"/>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doses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dependent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manner, thereby at</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pacing w:val="-2"/>
          <w:sz w:val="28"/>
          <w:lang w:val="en-US"/>
        </w:rPr>
        <w:t>kazyvaya</w:t>
      </w:r>
      <w:proofErr w:type="spellEnd"/>
      <w:r w:rsidRPr="00001C0F">
        <w:rPr>
          <w:rFonts w:ascii="Times New Roman" w:eastAsia="Times New Roman" w:hAnsi="Times New Roman" w:cs="Times New Roman"/>
          <w:color w:val="000000"/>
          <w:spacing w:val="-2"/>
          <w:sz w:val="28"/>
          <w:lang w:val="en-US"/>
        </w:rPr>
        <w:t xml:space="preserve"> that NSAIDs can counteract damage to</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gastric mucosa caused by infection</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pacing w:val="-2"/>
          <w:sz w:val="28"/>
          <w:lang w:val="en-US"/>
        </w:rPr>
        <w:t>pylori</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[3,</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9, 10, 14,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15],</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due</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complex mechanisms involved in the cascade of</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cytokines</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[4,</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7,</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11,</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16],</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the molecular mechanism</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of interaction between</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Helicobacter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p</w:t>
      </w:r>
      <w:r w:rsidR="007112D4">
        <w:rPr>
          <w:rFonts w:ascii="Times New Roman" w:eastAsia="Times New Roman" w:hAnsi="Times New Roman" w:cs="Times New Roman"/>
          <w:color w:val="000000"/>
          <w:sz w:val="28"/>
          <w:lang w:val="en-US"/>
        </w:rPr>
        <w:t xml:space="preserve"> </w:t>
      </w:r>
      <w:proofErr w:type="spellStart"/>
      <w:r w:rsidRPr="00001C0F">
        <w:rPr>
          <w:rFonts w:ascii="Times New Roman" w:eastAsia="Times New Roman" w:hAnsi="Times New Roman" w:cs="Times New Roman"/>
          <w:color w:val="000000"/>
          <w:sz w:val="28"/>
          <w:lang w:val="en-US"/>
        </w:rPr>
        <w:t>ylori</w:t>
      </w:r>
      <w:proofErr w:type="spellEnd"/>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and NSAIDs remains largely unclear</w:t>
      </w:r>
      <w:r w:rsidR="007112D4">
        <w:rPr>
          <w:rFonts w:ascii="Times New Roman" w:eastAsia="Times New Roman" w:hAnsi="Times New Roman" w:cs="Times New Roman"/>
          <w:color w:val="000000"/>
          <w:sz w:val="28"/>
          <w:szCs w:val="28"/>
          <w:lang w:val="en-US"/>
        </w:rPr>
        <w:t xml:space="preserve"> </w:t>
      </w:r>
      <w:r w:rsidRPr="00001C0F">
        <w:rPr>
          <w:rFonts w:ascii="Times New Roman" w:eastAsia="Times New Roman" w:hAnsi="Times New Roman" w:cs="Times New Roman"/>
          <w:color w:val="000000"/>
          <w:sz w:val="28"/>
          <w:lang w:val="en-US"/>
        </w:rPr>
        <w:t>and requires further study</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to</w:t>
      </w:r>
      <w:r w:rsidR="007112D4">
        <w:rPr>
          <w:rFonts w:ascii="Times New Roman" w:eastAsia="Times New Roman" w:hAnsi="Times New Roman" w:cs="Times New Roman"/>
          <w:color w:val="000000"/>
          <w:sz w:val="28"/>
          <w:lang w:val="en-US"/>
        </w:rPr>
        <w:t xml:space="preserve"> </w:t>
      </w:r>
      <w:r w:rsidR="005861DC">
        <w:rPr>
          <w:rFonts w:ascii="Times New Roman" w:eastAsia="Times New Roman" w:hAnsi="Times New Roman" w:cs="Times New Roman"/>
          <w:color w:val="000000"/>
          <w:sz w:val="28"/>
          <w:lang w:val="en-US"/>
        </w:rPr>
        <w:t>larger</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patient</w:t>
      </w:r>
      <w:r w:rsidR="007112D4">
        <w:rPr>
          <w:rFonts w:ascii="Times New Roman" w:eastAsia="Times New Roman" w:hAnsi="Times New Roman" w:cs="Times New Roman"/>
          <w:color w:val="000000"/>
          <w:sz w:val="28"/>
          <w:lang w:val="en-US"/>
        </w:rPr>
        <w:t xml:space="preserve"> </w:t>
      </w:r>
      <w:r w:rsidRPr="00001C0F">
        <w:rPr>
          <w:rFonts w:ascii="Times New Roman" w:eastAsia="Times New Roman" w:hAnsi="Times New Roman" w:cs="Times New Roman"/>
          <w:color w:val="000000"/>
          <w:sz w:val="28"/>
          <w:lang w:val="en-US"/>
        </w:rPr>
        <w:t>population.</w:t>
      </w:r>
    </w:p>
    <w:p w:rsidR="00001C0F" w:rsidRPr="00001C0F" w:rsidRDefault="007112D4" w:rsidP="00001C0F">
      <w:pPr>
        <w:spacing w:after="0" w:line="240" w:lineRule="auto"/>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4"/>
          <w:szCs w:val="24"/>
          <w:lang w:val="en-US"/>
        </w:rPr>
        <w:t xml:space="preserve"> </w:t>
      </w:r>
    </w:p>
    <w:p w:rsidR="00001C0F" w:rsidRPr="00001C0F" w:rsidRDefault="00001C0F" w:rsidP="00001C0F">
      <w:pPr>
        <w:spacing w:after="0" w:line="351" w:lineRule="atLeast"/>
        <w:ind w:firstLine="357"/>
        <w:rPr>
          <w:rFonts w:ascii="Times New Roman" w:eastAsia="Times New Roman" w:hAnsi="Times New Roman" w:cs="Times New Roman"/>
          <w:color w:val="000000"/>
          <w:sz w:val="28"/>
          <w:szCs w:val="28"/>
        </w:rPr>
      </w:pPr>
      <w:proofErr w:type="spellStart"/>
      <w:r w:rsidRPr="00001C0F">
        <w:rPr>
          <w:rFonts w:ascii="Times New Roman" w:eastAsia="Times New Roman" w:hAnsi="Times New Roman" w:cs="Times New Roman"/>
          <w:b/>
          <w:bCs/>
          <w:color w:val="000000"/>
          <w:sz w:val="28"/>
        </w:rPr>
        <w:t>References</w:t>
      </w:r>
      <w:proofErr w:type="spellEnd"/>
      <w:r w:rsidRPr="00001C0F">
        <w:rPr>
          <w:rFonts w:ascii="Times New Roman" w:eastAsia="Times New Roman" w:hAnsi="Times New Roman" w:cs="Times New Roman"/>
          <w:b/>
          <w:bCs/>
          <w:color w:val="000000"/>
          <w:sz w:val="28"/>
        </w:rPr>
        <w:t>:</w:t>
      </w:r>
    </w:p>
    <w:p w:rsidR="00500DC6" w:rsidRPr="00500DC6" w:rsidRDefault="00500DC6" w:rsidP="00500DC6">
      <w:pPr>
        <w:numPr>
          <w:ilvl w:val="0"/>
          <w:numId w:val="4"/>
        </w:numPr>
        <w:spacing w:after="0" w:line="240" w:lineRule="auto"/>
        <w:ind w:left="714" w:hanging="357"/>
        <w:jc w:val="both"/>
        <w:rPr>
          <w:rFonts w:ascii="Times New Roman" w:hAnsi="Times New Roman" w:cs="Times New Roman"/>
          <w:sz w:val="28"/>
          <w:szCs w:val="28"/>
        </w:rPr>
      </w:pPr>
      <w:r w:rsidRPr="00500DC6">
        <w:rPr>
          <w:rFonts w:ascii="Times New Roman" w:hAnsi="Times New Roman" w:cs="Times New Roman"/>
          <w:sz w:val="28"/>
          <w:szCs w:val="28"/>
          <w:lang w:eastAsia="ja-JP"/>
        </w:rPr>
        <w:t>Насонов Е. Л. Нестероидные противовоспалительные препараты (Перспективы применения в медицине) / Е. Л. Насонов. — М.</w:t>
      </w:r>
      <w:proofErr w:type="gramStart"/>
      <w:r w:rsidRPr="00500DC6">
        <w:rPr>
          <w:rFonts w:ascii="Times New Roman" w:hAnsi="Times New Roman" w:cs="Times New Roman"/>
          <w:sz w:val="28"/>
          <w:szCs w:val="28"/>
          <w:lang w:eastAsia="ja-JP"/>
        </w:rPr>
        <w:t xml:space="preserve"> :</w:t>
      </w:r>
      <w:proofErr w:type="gramEnd"/>
      <w:r w:rsidRPr="00500DC6">
        <w:rPr>
          <w:rFonts w:ascii="Times New Roman" w:hAnsi="Times New Roman" w:cs="Times New Roman"/>
          <w:sz w:val="28"/>
          <w:szCs w:val="28"/>
          <w:lang w:eastAsia="ja-JP"/>
        </w:rPr>
        <w:t xml:space="preserve"> </w:t>
      </w:r>
      <w:proofErr w:type="spellStart"/>
      <w:r w:rsidRPr="00500DC6">
        <w:rPr>
          <w:rFonts w:ascii="Times New Roman" w:hAnsi="Times New Roman" w:cs="Times New Roman"/>
          <w:sz w:val="28"/>
          <w:szCs w:val="28"/>
          <w:lang w:eastAsia="ja-JP"/>
        </w:rPr>
        <w:t>Анко</w:t>
      </w:r>
      <w:proofErr w:type="spellEnd"/>
      <w:r w:rsidRPr="00500DC6">
        <w:rPr>
          <w:rFonts w:ascii="Times New Roman" w:hAnsi="Times New Roman" w:cs="Times New Roman"/>
          <w:sz w:val="28"/>
          <w:szCs w:val="28"/>
          <w:lang w:eastAsia="ja-JP"/>
        </w:rPr>
        <w:t>, 2000. — 142 с.</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rPr>
      </w:pPr>
      <w:proofErr w:type="spellStart"/>
      <w:r w:rsidRPr="00500DC6">
        <w:rPr>
          <w:rFonts w:ascii="Times New Roman" w:hAnsi="Times New Roman" w:cs="Times New Roman"/>
          <w:iCs/>
          <w:sz w:val="28"/>
          <w:szCs w:val="28"/>
        </w:rPr>
        <w:t>Ширинская</w:t>
      </w:r>
      <w:proofErr w:type="spellEnd"/>
      <w:r w:rsidRPr="00500DC6">
        <w:rPr>
          <w:rFonts w:ascii="Times New Roman" w:hAnsi="Times New Roman" w:cs="Times New Roman"/>
          <w:iCs/>
          <w:sz w:val="28"/>
          <w:szCs w:val="28"/>
        </w:rPr>
        <w:t xml:space="preserve"> Н. В.</w:t>
      </w:r>
      <w:r w:rsidRPr="00500DC6">
        <w:rPr>
          <w:rFonts w:ascii="Times New Roman" w:hAnsi="Times New Roman" w:cs="Times New Roman"/>
          <w:sz w:val="28"/>
          <w:szCs w:val="28"/>
        </w:rPr>
        <w:t xml:space="preserve"> </w:t>
      </w:r>
      <w:hyperlink r:id="rId13" w:history="1">
        <w:proofErr w:type="spellStart"/>
        <w:r w:rsidRPr="00500DC6">
          <w:rPr>
            <w:rStyle w:val="a4"/>
            <w:rFonts w:ascii="Times New Roman" w:hAnsi="Times New Roman" w:cs="Times New Roman"/>
            <w:bCs/>
            <w:color w:val="auto"/>
            <w:sz w:val="28"/>
            <w:szCs w:val="28"/>
            <w:u w:val="none"/>
          </w:rPr>
          <w:t>НПВП-гастропатия</w:t>
        </w:r>
        <w:proofErr w:type="spellEnd"/>
        <w:r w:rsidRPr="00500DC6">
          <w:rPr>
            <w:rStyle w:val="a4"/>
            <w:rFonts w:ascii="Times New Roman" w:hAnsi="Times New Roman" w:cs="Times New Roman"/>
            <w:bCs/>
            <w:color w:val="auto"/>
            <w:sz w:val="28"/>
            <w:szCs w:val="28"/>
            <w:u w:val="none"/>
          </w:rPr>
          <w:t xml:space="preserve"> и </w:t>
        </w:r>
        <w:r w:rsidRPr="00500DC6">
          <w:rPr>
            <w:rStyle w:val="a4"/>
            <w:rFonts w:ascii="Times New Roman" w:hAnsi="Times New Roman" w:cs="Times New Roman"/>
            <w:bCs/>
            <w:color w:val="auto"/>
            <w:sz w:val="28"/>
            <w:szCs w:val="28"/>
            <w:u w:val="none"/>
            <w:lang w:val="en-US"/>
          </w:rPr>
          <w:t>H</w:t>
        </w:r>
        <w:r w:rsidRPr="00500DC6">
          <w:rPr>
            <w:rStyle w:val="a4"/>
            <w:rFonts w:ascii="Times New Roman" w:hAnsi="Times New Roman" w:cs="Times New Roman"/>
            <w:bCs/>
            <w:iCs/>
            <w:color w:val="auto"/>
            <w:sz w:val="28"/>
            <w:szCs w:val="28"/>
            <w:u w:val="none"/>
            <w:lang w:val="en-US"/>
          </w:rPr>
          <w:t>elicobacter</w:t>
        </w:r>
        <w:r w:rsidRPr="00500DC6">
          <w:rPr>
            <w:rStyle w:val="a4"/>
            <w:rFonts w:ascii="Times New Roman" w:hAnsi="Times New Roman" w:cs="Times New Roman"/>
            <w:bCs/>
            <w:iCs/>
            <w:color w:val="auto"/>
            <w:sz w:val="28"/>
            <w:szCs w:val="28"/>
            <w:u w:val="none"/>
          </w:rPr>
          <w:t xml:space="preserve"> </w:t>
        </w:r>
        <w:r w:rsidRPr="00500DC6">
          <w:rPr>
            <w:rStyle w:val="a4"/>
            <w:rFonts w:ascii="Times New Roman" w:hAnsi="Times New Roman" w:cs="Times New Roman"/>
            <w:bCs/>
            <w:iCs/>
            <w:color w:val="auto"/>
            <w:sz w:val="28"/>
            <w:szCs w:val="28"/>
            <w:u w:val="none"/>
            <w:lang w:val="en-US"/>
          </w:rPr>
          <w:t>pylori</w:t>
        </w:r>
        <w:r w:rsidRPr="00500DC6">
          <w:rPr>
            <w:rStyle w:val="a4"/>
            <w:rFonts w:ascii="Times New Roman" w:hAnsi="Times New Roman" w:cs="Times New Roman"/>
            <w:bCs/>
            <w:color w:val="auto"/>
            <w:sz w:val="28"/>
            <w:szCs w:val="28"/>
            <w:u w:val="none"/>
          </w:rPr>
          <w:t>: больше вопросов, чем ответов</w:t>
        </w:r>
      </w:hyperlink>
      <w:r w:rsidRPr="00500DC6">
        <w:rPr>
          <w:rFonts w:ascii="Times New Roman" w:hAnsi="Times New Roman" w:cs="Times New Roman"/>
          <w:sz w:val="28"/>
          <w:szCs w:val="28"/>
        </w:rPr>
        <w:t xml:space="preserve"> / Н. В. </w:t>
      </w:r>
      <w:proofErr w:type="spellStart"/>
      <w:r w:rsidRPr="00500DC6">
        <w:rPr>
          <w:rFonts w:ascii="Times New Roman" w:hAnsi="Times New Roman" w:cs="Times New Roman"/>
          <w:sz w:val="28"/>
          <w:szCs w:val="28"/>
        </w:rPr>
        <w:t>Ширинская</w:t>
      </w:r>
      <w:proofErr w:type="spellEnd"/>
      <w:r w:rsidRPr="00500DC6">
        <w:rPr>
          <w:rFonts w:ascii="Times New Roman" w:hAnsi="Times New Roman" w:cs="Times New Roman"/>
          <w:sz w:val="28"/>
          <w:szCs w:val="28"/>
        </w:rPr>
        <w:t xml:space="preserve">, В. А. Ахмедов // </w:t>
      </w:r>
      <w:hyperlink r:id="rId14" w:history="1">
        <w:r w:rsidRPr="00500DC6">
          <w:rPr>
            <w:rStyle w:val="a4"/>
            <w:rFonts w:ascii="Times New Roman" w:hAnsi="Times New Roman" w:cs="Times New Roman"/>
            <w:color w:val="auto"/>
            <w:sz w:val="28"/>
            <w:szCs w:val="28"/>
            <w:u w:val="none"/>
          </w:rPr>
          <w:t>Экспериментальная и клиническая гастроэнтерология</w:t>
        </w:r>
      </w:hyperlink>
      <w:r w:rsidRPr="00500DC6">
        <w:rPr>
          <w:rFonts w:ascii="Times New Roman" w:hAnsi="Times New Roman" w:cs="Times New Roman"/>
          <w:sz w:val="28"/>
          <w:szCs w:val="28"/>
        </w:rPr>
        <w:t xml:space="preserve">. — 2010. — </w:t>
      </w:r>
      <w:hyperlink r:id="rId15" w:history="1">
        <w:r w:rsidRPr="00500DC6">
          <w:rPr>
            <w:rStyle w:val="a4"/>
            <w:rFonts w:ascii="Times New Roman" w:hAnsi="Times New Roman" w:cs="Times New Roman"/>
            <w:color w:val="auto"/>
            <w:sz w:val="28"/>
            <w:szCs w:val="28"/>
            <w:u w:val="none"/>
          </w:rPr>
          <w:t>№ 9</w:t>
        </w:r>
      </w:hyperlink>
      <w:r w:rsidRPr="00500DC6">
        <w:rPr>
          <w:rFonts w:ascii="Times New Roman" w:hAnsi="Times New Roman" w:cs="Times New Roman"/>
          <w:sz w:val="28"/>
          <w:szCs w:val="28"/>
        </w:rPr>
        <w:t>. —С. 116–120.</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Aspirin inhibits the growth of Helicobacter pylori and enhances its susceptibility to antimicrobial agents / </w:t>
      </w:r>
      <w:r w:rsidRPr="00500DC6">
        <w:rPr>
          <w:rFonts w:ascii="Times New Roman" w:hAnsi="Times New Roman" w:cs="Times New Roman"/>
          <w:bCs/>
          <w:sz w:val="28"/>
          <w:szCs w:val="28"/>
          <w:lang w:val="en-US"/>
        </w:rPr>
        <w:t>W. H. Wang</w:t>
      </w:r>
      <w:r w:rsidRPr="00500DC6">
        <w:rPr>
          <w:rFonts w:ascii="Times New Roman" w:hAnsi="Times New Roman" w:cs="Times New Roman"/>
          <w:sz w:val="28"/>
          <w:szCs w:val="28"/>
          <w:lang w:val="en-US"/>
        </w:rPr>
        <w:t xml:space="preserve">, W. M. Wong, D. </w:t>
      </w:r>
      <w:proofErr w:type="spellStart"/>
      <w:r w:rsidRPr="00500DC6">
        <w:rPr>
          <w:rFonts w:ascii="Times New Roman" w:hAnsi="Times New Roman" w:cs="Times New Roman"/>
          <w:sz w:val="28"/>
          <w:szCs w:val="28"/>
          <w:lang w:val="en-US"/>
        </w:rPr>
        <w:t>Dailidiene</w:t>
      </w:r>
      <w:proofErr w:type="spellEnd"/>
      <w:r w:rsidRPr="00500DC6">
        <w:rPr>
          <w:rFonts w:ascii="Times New Roman" w:hAnsi="Times New Roman" w:cs="Times New Roman"/>
          <w:sz w:val="28"/>
          <w:szCs w:val="28"/>
          <w:lang w:val="en-US"/>
        </w:rPr>
        <w:t xml:space="preserve"> [et al.] // </w:t>
      </w:r>
      <w:r w:rsidRPr="00500DC6">
        <w:rPr>
          <w:rFonts w:ascii="Times New Roman" w:hAnsi="Times New Roman" w:cs="Times New Roman"/>
          <w:iCs/>
          <w:sz w:val="28"/>
          <w:szCs w:val="28"/>
          <w:lang w:val="en-US"/>
        </w:rPr>
        <w:t xml:space="preserve">Gut. — </w:t>
      </w:r>
      <w:r w:rsidRPr="00500DC6">
        <w:rPr>
          <w:rFonts w:ascii="Times New Roman" w:hAnsi="Times New Roman" w:cs="Times New Roman"/>
          <w:sz w:val="28"/>
          <w:szCs w:val="28"/>
          <w:lang w:val="en-US"/>
        </w:rPr>
        <w:t xml:space="preserve">2003. — Vol. </w:t>
      </w:r>
      <w:r w:rsidRPr="00500DC6">
        <w:rPr>
          <w:rFonts w:ascii="Times New Roman" w:hAnsi="Times New Roman" w:cs="Times New Roman"/>
          <w:bCs/>
          <w:sz w:val="28"/>
          <w:szCs w:val="28"/>
          <w:lang w:val="en-US"/>
        </w:rPr>
        <w:t xml:space="preserve">52. — P. </w:t>
      </w:r>
      <w:r w:rsidRPr="00500DC6">
        <w:rPr>
          <w:rFonts w:ascii="Times New Roman" w:hAnsi="Times New Roman" w:cs="Times New Roman"/>
          <w:sz w:val="28"/>
          <w:szCs w:val="28"/>
          <w:lang w:val="en-US"/>
        </w:rPr>
        <w:t xml:space="preserve">490–495. </w:t>
      </w:r>
    </w:p>
    <w:p w:rsidR="00500DC6" w:rsidRPr="00500DC6" w:rsidRDefault="00500DC6" w:rsidP="00500DC6">
      <w:pPr>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 </w:t>
      </w:r>
      <w:proofErr w:type="spellStart"/>
      <w:r w:rsidRPr="00500DC6">
        <w:rPr>
          <w:rFonts w:ascii="Times New Roman" w:hAnsi="Times New Roman" w:cs="Times New Roman"/>
          <w:sz w:val="28"/>
          <w:szCs w:val="28"/>
          <w:lang w:val="en-US"/>
        </w:rPr>
        <w:t>Barkin</w:t>
      </w:r>
      <w:proofErr w:type="spellEnd"/>
      <w:r w:rsidRPr="00500DC6">
        <w:rPr>
          <w:rFonts w:ascii="Times New Roman" w:hAnsi="Times New Roman" w:cs="Times New Roman"/>
          <w:sz w:val="28"/>
          <w:szCs w:val="28"/>
          <w:lang w:val="en-US"/>
        </w:rPr>
        <w:t xml:space="preserve"> J. The relation between </w:t>
      </w:r>
      <w:r w:rsidRPr="00500DC6">
        <w:rPr>
          <w:rFonts w:ascii="Times New Roman" w:hAnsi="Times New Roman" w:cs="Times New Roman"/>
          <w:iCs/>
          <w:sz w:val="28"/>
          <w:szCs w:val="28"/>
          <w:lang w:val="en-US"/>
        </w:rPr>
        <w:t>Helicobacter pylori</w:t>
      </w:r>
      <w:r w:rsidRPr="00500DC6">
        <w:rPr>
          <w:rFonts w:ascii="Times New Roman" w:hAnsi="Times New Roman" w:cs="Times New Roman"/>
          <w:sz w:val="28"/>
          <w:szCs w:val="28"/>
          <w:lang w:val="en-US"/>
        </w:rPr>
        <w:t xml:space="preserve"> and </w:t>
      </w:r>
      <w:proofErr w:type="spellStart"/>
      <w:r w:rsidRPr="00500DC6">
        <w:rPr>
          <w:rFonts w:ascii="Times New Roman" w:hAnsi="Times New Roman" w:cs="Times New Roman"/>
          <w:sz w:val="28"/>
          <w:szCs w:val="28"/>
          <w:lang w:val="en-US"/>
        </w:rPr>
        <w:t>nonsteroidal</w:t>
      </w:r>
      <w:proofErr w:type="spellEnd"/>
      <w:r w:rsidRPr="00500DC6">
        <w:rPr>
          <w:rFonts w:ascii="Times New Roman" w:hAnsi="Times New Roman" w:cs="Times New Roman"/>
          <w:sz w:val="28"/>
          <w:szCs w:val="28"/>
          <w:lang w:val="en-US"/>
        </w:rPr>
        <w:t xml:space="preserve"> anti-inflammatory drugs /J. </w:t>
      </w:r>
      <w:proofErr w:type="spellStart"/>
      <w:r w:rsidRPr="00500DC6">
        <w:rPr>
          <w:rFonts w:ascii="Times New Roman" w:hAnsi="Times New Roman" w:cs="Times New Roman"/>
          <w:sz w:val="28"/>
          <w:szCs w:val="28"/>
          <w:lang w:val="en-US"/>
        </w:rPr>
        <w:t>Barkin</w:t>
      </w:r>
      <w:proofErr w:type="spellEnd"/>
      <w:r w:rsidRPr="00500DC6">
        <w:rPr>
          <w:rFonts w:ascii="Times New Roman" w:hAnsi="Times New Roman" w:cs="Times New Roman"/>
          <w:sz w:val="28"/>
          <w:szCs w:val="28"/>
          <w:lang w:val="en-US"/>
        </w:rPr>
        <w:t xml:space="preserve"> // Am. J. Med. — 1998. — Vol. 105, No 5A. — P. 22–27. </w:t>
      </w:r>
    </w:p>
    <w:p w:rsidR="00500DC6" w:rsidRPr="00500DC6" w:rsidRDefault="00500DC6" w:rsidP="00500DC6">
      <w:pPr>
        <w:numPr>
          <w:ilvl w:val="0"/>
          <w:numId w:val="4"/>
        </w:numPr>
        <w:spacing w:after="0" w:line="240" w:lineRule="auto"/>
        <w:jc w:val="both"/>
        <w:rPr>
          <w:rFonts w:ascii="Times New Roman" w:hAnsi="Times New Roman" w:cs="Times New Roman"/>
          <w:sz w:val="28"/>
          <w:szCs w:val="28"/>
          <w:lang w:val="en-US"/>
        </w:rPr>
      </w:pPr>
      <w:r w:rsidRPr="00500DC6">
        <w:rPr>
          <w:rFonts w:ascii="Times New Roman" w:hAnsi="Times New Roman" w:cs="Times New Roman"/>
          <w:sz w:val="28"/>
          <w:szCs w:val="28"/>
          <w:lang w:val="en-US" w:eastAsia="ja-JP"/>
        </w:rPr>
        <w:t>Brooks P. M. Non-steroidal anti-inflammatory drugs: differences and similarities / P. M. Brooks, R. O. Day // N. Engl. J. Med. — 1993. — Vol. 324. — P. 1716–1725.</w:t>
      </w:r>
    </w:p>
    <w:p w:rsidR="00500DC6" w:rsidRPr="00500DC6" w:rsidRDefault="00500DC6" w:rsidP="00500DC6">
      <w:pPr>
        <w:numPr>
          <w:ilvl w:val="0"/>
          <w:numId w:val="4"/>
        </w:numPr>
        <w:spacing w:after="0" w:line="240" w:lineRule="auto"/>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Chan F. K. L. NSAID-induced peptic ulcers and Helicobacter pylori infection / F. K. L. Chan // Drug Safety. — 2005. — No 28. — P. 287–300.</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iCs/>
          <w:sz w:val="28"/>
          <w:szCs w:val="28"/>
          <w:lang w:val="en-US"/>
        </w:rPr>
        <w:t xml:space="preserve">Cover T. L. </w:t>
      </w:r>
      <w:r w:rsidRPr="00500DC6">
        <w:rPr>
          <w:rFonts w:ascii="Times New Roman" w:hAnsi="Times New Roman" w:cs="Times New Roman"/>
          <w:sz w:val="28"/>
          <w:szCs w:val="28"/>
          <w:lang w:val="en-US"/>
        </w:rPr>
        <w:t xml:space="preserve">Purification and characterization of the </w:t>
      </w:r>
      <w:proofErr w:type="spellStart"/>
      <w:r w:rsidRPr="00500DC6">
        <w:rPr>
          <w:rFonts w:ascii="Times New Roman" w:hAnsi="Times New Roman" w:cs="Times New Roman"/>
          <w:sz w:val="28"/>
          <w:szCs w:val="28"/>
          <w:lang w:val="en-US"/>
        </w:rPr>
        <w:t>vacuolating</w:t>
      </w:r>
      <w:proofErr w:type="spellEnd"/>
      <w:r w:rsidRPr="00500DC6">
        <w:rPr>
          <w:rFonts w:ascii="Times New Roman" w:hAnsi="Times New Roman" w:cs="Times New Roman"/>
          <w:sz w:val="28"/>
          <w:szCs w:val="28"/>
          <w:lang w:val="en-US"/>
        </w:rPr>
        <w:t xml:space="preserve"> toxin from Helicobacter pylori / </w:t>
      </w:r>
      <w:r w:rsidRPr="00500DC6">
        <w:rPr>
          <w:rFonts w:ascii="Times New Roman" w:hAnsi="Times New Roman" w:cs="Times New Roman"/>
          <w:iCs/>
          <w:sz w:val="28"/>
          <w:szCs w:val="28"/>
          <w:lang w:val="en-US"/>
        </w:rPr>
        <w:t xml:space="preserve">T. L. Cover, M. J. </w:t>
      </w:r>
      <w:proofErr w:type="spellStart"/>
      <w:r w:rsidRPr="00500DC6">
        <w:rPr>
          <w:rFonts w:ascii="Times New Roman" w:hAnsi="Times New Roman" w:cs="Times New Roman"/>
          <w:iCs/>
          <w:sz w:val="28"/>
          <w:szCs w:val="28"/>
          <w:lang w:val="en-US"/>
        </w:rPr>
        <w:t>Blaser</w:t>
      </w:r>
      <w:proofErr w:type="spellEnd"/>
      <w:r w:rsidRPr="00500DC6">
        <w:rPr>
          <w:rFonts w:ascii="Times New Roman" w:hAnsi="Times New Roman" w:cs="Times New Roman"/>
          <w:iCs/>
          <w:sz w:val="28"/>
          <w:szCs w:val="28"/>
          <w:lang w:val="en-US"/>
        </w:rPr>
        <w:t xml:space="preserve"> //</w:t>
      </w:r>
      <w:r w:rsidRPr="00500DC6">
        <w:rPr>
          <w:rFonts w:ascii="Times New Roman" w:hAnsi="Times New Roman" w:cs="Times New Roman"/>
          <w:sz w:val="28"/>
          <w:szCs w:val="28"/>
          <w:lang w:val="en-US"/>
        </w:rPr>
        <w:t xml:space="preserve"> J. Biol. Chem. — 1992. — Vol. 267. — P. 10570–10575.</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Cover T. L. The </w:t>
      </w:r>
      <w:proofErr w:type="spellStart"/>
      <w:r w:rsidRPr="00500DC6">
        <w:rPr>
          <w:rFonts w:ascii="Times New Roman" w:hAnsi="Times New Roman" w:cs="Times New Roman"/>
          <w:sz w:val="28"/>
          <w:szCs w:val="28"/>
          <w:lang w:val="en-US"/>
        </w:rPr>
        <w:t>vacuolating</w:t>
      </w:r>
      <w:proofErr w:type="spellEnd"/>
      <w:r w:rsidRPr="00500DC6">
        <w:rPr>
          <w:rFonts w:ascii="Times New Roman" w:hAnsi="Times New Roman" w:cs="Times New Roman"/>
          <w:sz w:val="28"/>
          <w:szCs w:val="28"/>
          <w:lang w:val="en-US"/>
        </w:rPr>
        <w:t xml:space="preserve"> </w:t>
      </w:r>
      <w:proofErr w:type="spellStart"/>
      <w:r w:rsidRPr="00500DC6">
        <w:rPr>
          <w:rFonts w:ascii="Times New Roman" w:hAnsi="Times New Roman" w:cs="Times New Roman"/>
          <w:sz w:val="28"/>
          <w:szCs w:val="28"/>
          <w:lang w:val="en-US"/>
        </w:rPr>
        <w:t>cytotoxin</w:t>
      </w:r>
      <w:proofErr w:type="spellEnd"/>
      <w:r w:rsidRPr="00500DC6">
        <w:rPr>
          <w:rFonts w:ascii="Times New Roman" w:hAnsi="Times New Roman" w:cs="Times New Roman"/>
          <w:sz w:val="28"/>
          <w:szCs w:val="28"/>
          <w:lang w:val="en-US"/>
        </w:rPr>
        <w:t xml:space="preserve"> of Helicobacter pylori / T. L. Cover // Mol. </w:t>
      </w:r>
      <w:proofErr w:type="spellStart"/>
      <w:r w:rsidRPr="00500DC6">
        <w:rPr>
          <w:rFonts w:ascii="Times New Roman" w:hAnsi="Times New Roman" w:cs="Times New Roman"/>
          <w:sz w:val="28"/>
          <w:szCs w:val="28"/>
          <w:lang w:val="en-US"/>
        </w:rPr>
        <w:t>Microbiol</w:t>
      </w:r>
      <w:proofErr w:type="spellEnd"/>
      <w:r w:rsidRPr="00500DC6">
        <w:rPr>
          <w:rFonts w:ascii="Times New Roman" w:hAnsi="Times New Roman" w:cs="Times New Roman"/>
          <w:sz w:val="28"/>
          <w:szCs w:val="28"/>
          <w:lang w:val="en-US"/>
        </w:rPr>
        <w:t>. — 1996. — Vol. 20. — P. 241–246.</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bCs/>
          <w:sz w:val="28"/>
          <w:szCs w:val="28"/>
          <w:lang w:val="en-US"/>
        </w:rPr>
        <w:t xml:space="preserve"> </w:t>
      </w:r>
      <w:r w:rsidRPr="00500DC6">
        <w:rPr>
          <w:rFonts w:ascii="Times New Roman" w:hAnsi="Times New Roman" w:cs="Times New Roman"/>
          <w:sz w:val="28"/>
          <w:szCs w:val="28"/>
          <w:lang w:val="en-US"/>
        </w:rPr>
        <w:t xml:space="preserve">Effect of aspirin and </w:t>
      </w:r>
      <w:proofErr w:type="spellStart"/>
      <w:r w:rsidRPr="00500DC6">
        <w:rPr>
          <w:rFonts w:ascii="Times New Roman" w:hAnsi="Times New Roman" w:cs="Times New Roman"/>
          <w:sz w:val="28"/>
          <w:szCs w:val="28"/>
          <w:lang w:val="en-US"/>
        </w:rPr>
        <w:t>celecoxib</w:t>
      </w:r>
      <w:proofErr w:type="spellEnd"/>
      <w:r w:rsidRPr="00500DC6">
        <w:rPr>
          <w:rFonts w:ascii="Times New Roman" w:hAnsi="Times New Roman" w:cs="Times New Roman"/>
          <w:sz w:val="28"/>
          <w:szCs w:val="28"/>
          <w:lang w:val="en-US"/>
        </w:rPr>
        <w:t xml:space="preserve"> on Helicobacter pylori in vitro /</w:t>
      </w:r>
      <w:r w:rsidRPr="00500DC6">
        <w:rPr>
          <w:rFonts w:ascii="Times New Roman" w:hAnsi="Times New Roman" w:cs="Times New Roman"/>
          <w:bCs/>
          <w:sz w:val="28"/>
          <w:szCs w:val="28"/>
          <w:lang w:val="en-US"/>
        </w:rPr>
        <w:t xml:space="preserve"> H. X.</w:t>
      </w:r>
      <w:r w:rsidRPr="00500DC6">
        <w:rPr>
          <w:rFonts w:ascii="Times New Roman" w:hAnsi="Times New Roman" w:cs="Times New Roman"/>
          <w:sz w:val="28"/>
          <w:szCs w:val="28"/>
          <w:lang w:val="en-US"/>
        </w:rPr>
        <w:t xml:space="preserve"> </w:t>
      </w:r>
      <w:r w:rsidRPr="00500DC6">
        <w:rPr>
          <w:rFonts w:ascii="Times New Roman" w:hAnsi="Times New Roman" w:cs="Times New Roman"/>
          <w:bCs/>
          <w:sz w:val="28"/>
          <w:szCs w:val="28"/>
          <w:lang w:val="en-US"/>
        </w:rPr>
        <w:t xml:space="preserve">Ma, </w:t>
      </w:r>
      <w:r w:rsidRPr="00500DC6">
        <w:rPr>
          <w:rFonts w:ascii="Times New Roman" w:hAnsi="Times New Roman" w:cs="Times New Roman"/>
          <w:sz w:val="28"/>
          <w:szCs w:val="28"/>
          <w:lang w:val="en-US"/>
        </w:rPr>
        <w:t xml:space="preserve">W. H. Wang, W. H. </w:t>
      </w:r>
      <w:proofErr w:type="spellStart"/>
      <w:r w:rsidRPr="00500DC6">
        <w:rPr>
          <w:rFonts w:ascii="Times New Roman" w:hAnsi="Times New Roman" w:cs="Times New Roman"/>
          <w:sz w:val="28"/>
          <w:szCs w:val="28"/>
          <w:lang w:val="en-US"/>
        </w:rPr>
        <w:t>Hu</w:t>
      </w:r>
      <w:proofErr w:type="spellEnd"/>
      <w:r w:rsidRPr="00500DC6">
        <w:rPr>
          <w:rFonts w:ascii="Times New Roman" w:hAnsi="Times New Roman" w:cs="Times New Roman"/>
          <w:sz w:val="28"/>
          <w:szCs w:val="28"/>
          <w:lang w:val="en-US"/>
        </w:rPr>
        <w:t xml:space="preserve"> [et al.] // </w:t>
      </w:r>
      <w:proofErr w:type="spellStart"/>
      <w:r w:rsidRPr="00500DC6">
        <w:rPr>
          <w:rFonts w:ascii="Times New Roman" w:hAnsi="Times New Roman" w:cs="Times New Roman"/>
          <w:iCs/>
          <w:sz w:val="28"/>
          <w:szCs w:val="28"/>
          <w:lang w:val="en-US"/>
        </w:rPr>
        <w:t>Shijie</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Huaren</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Xiaohua</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Zazhi</w:t>
      </w:r>
      <w:proofErr w:type="spellEnd"/>
      <w:r w:rsidRPr="00500DC6">
        <w:rPr>
          <w:rFonts w:ascii="Times New Roman" w:hAnsi="Times New Roman" w:cs="Times New Roman"/>
          <w:iCs/>
          <w:sz w:val="28"/>
          <w:szCs w:val="28"/>
          <w:lang w:val="en-US"/>
        </w:rPr>
        <w:t xml:space="preserve">. — </w:t>
      </w:r>
      <w:r w:rsidRPr="00500DC6">
        <w:rPr>
          <w:rFonts w:ascii="Times New Roman" w:hAnsi="Times New Roman" w:cs="Times New Roman"/>
          <w:sz w:val="28"/>
          <w:szCs w:val="28"/>
          <w:lang w:val="en-US"/>
        </w:rPr>
        <w:t xml:space="preserve">2006. — Vol. </w:t>
      </w:r>
      <w:r w:rsidRPr="00500DC6">
        <w:rPr>
          <w:rFonts w:ascii="Times New Roman" w:hAnsi="Times New Roman" w:cs="Times New Roman"/>
          <w:bCs/>
          <w:sz w:val="28"/>
          <w:szCs w:val="28"/>
          <w:lang w:val="en-US"/>
        </w:rPr>
        <w:t xml:space="preserve">14. — P. </w:t>
      </w:r>
      <w:r w:rsidRPr="00500DC6">
        <w:rPr>
          <w:rFonts w:ascii="Times New Roman" w:hAnsi="Times New Roman" w:cs="Times New Roman"/>
          <w:sz w:val="28"/>
          <w:szCs w:val="28"/>
          <w:lang w:val="en-US"/>
        </w:rPr>
        <w:t>2747–2752.</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 Effect of </w:t>
      </w:r>
      <w:proofErr w:type="spellStart"/>
      <w:r w:rsidRPr="00500DC6">
        <w:rPr>
          <w:rFonts w:ascii="Times New Roman" w:hAnsi="Times New Roman" w:cs="Times New Roman"/>
          <w:sz w:val="28"/>
          <w:szCs w:val="28"/>
          <w:lang w:val="en-US"/>
        </w:rPr>
        <w:t>cyclo-oxygenase</w:t>
      </w:r>
      <w:proofErr w:type="spellEnd"/>
      <w:r w:rsidRPr="00500DC6">
        <w:rPr>
          <w:rFonts w:ascii="Times New Roman" w:hAnsi="Times New Roman" w:cs="Times New Roman"/>
          <w:sz w:val="28"/>
          <w:szCs w:val="28"/>
          <w:lang w:val="en-US"/>
        </w:rPr>
        <w:t xml:space="preserve"> inhibitors on Helicobacter pylori susceptibility to </w:t>
      </w:r>
      <w:proofErr w:type="spellStart"/>
      <w:r w:rsidRPr="00500DC6">
        <w:rPr>
          <w:rFonts w:ascii="Times New Roman" w:hAnsi="Times New Roman" w:cs="Times New Roman"/>
          <w:sz w:val="28"/>
          <w:szCs w:val="28"/>
          <w:lang w:val="en-US"/>
        </w:rPr>
        <w:t>metronidazole</w:t>
      </w:r>
      <w:proofErr w:type="spellEnd"/>
      <w:r w:rsidRPr="00500DC6">
        <w:rPr>
          <w:rFonts w:ascii="Times New Roman" w:hAnsi="Times New Roman" w:cs="Times New Roman"/>
          <w:sz w:val="28"/>
          <w:szCs w:val="28"/>
          <w:lang w:val="en-US"/>
        </w:rPr>
        <w:t xml:space="preserve"> and </w:t>
      </w:r>
      <w:proofErr w:type="spellStart"/>
      <w:r w:rsidRPr="00500DC6">
        <w:rPr>
          <w:rFonts w:ascii="Times New Roman" w:hAnsi="Times New Roman" w:cs="Times New Roman"/>
          <w:sz w:val="28"/>
          <w:szCs w:val="28"/>
          <w:lang w:val="en-US"/>
        </w:rPr>
        <w:t>clarithromycin</w:t>
      </w:r>
      <w:proofErr w:type="spellEnd"/>
      <w:r w:rsidRPr="00500DC6">
        <w:rPr>
          <w:rFonts w:ascii="Times New Roman" w:hAnsi="Times New Roman" w:cs="Times New Roman"/>
          <w:sz w:val="28"/>
          <w:szCs w:val="28"/>
          <w:lang w:val="en-US"/>
        </w:rPr>
        <w:t xml:space="preserve"> / Q. </w:t>
      </w:r>
      <w:proofErr w:type="spellStart"/>
      <w:proofErr w:type="gramStart"/>
      <w:r w:rsidRPr="00500DC6">
        <w:rPr>
          <w:rFonts w:ascii="Times New Roman" w:hAnsi="Times New Roman" w:cs="Times New Roman"/>
          <w:bCs/>
          <w:sz w:val="28"/>
          <w:szCs w:val="28"/>
          <w:lang w:val="en-US"/>
        </w:rPr>
        <w:t>Gu</w:t>
      </w:r>
      <w:proofErr w:type="spellEnd"/>
      <w:proofErr w:type="gramEnd"/>
      <w:r w:rsidRPr="00500DC6">
        <w:rPr>
          <w:rFonts w:ascii="Times New Roman" w:hAnsi="Times New Roman" w:cs="Times New Roman"/>
          <w:sz w:val="28"/>
          <w:szCs w:val="28"/>
          <w:lang w:val="en-US"/>
        </w:rPr>
        <w:t xml:space="preserve">, H. H. Xia, W. H. Wang [et al.] // </w:t>
      </w:r>
      <w:r w:rsidRPr="00500DC6">
        <w:rPr>
          <w:rFonts w:ascii="Times New Roman" w:hAnsi="Times New Roman" w:cs="Times New Roman"/>
          <w:iCs/>
          <w:sz w:val="28"/>
          <w:szCs w:val="28"/>
          <w:lang w:val="en-US"/>
        </w:rPr>
        <w:t xml:space="preserve">Aliment. </w:t>
      </w:r>
      <w:proofErr w:type="spellStart"/>
      <w:r w:rsidRPr="00500DC6">
        <w:rPr>
          <w:rFonts w:ascii="Times New Roman" w:hAnsi="Times New Roman" w:cs="Times New Roman"/>
          <w:iCs/>
          <w:sz w:val="28"/>
          <w:szCs w:val="28"/>
          <w:lang w:val="en-US"/>
        </w:rPr>
        <w:t>Pharmacol</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Ther</w:t>
      </w:r>
      <w:proofErr w:type="spellEnd"/>
      <w:r w:rsidRPr="00500DC6">
        <w:rPr>
          <w:rFonts w:ascii="Times New Roman" w:hAnsi="Times New Roman" w:cs="Times New Roman"/>
          <w:iCs/>
          <w:sz w:val="28"/>
          <w:szCs w:val="28"/>
          <w:lang w:val="en-US"/>
        </w:rPr>
        <w:t xml:space="preserve">. — </w:t>
      </w:r>
      <w:r w:rsidRPr="00500DC6">
        <w:rPr>
          <w:rFonts w:ascii="Times New Roman" w:hAnsi="Times New Roman" w:cs="Times New Roman"/>
          <w:sz w:val="28"/>
          <w:szCs w:val="28"/>
          <w:lang w:val="en-US"/>
        </w:rPr>
        <w:t xml:space="preserve">2004. — Vol. </w:t>
      </w:r>
      <w:r w:rsidRPr="00500DC6">
        <w:rPr>
          <w:rFonts w:ascii="Times New Roman" w:hAnsi="Times New Roman" w:cs="Times New Roman"/>
          <w:bCs/>
          <w:sz w:val="28"/>
          <w:szCs w:val="28"/>
          <w:lang w:val="en-US"/>
        </w:rPr>
        <w:t>20. — P.</w:t>
      </w:r>
      <w:r w:rsidRPr="00500DC6">
        <w:rPr>
          <w:rFonts w:ascii="Times New Roman" w:hAnsi="Times New Roman" w:cs="Times New Roman"/>
          <w:sz w:val="28"/>
          <w:szCs w:val="28"/>
          <w:lang w:val="en-US"/>
        </w:rPr>
        <w:t xml:space="preserve"> 675–681.</w:t>
      </w:r>
    </w:p>
    <w:p w:rsidR="00500DC6" w:rsidRPr="00500DC6" w:rsidRDefault="00500DC6" w:rsidP="00500DC6">
      <w:pPr>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shd w:val="clear" w:color="auto" w:fill="FFFFFF"/>
          <w:lang w:val="en-US"/>
        </w:rPr>
        <w:t xml:space="preserve"> </w:t>
      </w:r>
      <w:r w:rsidRPr="00500DC6">
        <w:rPr>
          <w:rFonts w:ascii="Times New Roman" w:hAnsi="Times New Roman" w:cs="Times New Roman"/>
          <w:sz w:val="28"/>
          <w:szCs w:val="28"/>
          <w:lang w:val="en-US"/>
        </w:rPr>
        <w:t xml:space="preserve">Effect of </w:t>
      </w:r>
      <w:r w:rsidRPr="00500DC6">
        <w:rPr>
          <w:rFonts w:ascii="Times New Roman" w:hAnsi="Times New Roman" w:cs="Times New Roman"/>
          <w:iCs/>
          <w:sz w:val="28"/>
          <w:szCs w:val="28"/>
          <w:lang w:val="en-US"/>
        </w:rPr>
        <w:t>Helicobacter pylori</w:t>
      </w:r>
      <w:r w:rsidRPr="00500DC6">
        <w:rPr>
          <w:rFonts w:ascii="Times New Roman" w:hAnsi="Times New Roman" w:cs="Times New Roman"/>
          <w:sz w:val="28"/>
          <w:szCs w:val="28"/>
          <w:lang w:val="en-US"/>
        </w:rPr>
        <w:t xml:space="preserve"> </w:t>
      </w:r>
      <w:proofErr w:type="spellStart"/>
      <w:r w:rsidRPr="00500DC6">
        <w:rPr>
          <w:rFonts w:ascii="Times New Roman" w:hAnsi="Times New Roman" w:cs="Times New Roman"/>
          <w:sz w:val="28"/>
          <w:szCs w:val="28"/>
          <w:lang w:val="en-US"/>
        </w:rPr>
        <w:t>colonisation</w:t>
      </w:r>
      <w:proofErr w:type="spellEnd"/>
      <w:r w:rsidRPr="00500DC6">
        <w:rPr>
          <w:rFonts w:ascii="Times New Roman" w:hAnsi="Times New Roman" w:cs="Times New Roman"/>
          <w:sz w:val="28"/>
          <w:szCs w:val="28"/>
          <w:lang w:val="en-US"/>
        </w:rPr>
        <w:t xml:space="preserve"> on gastric mucosal </w:t>
      </w:r>
      <w:proofErr w:type="spellStart"/>
      <w:r w:rsidRPr="00500DC6">
        <w:rPr>
          <w:rFonts w:ascii="Times New Roman" w:hAnsi="Times New Roman" w:cs="Times New Roman"/>
          <w:sz w:val="28"/>
          <w:szCs w:val="28"/>
          <w:lang w:val="en-US"/>
        </w:rPr>
        <w:t>eicosanoid</w:t>
      </w:r>
      <w:proofErr w:type="spellEnd"/>
      <w:r w:rsidRPr="00500DC6">
        <w:rPr>
          <w:rFonts w:ascii="Times New Roman" w:hAnsi="Times New Roman" w:cs="Times New Roman"/>
          <w:sz w:val="28"/>
          <w:szCs w:val="28"/>
          <w:lang w:val="en-US"/>
        </w:rPr>
        <w:t xml:space="preserve"> synthesis in patients taking non-steroidal anti-inflammatory drugs / N. </w:t>
      </w:r>
      <w:r w:rsidRPr="00500DC6">
        <w:rPr>
          <w:rFonts w:ascii="Times New Roman" w:hAnsi="Times New Roman" w:cs="Times New Roman"/>
          <w:sz w:val="28"/>
          <w:szCs w:val="28"/>
          <w:shd w:val="clear" w:color="auto" w:fill="FFFFFF"/>
          <w:lang w:val="en-US"/>
        </w:rPr>
        <w:t xml:space="preserve">Hudson, M. </w:t>
      </w:r>
      <w:proofErr w:type="spellStart"/>
      <w:r w:rsidRPr="00500DC6">
        <w:rPr>
          <w:rFonts w:ascii="Times New Roman" w:hAnsi="Times New Roman" w:cs="Times New Roman"/>
          <w:sz w:val="28"/>
          <w:szCs w:val="28"/>
          <w:shd w:val="clear" w:color="auto" w:fill="FFFFFF"/>
          <w:lang w:val="en-US"/>
        </w:rPr>
        <w:t>Balsitis</w:t>
      </w:r>
      <w:proofErr w:type="spellEnd"/>
      <w:r w:rsidRPr="00500DC6">
        <w:rPr>
          <w:rFonts w:ascii="Times New Roman" w:hAnsi="Times New Roman" w:cs="Times New Roman"/>
          <w:sz w:val="28"/>
          <w:szCs w:val="28"/>
          <w:shd w:val="clear" w:color="auto" w:fill="FFFFFF"/>
          <w:lang w:val="en-US"/>
        </w:rPr>
        <w:t xml:space="preserve">, F. </w:t>
      </w:r>
      <w:proofErr w:type="spellStart"/>
      <w:r w:rsidRPr="00500DC6">
        <w:rPr>
          <w:rFonts w:ascii="Times New Roman" w:hAnsi="Times New Roman" w:cs="Times New Roman"/>
          <w:sz w:val="28"/>
          <w:szCs w:val="28"/>
          <w:shd w:val="clear" w:color="auto" w:fill="FFFFFF"/>
          <w:lang w:val="en-US"/>
        </w:rPr>
        <w:t>Filipowicz</w:t>
      </w:r>
      <w:proofErr w:type="spellEnd"/>
      <w:r w:rsidRPr="00500DC6">
        <w:rPr>
          <w:rStyle w:val="apple-converted-space"/>
          <w:rFonts w:ascii="Times New Roman" w:hAnsi="Times New Roman" w:cs="Times New Roman"/>
          <w:sz w:val="28"/>
          <w:szCs w:val="28"/>
          <w:shd w:val="clear" w:color="auto" w:fill="FFFFFF"/>
          <w:lang w:val="en-US"/>
        </w:rPr>
        <w:t xml:space="preserve"> [</w:t>
      </w:r>
      <w:r w:rsidRPr="00500DC6">
        <w:rPr>
          <w:rFonts w:ascii="Times New Roman" w:hAnsi="Times New Roman" w:cs="Times New Roman"/>
          <w:sz w:val="28"/>
          <w:szCs w:val="28"/>
          <w:lang w:val="en-US"/>
        </w:rPr>
        <w:t>et al.] // Gut. — 1993. — Vol. 34. — P. 748–751.</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bCs/>
          <w:sz w:val="28"/>
          <w:szCs w:val="28"/>
          <w:lang w:val="en-US"/>
        </w:rPr>
        <w:t xml:space="preserve">Huang J. Q. </w:t>
      </w:r>
      <w:r w:rsidRPr="00500DC6">
        <w:rPr>
          <w:rFonts w:ascii="Times New Roman" w:hAnsi="Times New Roman" w:cs="Times New Roman"/>
          <w:sz w:val="28"/>
          <w:szCs w:val="28"/>
          <w:lang w:val="en-US"/>
        </w:rPr>
        <w:t xml:space="preserve">Role of Helicobacter pylori infection and non-steroidal anti-inflammatory drugs in peptic-ulcer </w:t>
      </w:r>
      <w:proofErr w:type="gramStart"/>
      <w:r w:rsidRPr="00500DC6">
        <w:rPr>
          <w:rFonts w:ascii="Times New Roman" w:hAnsi="Times New Roman" w:cs="Times New Roman"/>
          <w:sz w:val="28"/>
          <w:szCs w:val="28"/>
          <w:lang w:val="en-US"/>
        </w:rPr>
        <w:t>disease :</w:t>
      </w:r>
      <w:proofErr w:type="gramEnd"/>
      <w:r w:rsidRPr="00500DC6">
        <w:rPr>
          <w:rFonts w:ascii="Times New Roman" w:hAnsi="Times New Roman" w:cs="Times New Roman"/>
          <w:sz w:val="28"/>
          <w:szCs w:val="28"/>
          <w:lang w:val="en-US"/>
        </w:rPr>
        <w:t xml:space="preserve"> a meta-analysis / </w:t>
      </w:r>
      <w:r w:rsidRPr="00500DC6">
        <w:rPr>
          <w:rFonts w:ascii="Times New Roman" w:hAnsi="Times New Roman" w:cs="Times New Roman"/>
          <w:bCs/>
          <w:sz w:val="28"/>
          <w:szCs w:val="28"/>
          <w:lang w:val="en-US"/>
        </w:rPr>
        <w:t>J. Q. Huang</w:t>
      </w:r>
      <w:r w:rsidRPr="00500DC6">
        <w:rPr>
          <w:rFonts w:ascii="Times New Roman" w:hAnsi="Times New Roman" w:cs="Times New Roman"/>
          <w:sz w:val="28"/>
          <w:szCs w:val="28"/>
          <w:lang w:val="en-US"/>
        </w:rPr>
        <w:t xml:space="preserve">, S. Sridhar, R. H. Hunt // </w:t>
      </w:r>
      <w:r w:rsidRPr="00500DC6">
        <w:rPr>
          <w:rFonts w:ascii="Times New Roman" w:hAnsi="Times New Roman" w:cs="Times New Roman"/>
          <w:iCs/>
          <w:sz w:val="28"/>
          <w:szCs w:val="28"/>
          <w:lang w:val="en-US"/>
        </w:rPr>
        <w:t xml:space="preserve">Lancet. — </w:t>
      </w:r>
      <w:r w:rsidRPr="00500DC6">
        <w:rPr>
          <w:rFonts w:ascii="Times New Roman" w:hAnsi="Times New Roman" w:cs="Times New Roman"/>
          <w:sz w:val="28"/>
          <w:szCs w:val="28"/>
          <w:lang w:val="en-US"/>
        </w:rPr>
        <w:t xml:space="preserve">2002. — Vol. </w:t>
      </w:r>
      <w:r w:rsidRPr="00500DC6">
        <w:rPr>
          <w:rFonts w:ascii="Times New Roman" w:hAnsi="Times New Roman" w:cs="Times New Roman"/>
          <w:bCs/>
          <w:sz w:val="28"/>
          <w:szCs w:val="28"/>
          <w:lang w:val="en-US"/>
        </w:rPr>
        <w:t>359. — P.</w:t>
      </w:r>
      <w:r w:rsidRPr="00500DC6">
        <w:rPr>
          <w:rFonts w:ascii="Times New Roman" w:hAnsi="Times New Roman" w:cs="Times New Roman"/>
          <w:sz w:val="28"/>
          <w:szCs w:val="28"/>
          <w:lang w:val="en-US"/>
        </w:rPr>
        <w:t xml:space="preserve"> 14–22.</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proofErr w:type="spellStart"/>
      <w:r w:rsidRPr="00500DC6">
        <w:rPr>
          <w:rFonts w:ascii="Times New Roman" w:hAnsi="Times New Roman" w:cs="Times New Roman"/>
          <w:sz w:val="28"/>
          <w:szCs w:val="28"/>
          <w:lang w:val="en-US"/>
        </w:rPr>
        <w:t>Immunobiology</w:t>
      </w:r>
      <w:proofErr w:type="spellEnd"/>
      <w:r w:rsidRPr="00500DC6">
        <w:rPr>
          <w:rFonts w:ascii="Times New Roman" w:hAnsi="Times New Roman" w:cs="Times New Roman"/>
          <w:sz w:val="28"/>
          <w:szCs w:val="28"/>
          <w:lang w:val="en-US"/>
        </w:rPr>
        <w:t xml:space="preserve"> of Helicobacter pylori infection / </w:t>
      </w:r>
      <w:r w:rsidRPr="00500DC6">
        <w:rPr>
          <w:rFonts w:ascii="Times New Roman" w:hAnsi="Times New Roman" w:cs="Times New Roman"/>
          <w:bCs/>
          <w:sz w:val="28"/>
          <w:szCs w:val="28"/>
          <w:lang w:val="en-US"/>
        </w:rPr>
        <w:t>J. L. Telford</w:t>
      </w:r>
      <w:r w:rsidRPr="00500DC6">
        <w:rPr>
          <w:rFonts w:ascii="Times New Roman" w:hAnsi="Times New Roman" w:cs="Times New Roman"/>
          <w:sz w:val="28"/>
          <w:szCs w:val="28"/>
          <w:lang w:val="en-US"/>
        </w:rPr>
        <w:t xml:space="preserve">, A. </w:t>
      </w:r>
      <w:proofErr w:type="spellStart"/>
      <w:r w:rsidRPr="00500DC6">
        <w:rPr>
          <w:rFonts w:ascii="Times New Roman" w:hAnsi="Times New Roman" w:cs="Times New Roman"/>
          <w:sz w:val="28"/>
          <w:szCs w:val="28"/>
          <w:lang w:val="en-US"/>
        </w:rPr>
        <w:t>Covacci</w:t>
      </w:r>
      <w:proofErr w:type="spellEnd"/>
      <w:r w:rsidRPr="00500DC6">
        <w:rPr>
          <w:rFonts w:ascii="Times New Roman" w:hAnsi="Times New Roman" w:cs="Times New Roman"/>
          <w:sz w:val="28"/>
          <w:szCs w:val="28"/>
          <w:lang w:val="en-US"/>
        </w:rPr>
        <w:t xml:space="preserve">, R. </w:t>
      </w:r>
      <w:proofErr w:type="spellStart"/>
      <w:r w:rsidRPr="00500DC6">
        <w:rPr>
          <w:rFonts w:ascii="Times New Roman" w:hAnsi="Times New Roman" w:cs="Times New Roman"/>
          <w:sz w:val="28"/>
          <w:szCs w:val="28"/>
          <w:lang w:val="en-US"/>
        </w:rPr>
        <w:t>Rappuoli</w:t>
      </w:r>
      <w:proofErr w:type="spellEnd"/>
      <w:r w:rsidRPr="00500DC6">
        <w:rPr>
          <w:rFonts w:ascii="Times New Roman" w:hAnsi="Times New Roman" w:cs="Times New Roman"/>
          <w:sz w:val="28"/>
          <w:szCs w:val="28"/>
          <w:lang w:val="en-US"/>
        </w:rPr>
        <w:t xml:space="preserve"> [et al.] // </w:t>
      </w:r>
      <w:proofErr w:type="spellStart"/>
      <w:r w:rsidRPr="00500DC6">
        <w:rPr>
          <w:rFonts w:ascii="Times New Roman" w:hAnsi="Times New Roman" w:cs="Times New Roman"/>
          <w:iCs/>
          <w:sz w:val="28"/>
          <w:szCs w:val="28"/>
          <w:lang w:val="en-US"/>
        </w:rPr>
        <w:t>Curr</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Opin</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Immunol</w:t>
      </w:r>
      <w:proofErr w:type="spellEnd"/>
      <w:r w:rsidRPr="00500DC6">
        <w:rPr>
          <w:rFonts w:ascii="Times New Roman" w:hAnsi="Times New Roman" w:cs="Times New Roman"/>
          <w:iCs/>
          <w:sz w:val="28"/>
          <w:szCs w:val="28"/>
          <w:lang w:val="en-US"/>
        </w:rPr>
        <w:t xml:space="preserve">. — </w:t>
      </w:r>
      <w:r w:rsidRPr="00500DC6">
        <w:rPr>
          <w:rFonts w:ascii="Times New Roman" w:hAnsi="Times New Roman" w:cs="Times New Roman"/>
          <w:sz w:val="28"/>
          <w:szCs w:val="28"/>
          <w:lang w:val="en-US"/>
        </w:rPr>
        <w:t xml:space="preserve">1997. — Vol. </w:t>
      </w:r>
      <w:r w:rsidRPr="00500DC6">
        <w:rPr>
          <w:rFonts w:ascii="Times New Roman" w:hAnsi="Times New Roman" w:cs="Times New Roman"/>
          <w:bCs/>
          <w:sz w:val="28"/>
          <w:szCs w:val="28"/>
          <w:lang w:val="en-US"/>
        </w:rPr>
        <w:t>9. — P.</w:t>
      </w:r>
      <w:r w:rsidRPr="00500DC6">
        <w:rPr>
          <w:rFonts w:ascii="Times New Roman" w:hAnsi="Times New Roman" w:cs="Times New Roman"/>
          <w:sz w:val="28"/>
          <w:szCs w:val="28"/>
          <w:lang w:val="en-US"/>
        </w:rPr>
        <w:t xml:space="preserve"> 498–503.</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 Inhibitory effects of aspirin and </w:t>
      </w:r>
      <w:proofErr w:type="spellStart"/>
      <w:r w:rsidRPr="00500DC6">
        <w:rPr>
          <w:rFonts w:ascii="Times New Roman" w:hAnsi="Times New Roman" w:cs="Times New Roman"/>
          <w:sz w:val="28"/>
          <w:szCs w:val="28"/>
          <w:lang w:val="en-US"/>
        </w:rPr>
        <w:t>indometacin</w:t>
      </w:r>
      <w:proofErr w:type="spellEnd"/>
      <w:r w:rsidRPr="00500DC6">
        <w:rPr>
          <w:rFonts w:ascii="Times New Roman" w:hAnsi="Times New Roman" w:cs="Times New Roman"/>
          <w:sz w:val="28"/>
          <w:szCs w:val="28"/>
          <w:lang w:val="en-US"/>
        </w:rPr>
        <w:t xml:space="preserve"> on the growth of Helicobacter pylori in vitro / </w:t>
      </w:r>
      <w:r w:rsidRPr="00500DC6">
        <w:rPr>
          <w:rFonts w:ascii="Times New Roman" w:hAnsi="Times New Roman" w:cs="Times New Roman"/>
          <w:bCs/>
          <w:sz w:val="28"/>
          <w:szCs w:val="28"/>
          <w:lang w:val="en-US"/>
        </w:rPr>
        <w:t>W. H.</w:t>
      </w:r>
      <w:r w:rsidRPr="00500DC6">
        <w:rPr>
          <w:rFonts w:ascii="Times New Roman" w:hAnsi="Times New Roman" w:cs="Times New Roman"/>
          <w:sz w:val="28"/>
          <w:szCs w:val="28"/>
          <w:lang w:val="en-US"/>
        </w:rPr>
        <w:t xml:space="preserve"> </w:t>
      </w:r>
      <w:r w:rsidRPr="00500DC6">
        <w:rPr>
          <w:rFonts w:ascii="Times New Roman" w:hAnsi="Times New Roman" w:cs="Times New Roman"/>
          <w:bCs/>
          <w:sz w:val="28"/>
          <w:szCs w:val="28"/>
          <w:lang w:val="en-US"/>
        </w:rPr>
        <w:t>Wang</w:t>
      </w:r>
      <w:r w:rsidRPr="00500DC6">
        <w:rPr>
          <w:rFonts w:ascii="Times New Roman" w:hAnsi="Times New Roman" w:cs="Times New Roman"/>
          <w:sz w:val="28"/>
          <w:szCs w:val="28"/>
          <w:lang w:val="en-US"/>
        </w:rPr>
        <w:t xml:space="preserve">, F. L. </w:t>
      </w:r>
      <w:proofErr w:type="spellStart"/>
      <w:r w:rsidRPr="00500DC6">
        <w:rPr>
          <w:rFonts w:ascii="Times New Roman" w:hAnsi="Times New Roman" w:cs="Times New Roman"/>
          <w:sz w:val="28"/>
          <w:szCs w:val="28"/>
          <w:lang w:val="en-US"/>
        </w:rPr>
        <w:t>Hu</w:t>
      </w:r>
      <w:proofErr w:type="spellEnd"/>
      <w:r w:rsidRPr="00500DC6">
        <w:rPr>
          <w:rFonts w:ascii="Times New Roman" w:hAnsi="Times New Roman" w:cs="Times New Roman"/>
          <w:sz w:val="28"/>
          <w:szCs w:val="28"/>
          <w:lang w:val="en-US"/>
        </w:rPr>
        <w:t xml:space="preserve">, B. C. Y. Wong [et al.] // </w:t>
      </w:r>
      <w:r w:rsidRPr="00500DC6">
        <w:rPr>
          <w:rFonts w:ascii="Times New Roman" w:hAnsi="Times New Roman" w:cs="Times New Roman"/>
          <w:iCs/>
          <w:sz w:val="28"/>
          <w:szCs w:val="28"/>
          <w:lang w:val="en-US"/>
        </w:rPr>
        <w:t xml:space="preserve">Chin. J. Dig. Dis. — </w:t>
      </w:r>
      <w:r w:rsidRPr="00500DC6">
        <w:rPr>
          <w:rFonts w:ascii="Times New Roman" w:hAnsi="Times New Roman" w:cs="Times New Roman"/>
          <w:sz w:val="28"/>
          <w:szCs w:val="28"/>
          <w:lang w:val="en-US"/>
        </w:rPr>
        <w:t xml:space="preserve">2002. — Vol. </w:t>
      </w:r>
      <w:r w:rsidRPr="00500DC6">
        <w:rPr>
          <w:rFonts w:ascii="Times New Roman" w:hAnsi="Times New Roman" w:cs="Times New Roman"/>
          <w:bCs/>
          <w:sz w:val="28"/>
          <w:szCs w:val="28"/>
          <w:lang w:val="en-US"/>
        </w:rPr>
        <w:t xml:space="preserve">3. — P. </w:t>
      </w:r>
      <w:r w:rsidRPr="00500DC6">
        <w:rPr>
          <w:rFonts w:ascii="Times New Roman" w:hAnsi="Times New Roman" w:cs="Times New Roman"/>
          <w:sz w:val="28"/>
          <w:szCs w:val="28"/>
          <w:lang w:val="en-US"/>
        </w:rPr>
        <w:t xml:space="preserve">172–177. </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bCs/>
          <w:sz w:val="28"/>
          <w:szCs w:val="28"/>
          <w:lang w:val="en-US"/>
        </w:rPr>
        <w:t xml:space="preserve"> </w:t>
      </w:r>
      <w:r w:rsidRPr="00500DC6">
        <w:rPr>
          <w:rFonts w:ascii="Times New Roman" w:hAnsi="Times New Roman" w:cs="Times New Roman"/>
          <w:sz w:val="28"/>
          <w:szCs w:val="28"/>
          <w:lang w:val="en-US"/>
        </w:rPr>
        <w:t xml:space="preserve">Non-steroidal anti-inflammatory drugs have </w:t>
      </w:r>
      <w:proofErr w:type="spellStart"/>
      <w:r w:rsidRPr="00500DC6">
        <w:rPr>
          <w:rFonts w:ascii="Times New Roman" w:hAnsi="Times New Roman" w:cs="Times New Roman"/>
          <w:sz w:val="28"/>
          <w:szCs w:val="28"/>
          <w:lang w:val="en-US"/>
        </w:rPr>
        <w:t>bacteriostatic</w:t>
      </w:r>
      <w:proofErr w:type="spellEnd"/>
      <w:r w:rsidRPr="00500DC6">
        <w:rPr>
          <w:rFonts w:ascii="Times New Roman" w:hAnsi="Times New Roman" w:cs="Times New Roman"/>
          <w:sz w:val="28"/>
          <w:szCs w:val="28"/>
          <w:lang w:val="en-US"/>
        </w:rPr>
        <w:t xml:space="preserve"> and bactericidal activity against Helicobacter pylori / H. </w:t>
      </w:r>
      <w:proofErr w:type="spellStart"/>
      <w:r w:rsidRPr="00500DC6">
        <w:rPr>
          <w:rFonts w:ascii="Times New Roman" w:hAnsi="Times New Roman" w:cs="Times New Roman"/>
          <w:bCs/>
          <w:sz w:val="28"/>
          <w:szCs w:val="28"/>
          <w:lang w:val="en-US"/>
        </w:rPr>
        <w:t>Shirin</w:t>
      </w:r>
      <w:proofErr w:type="spellEnd"/>
      <w:r w:rsidRPr="00500DC6">
        <w:rPr>
          <w:rFonts w:ascii="Times New Roman" w:hAnsi="Times New Roman" w:cs="Times New Roman"/>
          <w:sz w:val="28"/>
          <w:szCs w:val="28"/>
          <w:lang w:val="en-US"/>
        </w:rPr>
        <w:t xml:space="preserve">, S. F. Moss, S. </w:t>
      </w:r>
      <w:proofErr w:type="spellStart"/>
      <w:r w:rsidRPr="00500DC6">
        <w:rPr>
          <w:rFonts w:ascii="Times New Roman" w:hAnsi="Times New Roman" w:cs="Times New Roman"/>
          <w:sz w:val="28"/>
          <w:szCs w:val="28"/>
          <w:lang w:val="en-US"/>
        </w:rPr>
        <w:t>Kancherla</w:t>
      </w:r>
      <w:proofErr w:type="spellEnd"/>
      <w:r w:rsidRPr="00500DC6">
        <w:rPr>
          <w:rFonts w:ascii="Times New Roman" w:hAnsi="Times New Roman" w:cs="Times New Roman"/>
          <w:sz w:val="28"/>
          <w:szCs w:val="28"/>
          <w:lang w:val="en-US"/>
        </w:rPr>
        <w:t xml:space="preserve"> [et al.] // </w:t>
      </w:r>
      <w:r w:rsidRPr="00500DC6">
        <w:rPr>
          <w:rFonts w:ascii="Times New Roman" w:hAnsi="Times New Roman" w:cs="Times New Roman"/>
          <w:iCs/>
          <w:sz w:val="28"/>
          <w:szCs w:val="28"/>
          <w:lang w:val="en-US"/>
        </w:rPr>
        <w:t xml:space="preserve">J. </w:t>
      </w:r>
      <w:proofErr w:type="spellStart"/>
      <w:r w:rsidRPr="00500DC6">
        <w:rPr>
          <w:rFonts w:ascii="Times New Roman" w:hAnsi="Times New Roman" w:cs="Times New Roman"/>
          <w:iCs/>
          <w:sz w:val="28"/>
          <w:szCs w:val="28"/>
          <w:lang w:val="en-US"/>
        </w:rPr>
        <w:t>Gastroenterol</w:t>
      </w:r>
      <w:proofErr w:type="spellEnd"/>
      <w:r w:rsidRPr="00500DC6">
        <w:rPr>
          <w:rFonts w:ascii="Times New Roman" w:hAnsi="Times New Roman" w:cs="Times New Roman"/>
          <w:iCs/>
          <w:sz w:val="28"/>
          <w:szCs w:val="28"/>
          <w:lang w:val="en-US"/>
        </w:rPr>
        <w:t xml:space="preserve">. </w:t>
      </w:r>
      <w:proofErr w:type="spellStart"/>
      <w:r w:rsidRPr="00500DC6">
        <w:rPr>
          <w:rFonts w:ascii="Times New Roman" w:hAnsi="Times New Roman" w:cs="Times New Roman"/>
          <w:iCs/>
          <w:sz w:val="28"/>
          <w:szCs w:val="28"/>
          <w:lang w:val="en-US"/>
        </w:rPr>
        <w:t>Hepatol</w:t>
      </w:r>
      <w:proofErr w:type="spellEnd"/>
      <w:r w:rsidRPr="00500DC6">
        <w:rPr>
          <w:rFonts w:ascii="Times New Roman" w:hAnsi="Times New Roman" w:cs="Times New Roman"/>
          <w:iCs/>
          <w:sz w:val="28"/>
          <w:szCs w:val="28"/>
          <w:lang w:val="en-US"/>
        </w:rPr>
        <w:t xml:space="preserve">. — </w:t>
      </w:r>
      <w:r w:rsidRPr="00500DC6">
        <w:rPr>
          <w:rFonts w:ascii="Times New Roman" w:hAnsi="Times New Roman" w:cs="Times New Roman"/>
          <w:sz w:val="28"/>
          <w:szCs w:val="28"/>
          <w:lang w:val="en-US"/>
        </w:rPr>
        <w:t>2006. — Vol.</w:t>
      </w:r>
      <w:r w:rsidRPr="00500DC6">
        <w:rPr>
          <w:rFonts w:ascii="Times New Roman" w:hAnsi="Times New Roman" w:cs="Times New Roman"/>
          <w:bCs/>
          <w:sz w:val="28"/>
          <w:szCs w:val="28"/>
          <w:lang w:val="en-US"/>
        </w:rPr>
        <w:t xml:space="preserve">21. — P. </w:t>
      </w:r>
      <w:r w:rsidRPr="00500DC6">
        <w:rPr>
          <w:rFonts w:ascii="Times New Roman" w:hAnsi="Times New Roman" w:cs="Times New Roman"/>
          <w:sz w:val="28"/>
          <w:szCs w:val="28"/>
          <w:lang w:val="en-US"/>
        </w:rPr>
        <w:t>1388–1393.</w:t>
      </w:r>
    </w:p>
    <w:p w:rsidR="00500DC6" w:rsidRPr="00500DC6" w:rsidRDefault="00500DC6" w:rsidP="00500DC6">
      <w:pPr>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 </w:t>
      </w:r>
      <w:proofErr w:type="spellStart"/>
      <w:r w:rsidRPr="00500DC6">
        <w:rPr>
          <w:rFonts w:ascii="Times New Roman" w:hAnsi="Times New Roman" w:cs="Times New Roman"/>
          <w:sz w:val="28"/>
          <w:szCs w:val="28"/>
          <w:lang w:val="en-US"/>
        </w:rPr>
        <w:t>Proença</w:t>
      </w:r>
      <w:proofErr w:type="spellEnd"/>
      <w:r w:rsidRPr="00500DC6">
        <w:rPr>
          <w:rFonts w:ascii="Times New Roman" w:hAnsi="Times New Roman" w:cs="Times New Roman"/>
          <w:sz w:val="28"/>
          <w:szCs w:val="28"/>
          <w:lang w:val="en-US"/>
        </w:rPr>
        <w:t xml:space="preserve">-Modena J. L. </w:t>
      </w:r>
      <w:hyperlink r:id="rId16" w:history="1">
        <w:r w:rsidRPr="00500DC6">
          <w:rPr>
            <w:rStyle w:val="a4"/>
            <w:rFonts w:ascii="Times New Roman" w:hAnsi="Times New Roman" w:cs="Times New Roman"/>
            <w:bCs/>
            <w:color w:val="auto"/>
            <w:sz w:val="28"/>
            <w:szCs w:val="28"/>
            <w:u w:val="none"/>
            <w:lang w:val="en-US"/>
          </w:rPr>
          <w:t>Helicobacter pylori</w:t>
        </w:r>
        <w:r w:rsidRPr="00500DC6">
          <w:rPr>
            <w:rStyle w:val="a4"/>
            <w:rFonts w:ascii="Times New Roman" w:hAnsi="Times New Roman" w:cs="Times New Roman"/>
            <w:color w:val="auto"/>
            <w:sz w:val="28"/>
            <w:szCs w:val="28"/>
            <w:u w:val="none"/>
            <w:lang w:val="en-US"/>
          </w:rPr>
          <w:t xml:space="preserve">: phenotypes, genotypes and virulence genes / J. L. </w:t>
        </w:r>
        <w:proofErr w:type="spellStart"/>
        <w:r w:rsidRPr="00500DC6">
          <w:rPr>
            <w:rFonts w:ascii="Times New Roman" w:hAnsi="Times New Roman" w:cs="Times New Roman"/>
            <w:sz w:val="28"/>
            <w:szCs w:val="28"/>
            <w:lang w:val="en-US"/>
          </w:rPr>
          <w:t>Proença</w:t>
        </w:r>
        <w:proofErr w:type="spellEnd"/>
        <w:r w:rsidRPr="00500DC6">
          <w:rPr>
            <w:rFonts w:ascii="Times New Roman" w:hAnsi="Times New Roman" w:cs="Times New Roman"/>
            <w:sz w:val="28"/>
            <w:szCs w:val="28"/>
            <w:lang w:val="en-US"/>
          </w:rPr>
          <w:t xml:space="preserve">-Modena, G. O. </w:t>
        </w:r>
        <w:proofErr w:type="spellStart"/>
        <w:r w:rsidRPr="00500DC6">
          <w:rPr>
            <w:rFonts w:ascii="Times New Roman" w:hAnsi="Times New Roman" w:cs="Times New Roman"/>
            <w:sz w:val="28"/>
            <w:szCs w:val="28"/>
            <w:lang w:val="en-US"/>
          </w:rPr>
          <w:t>Acrani</w:t>
        </w:r>
        <w:proofErr w:type="spellEnd"/>
        <w:r w:rsidRPr="00500DC6">
          <w:rPr>
            <w:rFonts w:ascii="Times New Roman" w:hAnsi="Times New Roman" w:cs="Times New Roman"/>
            <w:sz w:val="28"/>
            <w:szCs w:val="28"/>
            <w:lang w:val="en-US"/>
          </w:rPr>
          <w:t xml:space="preserve">, M. </w:t>
        </w:r>
        <w:proofErr w:type="spellStart"/>
        <w:r w:rsidRPr="00500DC6">
          <w:rPr>
            <w:rFonts w:ascii="Times New Roman" w:hAnsi="Times New Roman" w:cs="Times New Roman"/>
            <w:sz w:val="28"/>
            <w:szCs w:val="28"/>
            <w:lang w:val="en-US"/>
          </w:rPr>
          <w:t>Brocchi</w:t>
        </w:r>
        <w:proofErr w:type="spellEnd"/>
      </w:hyperlink>
      <w:r w:rsidRPr="00500DC6">
        <w:rPr>
          <w:rFonts w:ascii="Times New Roman" w:hAnsi="Times New Roman" w:cs="Times New Roman"/>
          <w:sz w:val="28"/>
          <w:szCs w:val="28"/>
          <w:lang w:val="en-US"/>
        </w:rPr>
        <w:t xml:space="preserve"> // </w:t>
      </w:r>
      <w:r w:rsidRPr="00500DC6">
        <w:rPr>
          <w:rStyle w:val="jrnl"/>
          <w:rFonts w:ascii="Times New Roman" w:hAnsi="Times New Roman" w:cs="Times New Roman"/>
          <w:sz w:val="28"/>
          <w:szCs w:val="28"/>
          <w:lang w:val="en-US"/>
        </w:rPr>
        <w:t xml:space="preserve">Future </w:t>
      </w:r>
      <w:proofErr w:type="spellStart"/>
      <w:r w:rsidRPr="00500DC6">
        <w:rPr>
          <w:rStyle w:val="jrnl"/>
          <w:rFonts w:ascii="Times New Roman" w:hAnsi="Times New Roman" w:cs="Times New Roman"/>
          <w:sz w:val="28"/>
          <w:szCs w:val="28"/>
          <w:lang w:val="en-US"/>
        </w:rPr>
        <w:t>Microbiol</w:t>
      </w:r>
      <w:proofErr w:type="spellEnd"/>
      <w:r w:rsidRPr="00500DC6">
        <w:rPr>
          <w:rFonts w:ascii="Times New Roman" w:hAnsi="Times New Roman" w:cs="Times New Roman"/>
          <w:sz w:val="28"/>
          <w:szCs w:val="28"/>
          <w:lang w:val="en-US"/>
        </w:rPr>
        <w:t>. — 2009. — Vol. 4, No 2. — P. 223–240.</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proofErr w:type="spellStart"/>
      <w:r w:rsidRPr="00500DC6">
        <w:rPr>
          <w:rFonts w:ascii="Times New Roman" w:hAnsi="Times New Roman" w:cs="Times New Roman"/>
          <w:sz w:val="28"/>
          <w:szCs w:val="28"/>
          <w:lang w:val="en-US"/>
        </w:rPr>
        <w:t>Randomised</w:t>
      </w:r>
      <w:proofErr w:type="spellEnd"/>
      <w:r w:rsidRPr="00500DC6">
        <w:rPr>
          <w:rFonts w:ascii="Times New Roman" w:hAnsi="Times New Roman" w:cs="Times New Roman"/>
          <w:sz w:val="28"/>
          <w:szCs w:val="28"/>
          <w:lang w:val="en-US"/>
        </w:rPr>
        <w:t xml:space="preserve"> controlled trial of Helicobacter pylori eradication in patients on non-steroidal anti-inflammatory </w:t>
      </w:r>
      <w:proofErr w:type="gramStart"/>
      <w:r w:rsidRPr="00500DC6">
        <w:rPr>
          <w:rFonts w:ascii="Times New Roman" w:hAnsi="Times New Roman" w:cs="Times New Roman"/>
          <w:sz w:val="28"/>
          <w:szCs w:val="28"/>
          <w:lang w:val="en-US"/>
        </w:rPr>
        <w:t>drugs :</w:t>
      </w:r>
      <w:proofErr w:type="gramEnd"/>
      <w:r w:rsidRPr="00500DC6">
        <w:rPr>
          <w:rFonts w:ascii="Times New Roman" w:hAnsi="Times New Roman" w:cs="Times New Roman"/>
          <w:sz w:val="28"/>
          <w:szCs w:val="28"/>
          <w:lang w:val="en-US"/>
        </w:rPr>
        <w:t xml:space="preserve"> HELP NSAIDs study. Helicobacter </w:t>
      </w:r>
      <w:r w:rsidRPr="00500DC6">
        <w:rPr>
          <w:rFonts w:ascii="Times New Roman" w:hAnsi="Times New Roman" w:cs="Times New Roman"/>
          <w:sz w:val="28"/>
          <w:szCs w:val="28"/>
          <w:lang w:val="en-US"/>
        </w:rPr>
        <w:lastRenderedPageBreak/>
        <w:t>Eradication for Lesion Prevention /</w:t>
      </w:r>
      <w:r w:rsidRPr="00500DC6">
        <w:rPr>
          <w:rFonts w:ascii="Times New Roman" w:hAnsi="Times New Roman" w:cs="Times New Roman"/>
          <w:bCs/>
          <w:sz w:val="28"/>
          <w:szCs w:val="28"/>
          <w:lang w:val="en-US"/>
        </w:rPr>
        <w:t xml:space="preserve"> C. J. </w:t>
      </w:r>
      <w:proofErr w:type="spellStart"/>
      <w:r w:rsidRPr="00500DC6">
        <w:rPr>
          <w:rFonts w:ascii="Times New Roman" w:hAnsi="Times New Roman" w:cs="Times New Roman"/>
          <w:bCs/>
          <w:sz w:val="28"/>
          <w:szCs w:val="28"/>
          <w:lang w:val="en-US"/>
        </w:rPr>
        <w:t>Hawkey</w:t>
      </w:r>
      <w:proofErr w:type="spellEnd"/>
      <w:r w:rsidRPr="00500DC6">
        <w:rPr>
          <w:rFonts w:ascii="Times New Roman" w:hAnsi="Times New Roman" w:cs="Times New Roman"/>
          <w:sz w:val="28"/>
          <w:szCs w:val="28"/>
          <w:lang w:val="en-US"/>
        </w:rPr>
        <w:t xml:space="preserve">, Z. </w:t>
      </w:r>
      <w:proofErr w:type="spellStart"/>
      <w:r w:rsidRPr="00500DC6">
        <w:rPr>
          <w:rFonts w:ascii="Times New Roman" w:hAnsi="Times New Roman" w:cs="Times New Roman"/>
          <w:sz w:val="28"/>
          <w:szCs w:val="28"/>
          <w:lang w:val="en-US"/>
        </w:rPr>
        <w:t>Tulassay</w:t>
      </w:r>
      <w:proofErr w:type="spellEnd"/>
      <w:r w:rsidRPr="00500DC6">
        <w:rPr>
          <w:rFonts w:ascii="Times New Roman" w:hAnsi="Times New Roman" w:cs="Times New Roman"/>
          <w:sz w:val="28"/>
          <w:szCs w:val="28"/>
          <w:lang w:val="en-US"/>
        </w:rPr>
        <w:t xml:space="preserve">, L. </w:t>
      </w:r>
      <w:proofErr w:type="spellStart"/>
      <w:r w:rsidRPr="00500DC6">
        <w:rPr>
          <w:rFonts w:ascii="Times New Roman" w:hAnsi="Times New Roman" w:cs="Times New Roman"/>
          <w:sz w:val="28"/>
          <w:szCs w:val="28"/>
          <w:lang w:val="en-US"/>
        </w:rPr>
        <w:t>Szczepanski</w:t>
      </w:r>
      <w:proofErr w:type="spellEnd"/>
      <w:r w:rsidRPr="00500DC6">
        <w:rPr>
          <w:rFonts w:ascii="Times New Roman" w:hAnsi="Times New Roman" w:cs="Times New Roman"/>
          <w:sz w:val="28"/>
          <w:szCs w:val="28"/>
          <w:lang w:val="en-US"/>
        </w:rPr>
        <w:t xml:space="preserve"> [et al.] // </w:t>
      </w:r>
      <w:r w:rsidRPr="00500DC6">
        <w:rPr>
          <w:rFonts w:ascii="Times New Roman" w:hAnsi="Times New Roman" w:cs="Times New Roman"/>
          <w:iCs/>
          <w:sz w:val="28"/>
          <w:szCs w:val="28"/>
          <w:lang w:val="en-US"/>
        </w:rPr>
        <w:t xml:space="preserve">Lancet. — </w:t>
      </w:r>
      <w:r w:rsidRPr="00500DC6">
        <w:rPr>
          <w:rFonts w:ascii="Times New Roman" w:hAnsi="Times New Roman" w:cs="Times New Roman"/>
          <w:sz w:val="28"/>
          <w:szCs w:val="28"/>
          <w:lang w:val="en-US"/>
        </w:rPr>
        <w:t xml:space="preserve">1998. — Vol. </w:t>
      </w:r>
      <w:r w:rsidRPr="00500DC6">
        <w:rPr>
          <w:rFonts w:ascii="Times New Roman" w:hAnsi="Times New Roman" w:cs="Times New Roman"/>
          <w:bCs/>
          <w:sz w:val="28"/>
          <w:szCs w:val="28"/>
          <w:lang w:val="en-US"/>
        </w:rPr>
        <w:t>352. — P</w:t>
      </w:r>
      <w:r w:rsidRPr="00500DC6">
        <w:rPr>
          <w:rFonts w:ascii="Times New Roman" w:hAnsi="Times New Roman" w:cs="Times New Roman"/>
          <w:sz w:val="28"/>
          <w:szCs w:val="28"/>
          <w:lang w:val="en-US"/>
        </w:rPr>
        <w:t>. 1016–1021.</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Suzuki R. </w:t>
      </w:r>
      <w:hyperlink r:id="rId17" w:history="1">
        <w:r w:rsidRPr="00500DC6">
          <w:rPr>
            <w:rStyle w:val="a4"/>
            <w:rFonts w:ascii="Times New Roman" w:hAnsi="Times New Roman" w:cs="Times New Roman"/>
            <w:color w:val="auto"/>
            <w:sz w:val="28"/>
            <w:szCs w:val="28"/>
            <w:u w:val="none"/>
            <w:lang w:val="en-US"/>
          </w:rPr>
          <w:t xml:space="preserve">Molecular epidemiology, population genetics, and pathogenic role of </w:t>
        </w:r>
        <w:r w:rsidRPr="00500DC6">
          <w:rPr>
            <w:rStyle w:val="a4"/>
            <w:rFonts w:ascii="Times New Roman" w:hAnsi="Times New Roman" w:cs="Times New Roman"/>
            <w:bCs/>
            <w:color w:val="auto"/>
            <w:sz w:val="28"/>
            <w:szCs w:val="28"/>
            <w:u w:val="none"/>
            <w:lang w:val="en-US"/>
          </w:rPr>
          <w:t xml:space="preserve">Helicobacter pylori / R. </w:t>
        </w:r>
        <w:r w:rsidRPr="00500DC6">
          <w:rPr>
            <w:rFonts w:ascii="Times New Roman" w:hAnsi="Times New Roman" w:cs="Times New Roman"/>
            <w:sz w:val="28"/>
            <w:szCs w:val="28"/>
            <w:lang w:val="en-US"/>
          </w:rPr>
          <w:t xml:space="preserve">Suzuki, S. </w:t>
        </w:r>
        <w:proofErr w:type="spellStart"/>
        <w:r w:rsidRPr="00500DC6">
          <w:rPr>
            <w:rFonts w:ascii="Times New Roman" w:hAnsi="Times New Roman" w:cs="Times New Roman"/>
            <w:sz w:val="28"/>
            <w:szCs w:val="28"/>
            <w:lang w:val="en-US"/>
          </w:rPr>
          <w:t>Shiota</w:t>
        </w:r>
        <w:proofErr w:type="spellEnd"/>
        <w:r w:rsidRPr="00500DC6">
          <w:rPr>
            <w:rFonts w:ascii="Times New Roman" w:hAnsi="Times New Roman" w:cs="Times New Roman"/>
            <w:sz w:val="28"/>
            <w:szCs w:val="28"/>
            <w:lang w:val="en-US"/>
          </w:rPr>
          <w:t xml:space="preserve">, </w:t>
        </w:r>
        <w:proofErr w:type="spellStart"/>
        <w:r w:rsidRPr="00500DC6">
          <w:rPr>
            <w:rFonts w:ascii="Times New Roman" w:hAnsi="Times New Roman" w:cs="Times New Roman"/>
            <w:sz w:val="28"/>
            <w:szCs w:val="28"/>
            <w:lang w:val="en-US"/>
          </w:rPr>
          <w:t>Y.Yamaoka</w:t>
        </w:r>
        <w:proofErr w:type="spellEnd"/>
        <w:r w:rsidRPr="00500DC6">
          <w:rPr>
            <w:rFonts w:ascii="Times New Roman" w:hAnsi="Times New Roman" w:cs="Times New Roman"/>
            <w:sz w:val="28"/>
            <w:szCs w:val="28"/>
            <w:lang w:val="en-US"/>
          </w:rPr>
          <w:t xml:space="preserve"> //</w:t>
        </w:r>
      </w:hyperlink>
      <w:r w:rsidRPr="00500DC6">
        <w:rPr>
          <w:rFonts w:ascii="Times New Roman" w:hAnsi="Times New Roman" w:cs="Times New Roman"/>
          <w:sz w:val="28"/>
          <w:szCs w:val="28"/>
          <w:lang w:val="en-US"/>
        </w:rPr>
        <w:t xml:space="preserve"> </w:t>
      </w:r>
      <w:r w:rsidRPr="00500DC6">
        <w:rPr>
          <w:rStyle w:val="jrnl"/>
          <w:rFonts w:ascii="Times New Roman" w:hAnsi="Times New Roman" w:cs="Times New Roman"/>
          <w:sz w:val="28"/>
          <w:szCs w:val="28"/>
          <w:lang w:val="en-US"/>
        </w:rPr>
        <w:t xml:space="preserve">Infect. Genet. </w:t>
      </w:r>
      <w:proofErr w:type="spellStart"/>
      <w:r w:rsidRPr="00500DC6">
        <w:rPr>
          <w:rStyle w:val="jrnl"/>
          <w:rFonts w:ascii="Times New Roman" w:hAnsi="Times New Roman" w:cs="Times New Roman"/>
          <w:sz w:val="28"/>
          <w:szCs w:val="28"/>
          <w:lang w:val="en-US"/>
        </w:rPr>
        <w:t>Evol</w:t>
      </w:r>
      <w:proofErr w:type="spellEnd"/>
      <w:r w:rsidRPr="00500DC6">
        <w:rPr>
          <w:rFonts w:ascii="Times New Roman" w:hAnsi="Times New Roman" w:cs="Times New Roman"/>
          <w:sz w:val="28"/>
          <w:szCs w:val="28"/>
          <w:lang w:val="en-US"/>
        </w:rPr>
        <w:t>. — 2012. — Vol. 12, No 2. — P. 203–213.</w:t>
      </w:r>
    </w:p>
    <w:p w:rsidR="00500DC6"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sz w:val="28"/>
          <w:szCs w:val="28"/>
          <w:lang w:val="en-US"/>
        </w:rPr>
        <w:t xml:space="preserve">Translocation of Helicobacter pylori </w:t>
      </w:r>
      <w:proofErr w:type="spellStart"/>
      <w:r w:rsidRPr="00500DC6">
        <w:rPr>
          <w:rFonts w:ascii="Times New Roman" w:hAnsi="Times New Roman" w:cs="Times New Roman"/>
          <w:sz w:val="28"/>
          <w:szCs w:val="28"/>
          <w:lang w:val="en-US"/>
        </w:rPr>
        <w:t>CagA</w:t>
      </w:r>
      <w:proofErr w:type="spellEnd"/>
      <w:r w:rsidRPr="00500DC6">
        <w:rPr>
          <w:rFonts w:ascii="Times New Roman" w:hAnsi="Times New Roman" w:cs="Times New Roman"/>
          <w:sz w:val="28"/>
          <w:szCs w:val="28"/>
          <w:lang w:val="en-US"/>
        </w:rPr>
        <w:t xml:space="preserve"> into gastric epithelial cells by type IV secretion / S. </w:t>
      </w:r>
      <w:proofErr w:type="spellStart"/>
      <w:r w:rsidRPr="00500DC6">
        <w:rPr>
          <w:rFonts w:ascii="Times New Roman" w:hAnsi="Times New Roman" w:cs="Times New Roman"/>
          <w:iCs/>
          <w:sz w:val="28"/>
          <w:szCs w:val="28"/>
          <w:lang w:val="en-US"/>
        </w:rPr>
        <w:t>Odenbreit</w:t>
      </w:r>
      <w:proofErr w:type="spellEnd"/>
      <w:r w:rsidRPr="00500DC6">
        <w:rPr>
          <w:rFonts w:ascii="Times New Roman" w:hAnsi="Times New Roman" w:cs="Times New Roman"/>
          <w:iCs/>
          <w:sz w:val="28"/>
          <w:szCs w:val="28"/>
          <w:lang w:val="en-US"/>
        </w:rPr>
        <w:t xml:space="preserve">, J. </w:t>
      </w:r>
      <w:proofErr w:type="spellStart"/>
      <w:r w:rsidRPr="00500DC6">
        <w:rPr>
          <w:rFonts w:ascii="Times New Roman" w:hAnsi="Times New Roman" w:cs="Times New Roman"/>
          <w:iCs/>
          <w:sz w:val="28"/>
          <w:szCs w:val="28"/>
          <w:lang w:val="en-US"/>
        </w:rPr>
        <w:t>Puls</w:t>
      </w:r>
      <w:proofErr w:type="spellEnd"/>
      <w:r w:rsidRPr="00500DC6">
        <w:rPr>
          <w:rFonts w:ascii="Times New Roman" w:hAnsi="Times New Roman" w:cs="Times New Roman"/>
          <w:iCs/>
          <w:sz w:val="28"/>
          <w:szCs w:val="28"/>
          <w:lang w:val="en-US"/>
        </w:rPr>
        <w:t xml:space="preserve">, B. </w:t>
      </w:r>
      <w:proofErr w:type="spellStart"/>
      <w:r w:rsidRPr="00500DC6">
        <w:rPr>
          <w:rFonts w:ascii="Times New Roman" w:hAnsi="Times New Roman" w:cs="Times New Roman"/>
          <w:iCs/>
          <w:sz w:val="28"/>
          <w:szCs w:val="28"/>
          <w:lang w:val="en-US"/>
        </w:rPr>
        <w:t>Sedlmaier</w:t>
      </w:r>
      <w:proofErr w:type="spellEnd"/>
      <w:r w:rsidRPr="00500DC6">
        <w:rPr>
          <w:rFonts w:ascii="Times New Roman" w:hAnsi="Times New Roman" w:cs="Times New Roman"/>
          <w:iCs/>
          <w:sz w:val="28"/>
          <w:szCs w:val="28"/>
          <w:lang w:val="en-US"/>
        </w:rPr>
        <w:t xml:space="preserve"> [et al.] // </w:t>
      </w:r>
      <w:r w:rsidRPr="00500DC6">
        <w:rPr>
          <w:rFonts w:ascii="Times New Roman" w:hAnsi="Times New Roman" w:cs="Times New Roman"/>
          <w:sz w:val="28"/>
          <w:szCs w:val="28"/>
          <w:lang w:val="en-US"/>
        </w:rPr>
        <w:t>Science. — 2000. — Vol. 287. — P. 1497–1500.</w:t>
      </w:r>
    </w:p>
    <w:p w:rsidR="00001C0F" w:rsidRPr="00500DC6" w:rsidRDefault="00500DC6" w:rsidP="00500DC6">
      <w:pPr>
        <w:pStyle w:val="aa"/>
        <w:numPr>
          <w:ilvl w:val="0"/>
          <w:numId w:val="4"/>
        </w:numPr>
        <w:spacing w:after="0" w:line="240" w:lineRule="auto"/>
        <w:ind w:left="714" w:hanging="357"/>
        <w:jc w:val="both"/>
        <w:rPr>
          <w:rFonts w:ascii="Times New Roman" w:hAnsi="Times New Roman" w:cs="Times New Roman"/>
          <w:sz w:val="28"/>
          <w:szCs w:val="28"/>
          <w:lang w:val="en-US"/>
        </w:rPr>
      </w:pPr>
      <w:r w:rsidRPr="00500DC6">
        <w:rPr>
          <w:rFonts w:ascii="Times New Roman" w:hAnsi="Times New Roman" w:cs="Times New Roman"/>
          <w:bCs/>
          <w:sz w:val="28"/>
          <w:szCs w:val="28"/>
          <w:lang w:val="en-US"/>
        </w:rPr>
        <w:t>Walker M. M.</w:t>
      </w:r>
      <w:r w:rsidRPr="00500DC6">
        <w:rPr>
          <w:rFonts w:ascii="Times New Roman" w:hAnsi="Times New Roman" w:cs="Times New Roman"/>
          <w:sz w:val="28"/>
          <w:szCs w:val="28"/>
          <w:lang w:val="en-US"/>
        </w:rPr>
        <w:t xml:space="preserve"> Helicobacter pylori infection and the pathogenesis of duodenal ulceration / M. M. </w:t>
      </w:r>
      <w:r w:rsidRPr="00500DC6">
        <w:rPr>
          <w:rFonts w:ascii="Times New Roman" w:hAnsi="Times New Roman" w:cs="Times New Roman"/>
          <w:bCs/>
          <w:sz w:val="28"/>
          <w:szCs w:val="28"/>
          <w:lang w:val="en-US"/>
        </w:rPr>
        <w:t>Walker</w:t>
      </w:r>
      <w:r w:rsidRPr="00500DC6">
        <w:rPr>
          <w:rFonts w:ascii="Times New Roman" w:hAnsi="Times New Roman" w:cs="Times New Roman"/>
          <w:sz w:val="28"/>
          <w:szCs w:val="28"/>
          <w:lang w:val="en-US"/>
        </w:rPr>
        <w:t xml:space="preserve">, J. E. Crabtree // </w:t>
      </w:r>
      <w:r w:rsidRPr="00500DC6">
        <w:rPr>
          <w:rFonts w:ascii="Times New Roman" w:hAnsi="Times New Roman" w:cs="Times New Roman"/>
          <w:iCs/>
          <w:sz w:val="28"/>
          <w:szCs w:val="28"/>
          <w:lang w:val="en-US"/>
        </w:rPr>
        <w:t xml:space="preserve">Ann. N. Y. Acad. Sci. — </w:t>
      </w:r>
      <w:r w:rsidRPr="00500DC6">
        <w:rPr>
          <w:rFonts w:ascii="Times New Roman" w:hAnsi="Times New Roman" w:cs="Times New Roman"/>
          <w:sz w:val="28"/>
          <w:szCs w:val="28"/>
          <w:lang w:val="en-US"/>
        </w:rPr>
        <w:t xml:space="preserve">1998. —Vol. </w:t>
      </w:r>
      <w:r w:rsidRPr="00500DC6">
        <w:rPr>
          <w:rFonts w:ascii="Times New Roman" w:hAnsi="Times New Roman" w:cs="Times New Roman"/>
          <w:bCs/>
          <w:sz w:val="28"/>
          <w:szCs w:val="28"/>
          <w:lang w:val="en-US"/>
        </w:rPr>
        <w:t>859. — P.</w:t>
      </w:r>
      <w:r w:rsidRPr="00500DC6">
        <w:rPr>
          <w:rFonts w:ascii="Times New Roman" w:hAnsi="Times New Roman" w:cs="Times New Roman"/>
          <w:sz w:val="28"/>
          <w:szCs w:val="28"/>
          <w:lang w:val="en-US"/>
        </w:rPr>
        <w:t xml:space="preserve"> 96–111.</w:t>
      </w:r>
    </w:p>
    <w:p w:rsidR="00001C0F" w:rsidRPr="00500DC6" w:rsidRDefault="007112D4" w:rsidP="00001C0F">
      <w:pPr>
        <w:spacing w:after="0" w:line="240" w:lineRule="auto"/>
        <w:ind w:firstLine="284"/>
        <w:rPr>
          <w:rFonts w:ascii="Times New Roman" w:eastAsia="Times New Roman" w:hAnsi="Times New Roman" w:cs="Times New Roman"/>
          <w:color w:val="000000"/>
          <w:sz w:val="27"/>
          <w:szCs w:val="27"/>
          <w:lang w:val="en-US"/>
        </w:rPr>
      </w:pPr>
      <w:r w:rsidRPr="00500DC6">
        <w:rPr>
          <w:rFonts w:ascii="Times New Roman" w:eastAsia="Times New Roman" w:hAnsi="Times New Roman" w:cs="Times New Roman"/>
          <w:i/>
          <w:iCs/>
          <w:color w:val="000000"/>
          <w:sz w:val="24"/>
          <w:szCs w:val="24"/>
          <w:lang w:val="en-US"/>
        </w:rPr>
        <w:t xml:space="preserve"> </w:t>
      </w:r>
    </w:p>
    <w:p w:rsidR="00001C0F" w:rsidRPr="00500DC6" w:rsidRDefault="007112D4" w:rsidP="00001C0F">
      <w:pPr>
        <w:spacing w:after="0" w:line="240" w:lineRule="auto"/>
        <w:ind w:firstLine="284"/>
        <w:rPr>
          <w:rFonts w:ascii="Times New Roman" w:eastAsia="Times New Roman" w:hAnsi="Times New Roman" w:cs="Times New Roman"/>
          <w:color w:val="000000"/>
          <w:sz w:val="27"/>
          <w:szCs w:val="27"/>
          <w:lang w:val="en-US"/>
        </w:rPr>
      </w:pPr>
      <w:r w:rsidRPr="00500DC6">
        <w:rPr>
          <w:rFonts w:ascii="Times New Roman" w:eastAsia="Times New Roman" w:hAnsi="Times New Roman" w:cs="Times New Roman"/>
          <w:i/>
          <w:iCs/>
          <w:color w:val="000000"/>
          <w:sz w:val="24"/>
          <w:szCs w:val="24"/>
          <w:lang w:val="en-US"/>
        </w:rPr>
        <w:t xml:space="preserve"> </w:t>
      </w:r>
    </w:p>
    <w:p w:rsidR="00500DC6" w:rsidRPr="00500DC6" w:rsidRDefault="007112D4" w:rsidP="00500DC6">
      <w:pPr>
        <w:pStyle w:val="a8"/>
        <w:rPr>
          <w:b/>
          <w:caps/>
          <w:szCs w:val="28"/>
          <w:lang w:val="en-US"/>
        </w:rPr>
      </w:pPr>
      <w:r w:rsidRPr="00500DC6">
        <w:rPr>
          <w:szCs w:val="28"/>
          <w:lang w:val="en-US"/>
        </w:rPr>
        <w:t xml:space="preserve"> </w:t>
      </w:r>
      <w:r w:rsidRPr="00500DC6">
        <w:rPr>
          <w:b/>
          <w:bCs/>
          <w:i/>
          <w:iCs/>
          <w:szCs w:val="28"/>
          <w:lang w:val="en-US"/>
        </w:rPr>
        <w:t xml:space="preserve"> </w:t>
      </w:r>
      <w:r w:rsidR="00500DC6" w:rsidRPr="00500DC6">
        <w:rPr>
          <w:rStyle w:val="refresult"/>
          <w:b/>
          <w:szCs w:val="28"/>
          <w:lang w:val="en-US"/>
        </w:rPr>
        <w:t>Genotype</w:t>
      </w:r>
      <w:r w:rsidR="00500DC6" w:rsidRPr="00500DC6">
        <w:rPr>
          <w:b/>
          <w:szCs w:val="28"/>
          <w:lang w:val="en-US"/>
        </w:rPr>
        <w:t xml:space="preserve"> of Helicobacter pylori and non-steroidal anti-inflammatory drugs</w:t>
      </w:r>
    </w:p>
    <w:p w:rsidR="00500DC6" w:rsidRPr="00500DC6" w:rsidRDefault="00500DC6" w:rsidP="00500DC6">
      <w:pPr>
        <w:pStyle w:val="a8"/>
        <w:rPr>
          <w:szCs w:val="28"/>
          <w:lang w:val="en-US"/>
        </w:rPr>
      </w:pPr>
      <w:r w:rsidRPr="00500DC6">
        <w:rPr>
          <w:szCs w:val="28"/>
          <w:lang w:val="en-US"/>
        </w:rPr>
        <w:t>N. V.</w:t>
      </w:r>
      <w:r w:rsidRPr="00500DC6">
        <w:rPr>
          <w:b/>
          <w:szCs w:val="28"/>
          <w:lang w:val="en-US"/>
        </w:rPr>
        <w:t xml:space="preserve"> </w:t>
      </w:r>
      <w:r w:rsidRPr="00500DC6">
        <w:rPr>
          <w:szCs w:val="28"/>
          <w:lang w:val="en-US"/>
        </w:rPr>
        <w:t>Shirinskaya</w:t>
      </w:r>
      <w:r w:rsidRPr="00500DC6">
        <w:rPr>
          <w:b/>
          <w:szCs w:val="28"/>
          <w:lang w:val="en-US"/>
        </w:rPr>
        <w:t>¹</w:t>
      </w:r>
      <w:r w:rsidRPr="00500DC6">
        <w:rPr>
          <w:szCs w:val="28"/>
          <w:lang w:val="en-US"/>
        </w:rPr>
        <w:t>, Y. G. Pomorgaylo</w:t>
      </w:r>
      <w:r w:rsidRPr="00500DC6">
        <w:rPr>
          <w:b/>
          <w:szCs w:val="28"/>
          <w:lang w:val="en-US"/>
        </w:rPr>
        <w:t>²</w:t>
      </w:r>
      <w:r w:rsidRPr="00500DC6">
        <w:rPr>
          <w:szCs w:val="28"/>
          <w:lang w:val="en-US"/>
        </w:rPr>
        <w:t xml:space="preserve">, T. V. </w:t>
      </w:r>
      <w:hyperlink r:id="rId18" w:tooltip="Список публикаций этого автора" w:history="1">
        <w:r w:rsidRPr="00500DC6">
          <w:rPr>
            <w:rStyle w:val="a4"/>
            <w:color w:val="auto"/>
            <w:szCs w:val="28"/>
            <w:u w:val="none"/>
            <w:lang w:val="en-US"/>
          </w:rPr>
          <w:t>Vas’kina</w:t>
        </w:r>
      </w:hyperlink>
      <w:r w:rsidRPr="00500DC6">
        <w:rPr>
          <w:b/>
          <w:szCs w:val="28"/>
          <w:lang w:val="en-US"/>
        </w:rPr>
        <w:t>³</w:t>
      </w:r>
      <w:r w:rsidRPr="00500DC6">
        <w:rPr>
          <w:szCs w:val="28"/>
          <w:lang w:val="en-US"/>
        </w:rPr>
        <w:t>, N. P. Kirichenko</w:t>
      </w:r>
      <w:r w:rsidRPr="00500DC6">
        <w:rPr>
          <w:b/>
          <w:szCs w:val="28"/>
          <w:lang w:val="en-US"/>
        </w:rPr>
        <w:t>³</w:t>
      </w:r>
    </w:p>
    <w:p w:rsidR="00500DC6" w:rsidRPr="00500DC6" w:rsidRDefault="00500DC6" w:rsidP="00500DC6">
      <w:pPr>
        <w:pStyle w:val="a8"/>
        <w:rPr>
          <w:szCs w:val="28"/>
          <w:lang w:val="en-US"/>
        </w:rPr>
      </w:pPr>
      <w:r w:rsidRPr="00500DC6">
        <w:rPr>
          <w:b/>
          <w:szCs w:val="28"/>
          <w:lang w:val="en-US"/>
        </w:rPr>
        <w:t>¹</w:t>
      </w:r>
      <w:r w:rsidRPr="00500DC6">
        <w:rPr>
          <w:szCs w:val="28"/>
          <w:lang w:val="en-US"/>
        </w:rPr>
        <w:t>Omsk</w:t>
      </w:r>
      <w:r w:rsidRPr="00500DC6">
        <w:rPr>
          <w:b/>
          <w:szCs w:val="28"/>
          <w:lang w:val="en-US"/>
        </w:rPr>
        <w:t xml:space="preserve"> </w:t>
      </w:r>
      <w:r w:rsidRPr="00500DC6">
        <w:rPr>
          <w:szCs w:val="28"/>
          <w:lang w:val="en-US"/>
        </w:rPr>
        <w:t>State Medical Information-Analytical Centre,</w:t>
      </w:r>
    </w:p>
    <w:p w:rsidR="00500DC6" w:rsidRPr="00500DC6" w:rsidRDefault="00500DC6" w:rsidP="00500DC6">
      <w:pPr>
        <w:pStyle w:val="a8"/>
        <w:rPr>
          <w:szCs w:val="28"/>
          <w:lang w:val="en-US"/>
        </w:rPr>
      </w:pPr>
      <w:r w:rsidRPr="00500DC6">
        <w:rPr>
          <w:b/>
          <w:szCs w:val="28"/>
          <w:lang w:val="en-US"/>
        </w:rPr>
        <w:t>²</w:t>
      </w:r>
      <w:hyperlink r:id="rId19" w:tooltip="Омский государственный медицинский университет" w:history="1">
        <w:r w:rsidRPr="00500DC6">
          <w:rPr>
            <w:rStyle w:val="a4"/>
            <w:color w:val="auto"/>
            <w:szCs w:val="28"/>
            <w:u w:val="none"/>
            <w:lang w:val="en-US"/>
          </w:rPr>
          <w:t>Omsk State Medical University</w:t>
        </w:r>
      </w:hyperlink>
      <w:r w:rsidRPr="00500DC6">
        <w:rPr>
          <w:szCs w:val="28"/>
          <w:lang w:val="en-US"/>
        </w:rPr>
        <w:t>,</w:t>
      </w:r>
    </w:p>
    <w:p w:rsidR="00500DC6" w:rsidRPr="00500DC6" w:rsidRDefault="00500DC6" w:rsidP="00500DC6">
      <w:pPr>
        <w:pStyle w:val="a8"/>
        <w:rPr>
          <w:szCs w:val="28"/>
          <w:lang w:val="en-US"/>
        </w:rPr>
      </w:pPr>
      <w:r w:rsidRPr="00500DC6">
        <w:rPr>
          <w:b/>
          <w:szCs w:val="28"/>
          <w:lang w:val="en-US"/>
        </w:rPr>
        <w:t>³</w:t>
      </w:r>
      <w:r w:rsidRPr="00500DC6">
        <w:rPr>
          <w:szCs w:val="28"/>
          <w:lang w:val="en-US"/>
        </w:rPr>
        <w:t>Omsk State Medical Diagnostic Center,</w:t>
      </w:r>
    </w:p>
    <w:p w:rsidR="00500DC6" w:rsidRPr="00500DC6" w:rsidRDefault="00500DC6" w:rsidP="00500DC6">
      <w:pPr>
        <w:pStyle w:val="a8"/>
        <w:rPr>
          <w:szCs w:val="28"/>
          <w:lang w:val="en-US"/>
        </w:rPr>
      </w:pPr>
      <w:r w:rsidRPr="00500DC6">
        <w:rPr>
          <w:szCs w:val="28"/>
          <w:lang w:val="en-US"/>
        </w:rPr>
        <w:t>Omsk, Russia</w:t>
      </w:r>
    </w:p>
    <w:p w:rsidR="00500DC6" w:rsidRPr="00500DC6" w:rsidRDefault="00500DC6" w:rsidP="00500DC6">
      <w:pPr>
        <w:pStyle w:val="a8"/>
        <w:rPr>
          <w:szCs w:val="28"/>
          <w:lang w:val="en-US"/>
        </w:rPr>
      </w:pPr>
    </w:p>
    <w:p w:rsidR="00500DC6" w:rsidRPr="00500DC6" w:rsidRDefault="00500DC6" w:rsidP="00500DC6">
      <w:pPr>
        <w:pStyle w:val="a8"/>
        <w:rPr>
          <w:szCs w:val="28"/>
          <w:lang w:val="en-US"/>
        </w:rPr>
      </w:pPr>
    </w:p>
    <w:p w:rsidR="00386264" w:rsidRDefault="00500DC6" w:rsidP="00386264">
      <w:pPr>
        <w:pStyle w:val="a8"/>
        <w:spacing w:line="360" w:lineRule="auto"/>
        <w:ind w:firstLine="709"/>
        <w:jc w:val="both"/>
        <w:rPr>
          <w:szCs w:val="28"/>
          <w:lang w:val="en-US"/>
        </w:rPr>
      </w:pPr>
      <w:r w:rsidRPr="00500DC6">
        <w:rPr>
          <w:b/>
          <w:szCs w:val="28"/>
          <w:lang w:val="en-US"/>
        </w:rPr>
        <w:t>Key</w:t>
      </w:r>
      <w:r w:rsidRPr="00500DC6">
        <w:rPr>
          <w:b/>
          <w:szCs w:val="28"/>
          <w:lang w:val="uk-UA"/>
        </w:rPr>
        <w:t xml:space="preserve"> </w:t>
      </w:r>
      <w:r w:rsidRPr="00500DC6">
        <w:rPr>
          <w:b/>
          <w:szCs w:val="28"/>
          <w:lang w:val="en-US"/>
        </w:rPr>
        <w:t>words:</w:t>
      </w:r>
      <w:r w:rsidRPr="00500DC6">
        <w:rPr>
          <w:szCs w:val="28"/>
          <w:lang w:val="en-US"/>
        </w:rPr>
        <w:t xml:space="preserve"> </w:t>
      </w:r>
      <w:hyperlink r:id="rId20" w:history="1">
        <w:r w:rsidRPr="00500DC6">
          <w:rPr>
            <w:rStyle w:val="a4"/>
            <w:color w:val="auto"/>
            <w:szCs w:val="28"/>
            <w:u w:val="none"/>
            <w:lang w:val="en-US"/>
          </w:rPr>
          <w:t>stomach</w:t>
        </w:r>
      </w:hyperlink>
      <w:r w:rsidRPr="00500DC6">
        <w:rPr>
          <w:szCs w:val="28"/>
          <w:lang w:val="en-US"/>
        </w:rPr>
        <w:t xml:space="preserve">, Helicobacter pylori, </w:t>
      </w:r>
      <w:hyperlink r:id="rId21" w:history="1">
        <w:r w:rsidRPr="00500DC6">
          <w:rPr>
            <w:rStyle w:val="a4"/>
            <w:color w:val="auto"/>
            <w:szCs w:val="28"/>
            <w:u w:val="none"/>
            <w:lang w:val="en-US"/>
          </w:rPr>
          <w:t>strains</w:t>
        </w:r>
      </w:hyperlink>
      <w:r w:rsidRPr="00500DC6">
        <w:rPr>
          <w:szCs w:val="28"/>
          <w:lang w:val="en-US"/>
        </w:rPr>
        <w:t>, genotype, non-steroidal anti-inflammatory drugs</w:t>
      </w:r>
    </w:p>
    <w:p w:rsidR="00001C0F" w:rsidRPr="00500DC6" w:rsidRDefault="00500DC6" w:rsidP="00386264">
      <w:pPr>
        <w:pStyle w:val="a8"/>
        <w:spacing w:line="360" w:lineRule="auto"/>
        <w:ind w:firstLine="709"/>
        <w:jc w:val="both"/>
        <w:rPr>
          <w:szCs w:val="28"/>
          <w:lang w:val="en-US"/>
        </w:rPr>
      </w:pPr>
      <w:r w:rsidRPr="00500DC6">
        <w:rPr>
          <w:szCs w:val="28"/>
          <w:lang w:val="en-US"/>
        </w:rPr>
        <w:t>Studying strains of Helicobacter pylori in a mucous membrane of a stomach in adult patients taking non-steroidal anti-inflammatory drugs was carried out.</w:t>
      </w:r>
      <w:r w:rsidRPr="00500DC6">
        <w:rPr>
          <w:b/>
          <w:szCs w:val="28"/>
          <w:lang w:val="en-US"/>
        </w:rPr>
        <w:t xml:space="preserve"> </w:t>
      </w:r>
      <w:r w:rsidRPr="00500DC6">
        <w:rPr>
          <w:szCs w:val="28"/>
          <w:lang w:val="en-US"/>
        </w:rPr>
        <w:t>Helicobacter pylori genotyping was performed by technique of polymerase chain reaction. Results of the conducted research, despite some heterogeneity, show existence of statistically significant differences depending on existence of erosive and ulcer changes and a factor of non-steroidal anti-inflammatory drugs intake</w:t>
      </w:r>
      <w:r w:rsidRPr="00500DC6">
        <w:rPr>
          <w:szCs w:val="28"/>
          <w:lang w:val="uk-UA"/>
        </w:rPr>
        <w:t>.</w:t>
      </w:r>
    </w:p>
    <w:p w:rsidR="00E57BBC" w:rsidRPr="00500DC6" w:rsidRDefault="007112D4" w:rsidP="00500DC6">
      <w:pPr>
        <w:spacing w:after="0" w:line="240" w:lineRule="auto"/>
        <w:rPr>
          <w:rFonts w:ascii="Times New Roman" w:eastAsia="Times New Roman" w:hAnsi="Times New Roman" w:cs="Times New Roman"/>
          <w:sz w:val="28"/>
          <w:szCs w:val="28"/>
          <w:lang w:val="en-US"/>
        </w:rPr>
      </w:pPr>
      <w:r w:rsidRPr="00500DC6">
        <w:rPr>
          <w:rFonts w:ascii="Times New Roman" w:eastAsia="Times New Roman" w:hAnsi="Times New Roman" w:cs="Times New Roman"/>
          <w:sz w:val="28"/>
          <w:szCs w:val="28"/>
          <w:lang w:val="en-US"/>
        </w:rPr>
        <w:t xml:space="preserve"> </w:t>
      </w:r>
    </w:p>
    <w:sectPr w:rsidR="00E57BBC" w:rsidRPr="00500DC6" w:rsidSect="00E104F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7CA5"/>
    <w:multiLevelType w:val="hybridMultilevel"/>
    <w:tmpl w:val="34F89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F1B98"/>
    <w:multiLevelType w:val="hybridMultilevel"/>
    <w:tmpl w:val="9600F276"/>
    <w:lvl w:ilvl="0" w:tplc="04190001">
      <w:start w:val="1"/>
      <w:numFmt w:val="bullet"/>
      <w:lvlText w:val=""/>
      <w:lvlJc w:val="left"/>
      <w:pPr>
        <w:tabs>
          <w:tab w:val="num" w:pos="720"/>
        </w:tabs>
        <w:ind w:left="720" w:hanging="360"/>
      </w:pPr>
      <w:rPr>
        <w:rFonts w:ascii="Symbol" w:hAnsi="Symbol" w:hint="default"/>
        <w:sz w:val="28"/>
        <w:szCs w:val="28"/>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341D047C"/>
    <w:multiLevelType w:val="multilevel"/>
    <w:tmpl w:val="5594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662153A"/>
    <w:multiLevelType w:val="multilevel"/>
    <w:tmpl w:val="FA5E9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01C0F"/>
    <w:rsid w:val="00001C0F"/>
    <w:rsid w:val="00386264"/>
    <w:rsid w:val="004D40F4"/>
    <w:rsid w:val="00500DC6"/>
    <w:rsid w:val="005861DC"/>
    <w:rsid w:val="007112D4"/>
    <w:rsid w:val="00E104F2"/>
    <w:rsid w:val="00E57BBC"/>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4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C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a0"/>
    <w:rsid w:val="00001C0F"/>
  </w:style>
  <w:style w:type="character" w:styleId="a4">
    <w:name w:val="Hyperlink"/>
    <w:basedOn w:val="a0"/>
    <w:uiPriority w:val="99"/>
    <w:unhideWhenUsed/>
    <w:rsid w:val="00001C0F"/>
    <w:rPr>
      <w:color w:val="0000FF"/>
      <w:u w:val="single"/>
    </w:rPr>
  </w:style>
  <w:style w:type="character" w:styleId="a5">
    <w:name w:val="FollowedHyperlink"/>
    <w:basedOn w:val="a0"/>
    <w:uiPriority w:val="99"/>
    <w:semiHidden/>
    <w:unhideWhenUsed/>
    <w:rsid w:val="00001C0F"/>
    <w:rPr>
      <w:color w:val="800080"/>
      <w:u w:val="single"/>
    </w:rPr>
  </w:style>
  <w:style w:type="paragraph" w:styleId="a6">
    <w:name w:val="Balloon Text"/>
    <w:basedOn w:val="a"/>
    <w:link w:val="a7"/>
    <w:uiPriority w:val="99"/>
    <w:semiHidden/>
    <w:unhideWhenUsed/>
    <w:rsid w:val="005861D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861DC"/>
    <w:rPr>
      <w:rFonts w:ascii="Tahoma" w:hAnsi="Tahoma" w:cs="Tahoma"/>
      <w:sz w:val="16"/>
      <w:szCs w:val="16"/>
    </w:rPr>
  </w:style>
  <w:style w:type="paragraph" w:styleId="a8">
    <w:name w:val="Title"/>
    <w:basedOn w:val="a"/>
    <w:link w:val="a9"/>
    <w:qFormat/>
    <w:rsid w:val="007112D4"/>
    <w:pPr>
      <w:spacing w:after="0" w:line="240" w:lineRule="auto"/>
      <w:jc w:val="center"/>
    </w:pPr>
    <w:rPr>
      <w:rFonts w:ascii="Times New Roman" w:eastAsia="Times New Roman" w:hAnsi="Times New Roman" w:cs="Times New Roman"/>
      <w:sz w:val="28"/>
      <w:szCs w:val="20"/>
    </w:rPr>
  </w:style>
  <w:style w:type="character" w:customStyle="1" w:styleId="a9">
    <w:name w:val="Название Знак"/>
    <w:basedOn w:val="a0"/>
    <w:link w:val="a8"/>
    <w:rsid w:val="007112D4"/>
    <w:rPr>
      <w:rFonts w:ascii="Times New Roman" w:eastAsia="Times New Roman" w:hAnsi="Times New Roman" w:cs="Times New Roman"/>
      <w:sz w:val="28"/>
      <w:szCs w:val="20"/>
    </w:rPr>
  </w:style>
  <w:style w:type="character" w:customStyle="1" w:styleId="refresult">
    <w:name w:val="ref_result"/>
    <w:basedOn w:val="a0"/>
    <w:rsid w:val="007112D4"/>
  </w:style>
  <w:style w:type="paragraph" w:styleId="aa">
    <w:name w:val="List Paragraph"/>
    <w:basedOn w:val="a"/>
    <w:uiPriority w:val="34"/>
    <w:qFormat/>
    <w:rsid w:val="00500DC6"/>
    <w:pPr>
      <w:ind w:left="720"/>
      <w:contextualSpacing/>
    </w:pPr>
    <w:rPr>
      <w:rFonts w:eastAsiaTheme="minorHAnsi"/>
      <w:lang w:eastAsia="en-US"/>
    </w:rPr>
  </w:style>
  <w:style w:type="character" w:customStyle="1" w:styleId="jrnl">
    <w:name w:val="jrnl"/>
    <w:basedOn w:val="a0"/>
    <w:rsid w:val="00500DC6"/>
  </w:style>
  <w:style w:type="character" w:customStyle="1" w:styleId="apple-converted-space">
    <w:name w:val="apple-converted-space"/>
    <w:basedOn w:val="a0"/>
    <w:rsid w:val="00500DC6"/>
  </w:style>
</w:styles>
</file>

<file path=word/webSettings.xml><?xml version="1.0" encoding="utf-8"?>
<w:webSettings xmlns:r="http://schemas.openxmlformats.org/officeDocument/2006/relationships" xmlns:w="http://schemas.openxmlformats.org/wordprocessingml/2006/main">
  <w:divs>
    <w:div w:id="58191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keyword_items.asp?keywordid=86774" TargetMode="External"/><Relationship Id="rId13" Type="http://schemas.openxmlformats.org/officeDocument/2006/relationships/hyperlink" Target="http://elibrary.ru/item.asp?id=15218017" TargetMode="External"/><Relationship Id="rId18" Type="http://schemas.openxmlformats.org/officeDocument/2006/relationships/hyperlink" Target="http://elibrary.ru/author_items.asp?authorid=570559" TargetMode="External"/><Relationship Id="rId3" Type="http://schemas.openxmlformats.org/officeDocument/2006/relationships/settings" Target="settings.xml"/><Relationship Id="rId21" Type="http://schemas.openxmlformats.org/officeDocument/2006/relationships/hyperlink" Target="http://elibrary.ru/keyword_items.asp?keywordid=86774" TargetMode="External"/><Relationship Id="rId7" Type="http://schemas.openxmlformats.org/officeDocument/2006/relationships/hyperlink" Target="http://elibrary.ru/keyword_items.asp?keywordid=21199" TargetMode="External"/><Relationship Id="rId12" Type="http://schemas.openxmlformats.org/officeDocument/2006/relationships/chart" Target="charts/chart4.xml"/><Relationship Id="rId17" Type="http://schemas.openxmlformats.org/officeDocument/2006/relationships/hyperlink" Target="https://www.ncbi.nlm.nih.gov/pubmed/22197766" TargetMode="External"/><Relationship Id="rId2" Type="http://schemas.openxmlformats.org/officeDocument/2006/relationships/styles" Target="styles.xml"/><Relationship Id="rId16" Type="http://schemas.openxmlformats.org/officeDocument/2006/relationships/hyperlink" Target="https://www.ncbi.nlm.nih.gov/pubmed/19257848" TargetMode="External"/><Relationship Id="rId20" Type="http://schemas.openxmlformats.org/officeDocument/2006/relationships/hyperlink" Target="http://elibrary.ru/keyword_items.asp?keywordid=21199" TargetMode="External"/><Relationship Id="rId1" Type="http://schemas.openxmlformats.org/officeDocument/2006/relationships/numbering" Target="numbering.xml"/><Relationship Id="rId6" Type="http://schemas.openxmlformats.org/officeDocument/2006/relationships/hyperlink" Target="http://elibrary.ru/org_items.asp?orgsid=857" TargetMode="External"/><Relationship Id="rId11" Type="http://schemas.openxmlformats.org/officeDocument/2006/relationships/chart" Target="charts/chart3.xml"/><Relationship Id="rId5" Type="http://schemas.openxmlformats.org/officeDocument/2006/relationships/hyperlink" Target="http://elibrary.ru/author_items.asp?authorid=570559" TargetMode="External"/><Relationship Id="rId15" Type="http://schemas.openxmlformats.org/officeDocument/2006/relationships/hyperlink" Target="http://elibrary.ru/contents.asp?issueid=870825&amp;selid=15218017" TargetMode="External"/><Relationship Id="rId23"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hyperlink" Target="http://elibrary.ru/org_items.asp?orgsid=857"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elibrary.ru/contents.asp?issueid=870825"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Users\Nataly\Desktop\&#1069;&#1080;&#1050;&#1043;\&#1064;&#1080;&#1088;&#1080;&#1085;&#1089;&#1082;&#1072;&#1103;%20&#1053;&#1042;%20&#1088;&#1080;&#1089;&#1091;&#1085;&#1082;&#108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Users\Nataly\Desktop\&#1069;&#1080;&#1050;&#1043;\&#1064;&#1080;&#1088;&#1080;&#1085;&#1089;&#1082;&#1072;&#1103;%20&#1053;&#1042;%20&#1088;&#1080;&#1089;&#1091;&#1085;&#1082;&#108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Users\Nataly\Desktop\&#1069;&#1080;&#1050;&#1043;\&#1064;&#1080;&#1088;&#1080;&#1085;&#1089;&#1082;&#1072;&#1103;%20&#1053;&#1042;%20&#1088;&#1080;&#1089;&#1091;&#1085;&#1082;&#108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Users\Nataly\Desktop\&#1069;&#1080;&#1050;&#1043;\&#1064;&#1080;&#1088;&#1080;&#1085;&#1089;&#1082;&#1072;&#1103;%20&#1053;&#1042;%20&#1088;&#1080;&#1089;&#1091;&#1085;&#1082;&#108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548758616118151"/>
          <c:y val="7.3417721518987775E-2"/>
          <c:w val="0.59655887435662058"/>
          <c:h val="0.79240506329113924"/>
        </c:manualLayout>
      </c:layout>
      <c:barChart>
        <c:barDir val="col"/>
        <c:grouping val="stacked"/>
        <c:ser>
          <c:idx val="0"/>
          <c:order val="0"/>
          <c:tx>
            <c:strRef>
              <c:f>'рисунок 1'!$A$2</c:f>
              <c:strCache>
                <c:ptCount val="1"/>
                <c:pt idx="0">
                  <c:v>vac A s1/m1</c:v>
                </c:pt>
              </c:strCache>
            </c:strRef>
          </c:tx>
          <c:spPr>
            <a:solidFill>
              <a:srgbClr val="000000"/>
            </a:solidFill>
            <a:ln w="12700">
              <a:solidFill>
                <a:srgbClr val="000000"/>
              </a:solidFill>
              <a:prstDash val="solid"/>
            </a:ln>
          </c:spPr>
          <c:dLbls>
            <c:spPr>
              <a:solidFill>
                <a:srgbClr val="000000"/>
              </a:solidFill>
              <a:ln w="25400">
                <a:noFill/>
              </a:ln>
            </c:spPr>
            <c:txPr>
              <a:bodyPr/>
              <a:lstStyle/>
              <a:p>
                <a:pPr>
                  <a:defRPr sz="1000" b="1" i="0" u="none" strike="noStrike" baseline="0">
                    <a:solidFill>
                      <a:srgbClr val="FFFFFF"/>
                    </a:solidFill>
                    <a:latin typeface="Arial Cyr"/>
                    <a:ea typeface="Arial Cyr"/>
                    <a:cs typeface="Arial Cyr"/>
                  </a:defRPr>
                </a:pPr>
                <a:endParaRPr lang="ru-RU"/>
              </a:p>
            </c:txPr>
            <c:showVal val="1"/>
          </c:dLbls>
          <c:cat>
            <c:strRef>
              <c:f>'рисунок 1'!$B$1:$E$1</c:f>
              <c:strCache>
                <c:ptCount val="4"/>
                <c:pt idx="0">
                  <c:v>I группа</c:v>
                </c:pt>
                <c:pt idx="1">
                  <c:v>II группа</c:v>
                </c:pt>
                <c:pt idx="2">
                  <c:v>III группа</c:v>
                </c:pt>
                <c:pt idx="3">
                  <c:v>всего</c:v>
                </c:pt>
              </c:strCache>
            </c:strRef>
          </c:cat>
          <c:val>
            <c:numRef>
              <c:f>'рисунок 1'!$B$2:$E$2</c:f>
              <c:numCache>
                <c:formatCode>0.00</c:formatCode>
                <c:ptCount val="4"/>
                <c:pt idx="0">
                  <c:v>25</c:v>
                </c:pt>
                <c:pt idx="1">
                  <c:v>36.363636363636083</c:v>
                </c:pt>
                <c:pt idx="2">
                  <c:v>28.571428571428573</c:v>
                </c:pt>
                <c:pt idx="3">
                  <c:v>29.411764705882351</c:v>
                </c:pt>
              </c:numCache>
            </c:numRef>
          </c:val>
        </c:ser>
        <c:ser>
          <c:idx val="1"/>
          <c:order val="1"/>
          <c:tx>
            <c:strRef>
              <c:f>'рисунок 1'!$A$3</c:f>
              <c:strCache>
                <c:ptCount val="1"/>
                <c:pt idx="0">
                  <c:v>vac A s1/m2</c:v>
                </c:pt>
              </c:strCache>
            </c:strRef>
          </c:tx>
          <c:spPr>
            <a:pattFill prst="wdUpDiag">
              <a:fgClr>
                <a:srgbClr val="000000"/>
              </a:fgClr>
              <a:bgClr>
                <a:srgbClr val="FFFFFF"/>
              </a:bgClr>
            </a:pattFill>
            <a:ln w="12700">
              <a:solidFill>
                <a:srgbClr val="000000"/>
              </a:solidFill>
              <a:prstDash val="solid"/>
            </a:ln>
          </c:spPr>
          <c:dLbls>
            <c:dLbl>
              <c:idx val="0"/>
              <c:layout>
                <c:manualLayout>
                  <c:x val="7.013388524864142E-2"/>
                  <c:y val="-2.1809096647729415E-2"/>
                </c:manualLayout>
              </c:layout>
              <c:dLblPos val="ctr"/>
              <c:showVal val="1"/>
            </c:dLbl>
            <c:dLbl>
              <c:idx val="1"/>
              <c:layout>
                <c:manualLayout>
                  <c:x val="7.2045871422385929E-2"/>
                  <c:y val="-2.5469816272966052E-2"/>
                </c:manualLayout>
              </c:layout>
              <c:dLblPos val="ctr"/>
              <c:showVal val="1"/>
            </c:dLbl>
            <c:dLbl>
              <c:idx val="2"/>
              <c:layout>
                <c:manualLayout>
                  <c:x val="7.0133762247690939E-2"/>
                  <c:y val="1.1452872188444101E-3"/>
                </c:manualLayout>
              </c:layout>
              <c:dLblPos val="ctr"/>
              <c:showVal val="1"/>
            </c:dLbl>
            <c:dLbl>
              <c:idx val="3"/>
              <c:layout>
                <c:manualLayout>
                  <c:x val="6.8221853812721889E-2"/>
                  <c:y val="-3.1000099671085492E-2"/>
                </c:manualLayout>
              </c:layout>
              <c:dLblPos val="ctr"/>
              <c:showVal val="1"/>
            </c:dLbl>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Val val="1"/>
          </c:dLbls>
          <c:cat>
            <c:strRef>
              <c:f>'рисунок 1'!$B$1:$E$1</c:f>
              <c:strCache>
                <c:ptCount val="4"/>
                <c:pt idx="0">
                  <c:v>I группа</c:v>
                </c:pt>
                <c:pt idx="1">
                  <c:v>II группа</c:v>
                </c:pt>
                <c:pt idx="2">
                  <c:v>III группа</c:v>
                </c:pt>
                <c:pt idx="3">
                  <c:v>всего</c:v>
                </c:pt>
              </c:strCache>
            </c:strRef>
          </c:cat>
          <c:val>
            <c:numRef>
              <c:f>'рисунок 1'!$B$3:$E$3</c:f>
              <c:numCache>
                <c:formatCode>0.00</c:formatCode>
                <c:ptCount val="4"/>
                <c:pt idx="0">
                  <c:v>43.75</c:v>
                </c:pt>
                <c:pt idx="1">
                  <c:v>18.181818181818301</c:v>
                </c:pt>
                <c:pt idx="2">
                  <c:v>14.285714285714286</c:v>
                </c:pt>
                <c:pt idx="3">
                  <c:v>29.411764705882351</c:v>
                </c:pt>
              </c:numCache>
            </c:numRef>
          </c:val>
        </c:ser>
        <c:ser>
          <c:idx val="2"/>
          <c:order val="2"/>
          <c:tx>
            <c:strRef>
              <c:f>'рисунок 1'!$A$4</c:f>
              <c:strCache>
                <c:ptCount val="1"/>
                <c:pt idx="0">
                  <c:v>vac A s2/m1</c:v>
                </c:pt>
              </c:strCache>
            </c:strRef>
          </c:tx>
          <c:spPr>
            <a:solidFill>
              <a:srgbClr val="808080"/>
            </a:solidFill>
            <a:ln w="12700">
              <a:solidFill>
                <a:srgbClr val="000000"/>
              </a:solidFill>
              <a:prstDash val="solid"/>
            </a:ln>
          </c:spPr>
          <c:cat>
            <c:strRef>
              <c:f>'рисунок 1'!$B$1:$E$1</c:f>
              <c:strCache>
                <c:ptCount val="4"/>
                <c:pt idx="0">
                  <c:v>I группа</c:v>
                </c:pt>
                <c:pt idx="1">
                  <c:v>II группа</c:v>
                </c:pt>
                <c:pt idx="2">
                  <c:v>III группа</c:v>
                </c:pt>
                <c:pt idx="3">
                  <c:v>всего</c:v>
                </c:pt>
              </c:strCache>
            </c:strRef>
          </c:cat>
          <c:val>
            <c:numRef>
              <c:f>'рисунок 1'!$B$4:$E$4</c:f>
              <c:numCache>
                <c:formatCode>0.00</c:formatCode>
                <c:ptCount val="4"/>
                <c:pt idx="0">
                  <c:v>6.25</c:v>
                </c:pt>
                <c:pt idx="1">
                  <c:v>0</c:v>
                </c:pt>
                <c:pt idx="2">
                  <c:v>0</c:v>
                </c:pt>
                <c:pt idx="3">
                  <c:v>2.9411764705882337</c:v>
                </c:pt>
              </c:numCache>
            </c:numRef>
          </c:val>
        </c:ser>
        <c:ser>
          <c:idx val="3"/>
          <c:order val="3"/>
          <c:tx>
            <c:strRef>
              <c:f>'рисунок 1'!$A$5</c:f>
              <c:strCache>
                <c:ptCount val="1"/>
                <c:pt idx="0">
                  <c:v>vac A s2/m2</c:v>
                </c:pt>
              </c:strCache>
            </c:strRef>
          </c:tx>
          <c:spPr>
            <a:pattFill prst="pct10">
              <a:fgClr>
                <a:srgbClr val="333333"/>
              </a:fgClr>
              <a:bgClr>
                <a:srgbClr val="FFFFFF"/>
              </a:bgClr>
            </a:pattFill>
            <a:ln w="12700">
              <a:solidFill>
                <a:srgbClr val="000000"/>
              </a:solidFill>
              <a:prstDash val="solid"/>
            </a:ln>
          </c:spPr>
          <c:dLbls>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Val val="1"/>
          </c:dLbls>
          <c:cat>
            <c:strRef>
              <c:f>'рисунок 1'!$B$1:$E$1</c:f>
              <c:strCache>
                <c:ptCount val="4"/>
                <c:pt idx="0">
                  <c:v>I группа</c:v>
                </c:pt>
                <c:pt idx="1">
                  <c:v>II группа</c:v>
                </c:pt>
                <c:pt idx="2">
                  <c:v>III группа</c:v>
                </c:pt>
                <c:pt idx="3">
                  <c:v>всего</c:v>
                </c:pt>
              </c:strCache>
            </c:strRef>
          </c:cat>
          <c:val>
            <c:numRef>
              <c:f>'рисунок 1'!$B$5:$E$5</c:f>
              <c:numCache>
                <c:formatCode>0.00</c:formatCode>
                <c:ptCount val="4"/>
                <c:pt idx="0">
                  <c:v>25</c:v>
                </c:pt>
                <c:pt idx="1">
                  <c:v>45.454545454545197</c:v>
                </c:pt>
                <c:pt idx="2">
                  <c:v>57.142857142857153</c:v>
                </c:pt>
                <c:pt idx="3">
                  <c:v>38.235294117647044</c:v>
                </c:pt>
              </c:numCache>
            </c:numRef>
          </c:val>
        </c:ser>
        <c:overlap val="100"/>
        <c:axId val="127404672"/>
        <c:axId val="127415808"/>
      </c:barChart>
      <c:catAx>
        <c:axId val="127404672"/>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7415808"/>
        <c:crosses val="autoZero"/>
        <c:auto val="1"/>
        <c:lblAlgn val="ctr"/>
        <c:lblOffset val="100"/>
        <c:tickLblSkip val="1"/>
        <c:tickMarkSkip val="1"/>
      </c:catAx>
      <c:valAx>
        <c:axId val="127415808"/>
        <c:scaling>
          <c:orientation val="minMax"/>
          <c:max val="100"/>
        </c:scaling>
        <c:axPos val="l"/>
        <c:majorGridlines>
          <c:spPr>
            <a:ln w="3175">
              <a:solidFill>
                <a:srgbClr val="000000"/>
              </a:solidFill>
              <a:prstDash val="solid"/>
            </a:ln>
          </c:spPr>
        </c:majorGridlines>
        <c:title>
          <c:tx>
            <c:rich>
              <a:bodyPr rot="0" vert="horz"/>
              <a:lstStyle/>
              <a:p>
                <a:pPr algn="ctr">
                  <a:defRPr sz="1200" b="1" i="0" u="none" strike="noStrike" baseline="0">
                    <a:solidFill>
                      <a:srgbClr val="000000"/>
                    </a:solidFill>
                    <a:latin typeface="Arial Cyr"/>
                    <a:ea typeface="Arial Cyr"/>
                    <a:cs typeface="Arial Cyr"/>
                  </a:defRPr>
                </a:pPr>
                <a:r>
                  <a:rPr lang="ru-RU"/>
                  <a:t>%</a:t>
                </a:r>
              </a:p>
            </c:rich>
          </c:tx>
          <c:layout>
            <c:manualLayout>
              <c:xMode val="edge"/>
              <c:yMode val="edge"/>
              <c:x val="3.0592805112844092E-2"/>
              <c:y val="0.43291138879379232"/>
            </c:manualLayout>
          </c:layout>
          <c:spPr>
            <a:noFill/>
            <a:ln w="25400">
              <a:noFill/>
            </a:ln>
          </c:spPr>
        </c:title>
        <c:numFmt formatCode="0" sourceLinked="0"/>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27404672"/>
        <c:crosses val="autoZero"/>
        <c:crossBetween val="between"/>
        <c:majorUnit val="20"/>
      </c:valAx>
      <c:spPr>
        <a:noFill/>
        <a:ln w="12700">
          <a:solidFill>
            <a:srgbClr val="808080"/>
          </a:solidFill>
          <a:prstDash val="solid"/>
        </a:ln>
      </c:spPr>
    </c:plotArea>
    <c:legend>
      <c:legendPos val="r"/>
      <c:layout>
        <c:manualLayout>
          <c:xMode val="edge"/>
          <c:yMode val="edge"/>
          <c:x val="0.77246731798974466"/>
          <c:y val="0.34683555859865395"/>
          <c:w val="0.21414929875338709"/>
          <c:h val="0.24556972498002971"/>
        </c:manualLayout>
      </c:layout>
      <c:spPr>
        <a:solidFill>
          <a:srgbClr val="FFFFFF"/>
        </a:solidFill>
        <a:ln w="25400">
          <a:noFill/>
        </a:ln>
      </c:spPr>
      <c:txPr>
        <a:bodyPr/>
        <a:lstStyle/>
        <a:p>
          <a:pPr>
            <a:defRPr sz="1100"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9525">
      <a:noFill/>
    </a:ln>
  </c:spPr>
  <c:txPr>
    <a:bodyPr/>
    <a:lstStyle/>
    <a:p>
      <a:pPr>
        <a:defRPr sz="1200"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5851287162204208"/>
          <c:y val="8.4548225315781766E-2"/>
          <c:w val="0.65362097681188092"/>
          <c:h val="0.76093402784203579"/>
        </c:manualLayout>
      </c:layout>
      <c:barChart>
        <c:barDir val="col"/>
        <c:grouping val="stacked"/>
        <c:ser>
          <c:idx val="0"/>
          <c:order val="0"/>
          <c:tx>
            <c:strRef>
              <c:f>'рисунок 2'!$A$2</c:f>
              <c:strCache>
                <c:ptCount val="1"/>
                <c:pt idx="0">
                  <c:v>cag A+</c:v>
                </c:pt>
              </c:strCache>
            </c:strRef>
          </c:tx>
          <c:spPr>
            <a:solidFill>
              <a:srgbClr val="000000"/>
            </a:solidFill>
            <a:ln w="12700">
              <a:solidFill>
                <a:srgbClr val="000000"/>
              </a:solidFill>
              <a:prstDash val="solid"/>
            </a:ln>
          </c:spPr>
          <c:dLbls>
            <c:spPr>
              <a:solidFill>
                <a:srgbClr val="000000"/>
              </a:solidFill>
              <a:ln w="25400">
                <a:noFill/>
              </a:ln>
            </c:spPr>
            <c:txPr>
              <a:bodyPr/>
              <a:lstStyle/>
              <a:p>
                <a:pPr>
                  <a:defRPr sz="1000" b="1" i="0" u="none" strike="noStrike" baseline="0">
                    <a:solidFill>
                      <a:srgbClr val="FFFFFF"/>
                    </a:solidFill>
                    <a:latin typeface="Arial Cyr"/>
                    <a:ea typeface="Arial Cyr"/>
                    <a:cs typeface="Arial Cyr"/>
                  </a:defRPr>
                </a:pPr>
                <a:endParaRPr lang="ru-RU"/>
              </a:p>
            </c:txPr>
            <c:showVal val="1"/>
          </c:dLbls>
          <c:cat>
            <c:strRef>
              <c:f>'рисунок 2'!$B$1:$E$1</c:f>
              <c:strCache>
                <c:ptCount val="4"/>
                <c:pt idx="0">
                  <c:v>I группа</c:v>
                </c:pt>
                <c:pt idx="1">
                  <c:v>II группа</c:v>
                </c:pt>
                <c:pt idx="2">
                  <c:v>III группа</c:v>
                </c:pt>
                <c:pt idx="3">
                  <c:v>всего</c:v>
                </c:pt>
              </c:strCache>
            </c:strRef>
          </c:cat>
          <c:val>
            <c:numRef>
              <c:f>'рисунок 2'!$B$2:$E$2</c:f>
              <c:numCache>
                <c:formatCode>0.00</c:formatCode>
                <c:ptCount val="4"/>
                <c:pt idx="0">
                  <c:v>43.75</c:v>
                </c:pt>
                <c:pt idx="1">
                  <c:v>45.454545454545197</c:v>
                </c:pt>
                <c:pt idx="2">
                  <c:v>28.571428571428573</c:v>
                </c:pt>
                <c:pt idx="3">
                  <c:v>41.176470588235297</c:v>
                </c:pt>
              </c:numCache>
            </c:numRef>
          </c:val>
        </c:ser>
        <c:ser>
          <c:idx val="1"/>
          <c:order val="1"/>
          <c:tx>
            <c:strRef>
              <c:f>'рисунок 2'!$A$3</c:f>
              <c:strCache>
                <c:ptCount val="1"/>
                <c:pt idx="0">
                  <c:v>cag A-</c:v>
                </c:pt>
              </c:strCache>
            </c:strRef>
          </c:tx>
          <c:spPr>
            <a:solidFill>
              <a:srgbClr val="969696"/>
            </a:solidFill>
            <a:ln w="12700">
              <a:solidFill>
                <a:srgbClr val="000000"/>
              </a:solidFill>
              <a:prstDash val="solid"/>
            </a:ln>
          </c:spPr>
          <c:dLbls>
            <c:spPr>
              <a:noFill/>
              <a:ln w="25400">
                <a:noFill/>
              </a:ln>
            </c:spPr>
            <c:txPr>
              <a:bodyPr/>
              <a:lstStyle/>
              <a:p>
                <a:pPr>
                  <a:defRPr sz="1000" b="1" i="0" u="none" strike="noStrike" baseline="0">
                    <a:solidFill>
                      <a:srgbClr val="000000"/>
                    </a:solidFill>
                    <a:latin typeface="Arial Cyr"/>
                    <a:ea typeface="Arial Cyr"/>
                    <a:cs typeface="Arial Cyr"/>
                  </a:defRPr>
                </a:pPr>
                <a:endParaRPr lang="ru-RU"/>
              </a:p>
            </c:txPr>
            <c:showVal val="1"/>
          </c:dLbls>
          <c:cat>
            <c:strRef>
              <c:f>'рисунок 2'!$B$1:$E$1</c:f>
              <c:strCache>
                <c:ptCount val="4"/>
                <c:pt idx="0">
                  <c:v>I группа</c:v>
                </c:pt>
                <c:pt idx="1">
                  <c:v>II группа</c:v>
                </c:pt>
                <c:pt idx="2">
                  <c:v>III группа</c:v>
                </c:pt>
                <c:pt idx="3">
                  <c:v>всего</c:v>
                </c:pt>
              </c:strCache>
            </c:strRef>
          </c:cat>
          <c:val>
            <c:numRef>
              <c:f>'рисунок 2'!$B$3:$E$3</c:f>
              <c:numCache>
                <c:formatCode>0.00</c:formatCode>
                <c:ptCount val="4"/>
                <c:pt idx="0">
                  <c:v>56.25</c:v>
                </c:pt>
                <c:pt idx="1">
                  <c:v>54.545454545454547</c:v>
                </c:pt>
                <c:pt idx="2">
                  <c:v>71.428571428571388</c:v>
                </c:pt>
                <c:pt idx="3">
                  <c:v>58.82352941176444</c:v>
                </c:pt>
              </c:numCache>
            </c:numRef>
          </c:val>
        </c:ser>
        <c:overlap val="100"/>
        <c:axId val="147609472"/>
        <c:axId val="147650048"/>
      </c:barChart>
      <c:catAx>
        <c:axId val="147609472"/>
        <c:scaling>
          <c:orientation val="minMax"/>
        </c:scaling>
        <c:axPos val="b"/>
        <c:numFmt formatCode="General" sourceLinked="1"/>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47650048"/>
        <c:crosses val="autoZero"/>
        <c:auto val="1"/>
        <c:lblAlgn val="ctr"/>
        <c:lblOffset val="100"/>
        <c:tickLblSkip val="1"/>
        <c:tickMarkSkip val="1"/>
      </c:catAx>
      <c:valAx>
        <c:axId val="147650048"/>
        <c:scaling>
          <c:orientation val="minMax"/>
          <c:max val="100"/>
        </c:scaling>
        <c:axPos val="l"/>
        <c:majorGridlines>
          <c:spPr>
            <a:ln w="3175">
              <a:solidFill>
                <a:srgbClr val="000000"/>
              </a:solidFill>
              <a:prstDash val="solid"/>
            </a:ln>
          </c:spPr>
        </c:majorGridlines>
        <c:title>
          <c:tx>
            <c:rich>
              <a:bodyPr rot="0" vert="horz"/>
              <a:lstStyle/>
              <a:p>
                <a:pPr algn="ctr">
                  <a:defRPr sz="1200" b="1" i="0" u="none" strike="noStrike" baseline="0">
                    <a:solidFill>
                      <a:srgbClr val="000000"/>
                    </a:solidFill>
                    <a:latin typeface="Arial Cyr"/>
                    <a:ea typeface="Arial Cyr"/>
                    <a:cs typeface="Arial Cyr"/>
                  </a:defRPr>
                </a:pPr>
                <a:r>
                  <a:rPr lang="ru-RU"/>
                  <a:t>%</a:t>
                </a:r>
              </a:p>
            </c:rich>
          </c:tx>
          <c:layout>
            <c:manualLayout>
              <c:xMode val="edge"/>
              <c:yMode val="edge"/>
              <c:x val="3.1311271276275816E-2"/>
              <c:y val="0.42274101702199479"/>
            </c:manualLayout>
          </c:layout>
          <c:spPr>
            <a:noFill/>
            <a:ln w="25400">
              <a:noFill/>
            </a:ln>
          </c:spPr>
        </c:title>
        <c:numFmt formatCode="General" sourceLinked="0"/>
        <c:tickLblPos val="nextTo"/>
        <c:spPr>
          <a:ln w="3175">
            <a:solidFill>
              <a:srgbClr val="000000"/>
            </a:solidFill>
            <a:prstDash val="solid"/>
          </a:ln>
        </c:spPr>
        <c:txPr>
          <a:bodyPr rot="0" vert="horz"/>
          <a:lstStyle/>
          <a:p>
            <a:pPr>
              <a:defRPr sz="1200" b="1" i="0" u="none" strike="noStrike" baseline="0">
                <a:solidFill>
                  <a:srgbClr val="000000"/>
                </a:solidFill>
                <a:latin typeface="Arial Cyr"/>
                <a:ea typeface="Arial Cyr"/>
                <a:cs typeface="Arial Cyr"/>
              </a:defRPr>
            </a:pPr>
            <a:endParaRPr lang="ru-RU"/>
          </a:p>
        </c:txPr>
        <c:crossAx val="147609472"/>
        <c:crosses val="autoZero"/>
        <c:crossBetween val="between"/>
        <c:majorUnit val="20"/>
      </c:valAx>
      <c:spPr>
        <a:solidFill>
          <a:srgbClr val="FFFFFF"/>
        </a:solidFill>
        <a:ln w="25400">
          <a:noFill/>
        </a:ln>
      </c:spPr>
    </c:plotArea>
    <c:legend>
      <c:legendPos val="r"/>
      <c:layout>
        <c:manualLayout>
          <c:xMode val="edge"/>
          <c:yMode val="edge"/>
          <c:x val="0.83366023691483415"/>
          <c:y val="0.39358659114979516"/>
          <c:w val="0.15264203085725547"/>
          <c:h val="0.1428573621279805"/>
        </c:manualLayout>
      </c:layout>
      <c:spPr>
        <a:solidFill>
          <a:srgbClr val="FFFFFF"/>
        </a:solidFill>
        <a:ln w="25400">
          <a:noFill/>
        </a:ln>
      </c:spPr>
      <c:txPr>
        <a:bodyPr/>
        <a:lstStyle/>
        <a:p>
          <a:pPr>
            <a:defRPr sz="1100" b="1"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9525">
      <a:noFill/>
    </a:ln>
  </c:spPr>
  <c:txPr>
    <a:bodyPr/>
    <a:lstStyle/>
    <a:p>
      <a:pPr>
        <a:defRPr sz="1200" b="1" i="0" u="none" strike="noStrike" baseline="0">
          <a:solidFill>
            <a:srgbClr val="000000"/>
          </a:solidFill>
          <a:latin typeface="Arial Cyr"/>
          <a:ea typeface="Arial Cyr"/>
          <a:cs typeface="Arial Cy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8202267163653402"/>
          <c:y val="8.5043988269794715E-2"/>
          <c:w val="0.60674223878845013"/>
          <c:h val="0.7595307917888563"/>
        </c:manualLayout>
      </c:layout>
      <c:barChart>
        <c:barDir val="col"/>
        <c:grouping val="stacked"/>
        <c:ser>
          <c:idx val="0"/>
          <c:order val="0"/>
          <c:tx>
            <c:strRef>
              <c:f>'рисунок 3'!$A$2</c:f>
              <c:strCache>
                <c:ptCount val="1"/>
                <c:pt idx="0">
                  <c:v>cag A+</c:v>
                </c:pt>
              </c:strCache>
            </c:strRef>
          </c:tx>
          <c:spPr>
            <a:solidFill>
              <a:srgbClr val="000000"/>
            </a:solidFill>
            <a:ln w="12700">
              <a:solidFill>
                <a:srgbClr val="000000"/>
              </a:solidFill>
              <a:prstDash val="solid"/>
            </a:ln>
          </c:spPr>
          <c:dLbls>
            <c:spPr>
              <a:solidFill>
                <a:srgbClr val="000000"/>
              </a:solidFill>
              <a:ln w="25400">
                <a:noFill/>
              </a:ln>
            </c:spPr>
            <c:txPr>
              <a:bodyPr/>
              <a:lstStyle/>
              <a:p>
                <a:pPr>
                  <a:defRPr sz="900" b="1" i="0" u="none" strike="noStrike" baseline="0">
                    <a:solidFill>
                      <a:srgbClr val="FFFFFF"/>
                    </a:solidFill>
                    <a:latin typeface="Arial Cyr"/>
                    <a:ea typeface="Arial Cyr"/>
                    <a:cs typeface="Arial Cyr"/>
                  </a:defRPr>
                </a:pPr>
                <a:endParaRPr lang="ru-RU"/>
              </a:p>
            </c:txPr>
            <c:showVal val="1"/>
          </c:dLbls>
          <c:cat>
            <c:strRef>
              <c:f>'рисунок 3'!$B$1:$D$1</c:f>
              <c:strCache>
                <c:ptCount val="3"/>
                <c:pt idx="0">
                  <c:v>I группа</c:v>
                </c:pt>
                <c:pt idx="1">
                  <c:v>II группа</c:v>
                </c:pt>
                <c:pt idx="2">
                  <c:v>III группа</c:v>
                </c:pt>
              </c:strCache>
            </c:strRef>
          </c:cat>
          <c:val>
            <c:numRef>
              <c:f>'рисунок 3'!$B$2:$D$2</c:f>
              <c:numCache>
                <c:formatCode>0.00</c:formatCode>
                <c:ptCount val="3"/>
                <c:pt idx="0">
                  <c:v>55.555555555555557</c:v>
                </c:pt>
                <c:pt idx="1">
                  <c:v>66.666666666666671</c:v>
                </c:pt>
              </c:numCache>
            </c:numRef>
          </c:val>
        </c:ser>
        <c:ser>
          <c:idx val="1"/>
          <c:order val="1"/>
          <c:tx>
            <c:strRef>
              <c:f>'рисунок 3'!$A$3</c:f>
              <c:strCache>
                <c:ptCount val="1"/>
                <c:pt idx="0">
                  <c:v>cag A-</c:v>
                </c:pt>
              </c:strCache>
            </c:strRef>
          </c:tx>
          <c:spPr>
            <a:solidFill>
              <a:srgbClr val="C0C0C0"/>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Cyr"/>
                    <a:ea typeface="Arial Cyr"/>
                    <a:cs typeface="Arial Cyr"/>
                  </a:defRPr>
                </a:pPr>
                <a:endParaRPr lang="ru-RU"/>
              </a:p>
            </c:txPr>
            <c:showVal val="1"/>
          </c:dLbls>
          <c:cat>
            <c:strRef>
              <c:f>'рисунок 3'!$B$1:$D$1</c:f>
              <c:strCache>
                <c:ptCount val="3"/>
                <c:pt idx="0">
                  <c:v>I группа</c:v>
                </c:pt>
                <c:pt idx="1">
                  <c:v>II группа</c:v>
                </c:pt>
                <c:pt idx="2">
                  <c:v>III группа</c:v>
                </c:pt>
              </c:strCache>
            </c:strRef>
          </c:cat>
          <c:val>
            <c:numRef>
              <c:f>'рисунок 3'!$B$3:$D$3</c:f>
              <c:numCache>
                <c:formatCode>0.00</c:formatCode>
                <c:ptCount val="3"/>
                <c:pt idx="0">
                  <c:v>44.444444444444109</c:v>
                </c:pt>
                <c:pt idx="1">
                  <c:v>33.333333333333336</c:v>
                </c:pt>
                <c:pt idx="2" formatCode="General">
                  <c:v>100</c:v>
                </c:pt>
              </c:numCache>
            </c:numRef>
          </c:val>
        </c:ser>
        <c:overlap val="100"/>
        <c:axId val="148621184"/>
        <c:axId val="148622720"/>
      </c:barChart>
      <c:catAx>
        <c:axId val="148621184"/>
        <c:scaling>
          <c:orientation val="minMax"/>
        </c:scaling>
        <c:axPos val="b"/>
        <c:numFmt formatCode="General" sourceLinked="1"/>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48622720"/>
        <c:crosses val="autoZero"/>
        <c:auto val="1"/>
        <c:lblAlgn val="ctr"/>
        <c:lblOffset val="100"/>
        <c:tickLblSkip val="1"/>
        <c:tickMarkSkip val="1"/>
      </c:catAx>
      <c:valAx>
        <c:axId val="148622720"/>
        <c:scaling>
          <c:orientation val="minMax"/>
          <c:max val="100"/>
        </c:scaling>
        <c:axPos val="l"/>
        <c:majorGridlines>
          <c:spPr>
            <a:ln w="3175">
              <a:solidFill>
                <a:srgbClr val="000000"/>
              </a:solidFill>
              <a:prstDash val="solid"/>
            </a:ln>
          </c:spPr>
        </c:majorGridlines>
        <c:title>
          <c:tx>
            <c:rich>
              <a:bodyPr rot="0" vert="horz"/>
              <a:lstStyle/>
              <a:p>
                <a:pPr algn="ctr">
                  <a:defRPr sz="1175" b="1" i="0" u="none" strike="noStrike" baseline="0">
                    <a:solidFill>
                      <a:srgbClr val="000000"/>
                    </a:solidFill>
                    <a:latin typeface="Arial Cyr"/>
                    <a:ea typeface="Arial Cyr"/>
                    <a:cs typeface="Arial Cyr"/>
                  </a:defRPr>
                </a:pPr>
                <a:r>
                  <a:rPr lang="ru-RU"/>
                  <a:t>%</a:t>
                </a:r>
              </a:p>
            </c:rich>
          </c:tx>
          <c:layout>
            <c:manualLayout>
              <c:xMode val="edge"/>
              <c:yMode val="edge"/>
              <c:x val="3.5955014464056446E-2"/>
              <c:y val="0.42228730180657242"/>
            </c:manualLayout>
          </c:layout>
          <c:spPr>
            <a:noFill/>
            <a:ln w="25400">
              <a:noFill/>
            </a:ln>
          </c:spPr>
        </c:title>
        <c:numFmt formatCode="0" sourceLinked="0"/>
        <c:tickLblPos val="nextTo"/>
        <c:spPr>
          <a:ln w="3175">
            <a:solidFill>
              <a:srgbClr val="000000"/>
            </a:solidFill>
            <a:prstDash val="solid"/>
          </a:ln>
        </c:spPr>
        <c:txPr>
          <a:bodyPr rot="0" vert="horz"/>
          <a:lstStyle/>
          <a:p>
            <a:pPr>
              <a:defRPr sz="1175" b="1" i="0" u="none" strike="noStrike" baseline="0">
                <a:solidFill>
                  <a:srgbClr val="000000"/>
                </a:solidFill>
                <a:latin typeface="Arial Cyr"/>
                <a:ea typeface="Arial Cyr"/>
                <a:cs typeface="Arial Cyr"/>
              </a:defRPr>
            </a:pPr>
            <a:endParaRPr lang="ru-RU"/>
          </a:p>
        </c:txPr>
        <c:crossAx val="148621184"/>
        <c:crosses val="autoZero"/>
        <c:crossBetween val="between"/>
        <c:majorUnit val="20"/>
      </c:valAx>
      <c:spPr>
        <a:solidFill>
          <a:srgbClr val="FFFFFF"/>
        </a:solidFill>
        <a:ln w="25400">
          <a:noFill/>
        </a:ln>
      </c:spPr>
    </c:plotArea>
    <c:legend>
      <c:legendPos val="r"/>
      <c:layout>
        <c:manualLayout>
          <c:xMode val="edge"/>
          <c:yMode val="edge"/>
          <c:x val="0.813484110164029"/>
          <c:y val="0.39296188853586594"/>
          <c:w val="0.17078662809584955"/>
          <c:h val="0.14369510828690274"/>
        </c:manualLayout>
      </c:layout>
      <c:spPr>
        <a:solidFill>
          <a:srgbClr val="FFFFFF"/>
        </a:solidFill>
        <a:ln w="25400">
          <a:noFill/>
        </a:ln>
      </c:spPr>
      <c:txPr>
        <a:bodyPr/>
        <a:lstStyle/>
        <a:p>
          <a:pPr>
            <a:defRPr sz="1080"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9525">
      <a:noFill/>
    </a:ln>
  </c:spPr>
  <c:txPr>
    <a:bodyPr/>
    <a:lstStyle/>
    <a:p>
      <a:pPr>
        <a:defRPr sz="1175" b="0" i="0" u="none" strike="noStrike" baseline="0">
          <a:solidFill>
            <a:srgbClr val="000000"/>
          </a:solidFill>
          <a:latin typeface="Arial Cyr"/>
          <a:ea typeface="Arial Cyr"/>
          <a:cs typeface="Arial Cy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0.17073215916158321"/>
          <c:y val="8.3871099847372566E-2"/>
          <c:w val="0.53116671739159205"/>
          <c:h val="0.77096895628931372"/>
        </c:manualLayout>
      </c:layout>
      <c:barChart>
        <c:barDir val="col"/>
        <c:grouping val="stacked"/>
        <c:ser>
          <c:idx val="0"/>
          <c:order val="0"/>
          <c:tx>
            <c:strRef>
              <c:f>'рисунок 4'!$A$2</c:f>
              <c:strCache>
                <c:ptCount val="1"/>
                <c:pt idx="0">
                  <c:v>vac A s1/m1</c:v>
                </c:pt>
              </c:strCache>
            </c:strRef>
          </c:tx>
          <c:spPr>
            <a:solidFill>
              <a:srgbClr val="000000"/>
            </a:solidFill>
            <a:ln w="12700">
              <a:solidFill>
                <a:srgbClr val="000000"/>
              </a:solidFill>
              <a:prstDash val="solid"/>
            </a:ln>
          </c:spPr>
          <c:dLbls>
            <c:spPr>
              <a:solidFill>
                <a:srgbClr val="000000"/>
              </a:solidFill>
              <a:ln w="25400">
                <a:noFill/>
              </a:ln>
            </c:spPr>
            <c:txPr>
              <a:bodyPr/>
              <a:lstStyle/>
              <a:p>
                <a:pPr>
                  <a:defRPr sz="875" b="1" i="0" u="none" strike="noStrike" baseline="0">
                    <a:solidFill>
                      <a:srgbClr val="FFFFFF"/>
                    </a:solidFill>
                    <a:latin typeface="Arial Cyr"/>
                    <a:ea typeface="Arial Cyr"/>
                    <a:cs typeface="Arial Cyr"/>
                  </a:defRPr>
                </a:pPr>
                <a:endParaRPr lang="ru-RU"/>
              </a:p>
            </c:txPr>
            <c:showVal val="1"/>
          </c:dLbls>
          <c:cat>
            <c:strRef>
              <c:f>'рисунок 4'!$B$1:$D$1</c:f>
              <c:strCache>
                <c:ptCount val="3"/>
                <c:pt idx="0">
                  <c:v>I группа</c:v>
                </c:pt>
                <c:pt idx="1">
                  <c:v>II группа</c:v>
                </c:pt>
                <c:pt idx="2">
                  <c:v>III группа</c:v>
                </c:pt>
              </c:strCache>
            </c:strRef>
          </c:cat>
          <c:val>
            <c:numRef>
              <c:f>'рисунок 4'!$B$2:$D$2</c:f>
              <c:numCache>
                <c:formatCode>0.00</c:formatCode>
                <c:ptCount val="3"/>
                <c:pt idx="0">
                  <c:v>22.222222222222072</c:v>
                </c:pt>
                <c:pt idx="1">
                  <c:v>66.666666666666671</c:v>
                </c:pt>
              </c:numCache>
            </c:numRef>
          </c:val>
        </c:ser>
        <c:ser>
          <c:idx val="1"/>
          <c:order val="1"/>
          <c:tx>
            <c:strRef>
              <c:f>'рисунок 4'!$A$3</c:f>
              <c:strCache>
                <c:ptCount val="1"/>
                <c:pt idx="0">
                  <c:v>vac A s1/m2</c:v>
                </c:pt>
              </c:strCache>
            </c:strRef>
          </c:tx>
          <c:spPr>
            <a:pattFill prst="wdDnDiag">
              <a:fgClr>
                <a:srgbClr val="000000"/>
              </a:fgClr>
              <a:bgClr>
                <a:srgbClr val="FFFFFF"/>
              </a:bgClr>
            </a:pattFill>
            <a:ln w="12700">
              <a:solidFill>
                <a:srgbClr val="000000"/>
              </a:solidFill>
              <a:prstDash val="solid"/>
            </a:ln>
          </c:spPr>
          <c:dLbls>
            <c:dLbl>
              <c:idx val="0"/>
              <c:layout>
                <c:manualLayout>
                  <c:x val="8.2434735419503913E-2"/>
                  <c:y val="-5.5505061867266593E-2"/>
                </c:manualLayout>
              </c:layout>
              <c:spPr>
                <a:noFill/>
                <a:ln w="25400">
                  <a:noFill/>
                </a:ln>
              </c:spPr>
              <c:txPr>
                <a:bodyPr/>
                <a:lstStyle/>
                <a:p>
                  <a:pPr>
                    <a:defRPr sz="975" b="1" i="0" u="none" strike="noStrike" baseline="0">
                      <a:solidFill>
                        <a:srgbClr val="000000"/>
                      </a:solidFill>
                      <a:latin typeface="Arial Cyr"/>
                      <a:ea typeface="Arial Cyr"/>
                      <a:cs typeface="Arial Cyr"/>
                    </a:defRPr>
                  </a:pPr>
                  <a:endParaRPr lang="ru-RU"/>
                </a:p>
              </c:txPr>
              <c:dLblPos val="ctr"/>
              <c:showVal val="1"/>
            </c:dLbl>
            <c:delete val="1"/>
          </c:dLbls>
          <c:cat>
            <c:strRef>
              <c:f>'рисунок 4'!$B$1:$D$1</c:f>
              <c:strCache>
                <c:ptCount val="3"/>
                <c:pt idx="0">
                  <c:v>I группа</c:v>
                </c:pt>
                <c:pt idx="1">
                  <c:v>II группа</c:v>
                </c:pt>
                <c:pt idx="2">
                  <c:v>III группа</c:v>
                </c:pt>
              </c:strCache>
            </c:strRef>
          </c:cat>
          <c:val>
            <c:numRef>
              <c:f>'рисунок 4'!$B$3:$D$3</c:f>
              <c:numCache>
                <c:formatCode>General</c:formatCode>
                <c:ptCount val="3"/>
                <c:pt idx="0" formatCode="0.00">
                  <c:v>33.333333333333336</c:v>
                </c:pt>
              </c:numCache>
            </c:numRef>
          </c:val>
        </c:ser>
        <c:ser>
          <c:idx val="2"/>
          <c:order val="2"/>
          <c:tx>
            <c:strRef>
              <c:f>'рисунок 4'!$A$4</c:f>
              <c:strCache>
                <c:ptCount val="1"/>
                <c:pt idx="0">
                  <c:v>vac A s2/m2</c:v>
                </c:pt>
              </c:strCache>
            </c:strRef>
          </c:tx>
          <c:spPr>
            <a:solidFill>
              <a:srgbClr val="C0C0C0"/>
            </a:solidFill>
            <a:ln w="12700">
              <a:solidFill>
                <a:srgbClr val="000000"/>
              </a:solidFill>
              <a:prstDash val="solid"/>
            </a:ln>
          </c:spPr>
          <c:dLbls>
            <c:spPr>
              <a:noFill/>
              <a:ln w="25400">
                <a:noFill/>
              </a:ln>
            </c:spPr>
            <c:txPr>
              <a:bodyPr/>
              <a:lstStyle/>
              <a:p>
                <a:pPr>
                  <a:defRPr sz="875" b="1" i="0" u="none" strike="noStrike" baseline="0">
                    <a:solidFill>
                      <a:srgbClr val="000000"/>
                    </a:solidFill>
                    <a:latin typeface="Arial Cyr"/>
                    <a:ea typeface="Arial Cyr"/>
                    <a:cs typeface="Arial Cyr"/>
                  </a:defRPr>
                </a:pPr>
                <a:endParaRPr lang="ru-RU"/>
              </a:p>
            </c:txPr>
            <c:showVal val="1"/>
          </c:dLbls>
          <c:cat>
            <c:strRef>
              <c:f>'рисунок 4'!$B$1:$D$1</c:f>
              <c:strCache>
                <c:ptCount val="3"/>
                <c:pt idx="0">
                  <c:v>I группа</c:v>
                </c:pt>
                <c:pt idx="1">
                  <c:v>II группа</c:v>
                </c:pt>
                <c:pt idx="2">
                  <c:v>III группа</c:v>
                </c:pt>
              </c:strCache>
            </c:strRef>
          </c:cat>
          <c:val>
            <c:numRef>
              <c:f>'рисунок 4'!$B$4:$D$4</c:f>
              <c:numCache>
                <c:formatCode>0.00</c:formatCode>
                <c:ptCount val="3"/>
                <c:pt idx="0">
                  <c:v>44.444444444444109</c:v>
                </c:pt>
                <c:pt idx="1">
                  <c:v>33.333333333333336</c:v>
                </c:pt>
                <c:pt idx="2" formatCode="General">
                  <c:v>100</c:v>
                </c:pt>
              </c:numCache>
            </c:numRef>
          </c:val>
        </c:ser>
        <c:overlap val="100"/>
        <c:axId val="166582144"/>
        <c:axId val="166583680"/>
      </c:barChart>
      <c:catAx>
        <c:axId val="166582144"/>
        <c:scaling>
          <c:orientation val="minMax"/>
        </c:scaling>
        <c:axPos val="b"/>
        <c:numFmt formatCode="General" sourceLinked="1"/>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166583680"/>
        <c:crosses val="autoZero"/>
        <c:auto val="1"/>
        <c:lblAlgn val="ctr"/>
        <c:lblOffset val="100"/>
        <c:tickLblSkip val="1"/>
        <c:tickMarkSkip val="1"/>
      </c:catAx>
      <c:valAx>
        <c:axId val="166583680"/>
        <c:scaling>
          <c:orientation val="minMax"/>
          <c:max val="100"/>
        </c:scaling>
        <c:axPos val="l"/>
        <c:majorGridlines>
          <c:spPr>
            <a:ln w="3175">
              <a:solidFill>
                <a:srgbClr val="000000"/>
              </a:solidFill>
              <a:prstDash val="solid"/>
            </a:ln>
          </c:spPr>
        </c:majorGridlines>
        <c:title>
          <c:tx>
            <c:rich>
              <a:bodyPr rot="0" vert="horz"/>
              <a:lstStyle/>
              <a:p>
                <a:pPr algn="ctr">
                  <a:defRPr sz="975" b="1" i="0" u="none" strike="noStrike" baseline="0">
                    <a:solidFill>
                      <a:srgbClr val="000000"/>
                    </a:solidFill>
                    <a:latin typeface="Arial Cyr"/>
                    <a:ea typeface="Arial Cyr"/>
                    <a:cs typeface="Arial Cyr"/>
                  </a:defRPr>
                </a:pPr>
                <a:r>
                  <a:rPr lang="ru-RU"/>
                  <a:t>%</a:t>
                </a:r>
              </a:p>
            </c:rich>
          </c:tx>
          <c:layout>
            <c:manualLayout>
              <c:xMode val="edge"/>
              <c:yMode val="edge"/>
              <c:x val="4.3360623659617542E-2"/>
              <c:y val="0.43225863433737488"/>
            </c:manualLayout>
          </c:layout>
          <c:spPr>
            <a:noFill/>
            <a:ln w="25400">
              <a:noFill/>
            </a:ln>
          </c:spPr>
        </c:title>
        <c:numFmt formatCode="0" sourceLinked="0"/>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166582144"/>
        <c:crosses val="autoZero"/>
        <c:crossBetween val="between"/>
        <c:majorUnit val="20"/>
      </c:valAx>
      <c:spPr>
        <a:solidFill>
          <a:srgbClr val="FFFFFF"/>
        </a:solidFill>
        <a:ln w="25400">
          <a:noFill/>
        </a:ln>
      </c:spPr>
    </c:plotArea>
    <c:legend>
      <c:legendPos val="r"/>
      <c:layout>
        <c:manualLayout>
          <c:xMode val="edge"/>
          <c:yMode val="edge"/>
          <c:x val="0.73170927192749435"/>
          <c:y val="0.3677423655376445"/>
          <c:w val="0.24932316859994891"/>
          <c:h val="0.20645186018414374"/>
        </c:manualLayout>
      </c:layout>
      <c:spPr>
        <a:solidFill>
          <a:srgbClr val="FFFFFF"/>
        </a:solidFill>
        <a:ln w="25400">
          <a:noFill/>
        </a:ln>
      </c:spPr>
      <c:txPr>
        <a:bodyPr/>
        <a:lstStyle/>
        <a:p>
          <a:pPr>
            <a:defRPr sz="895"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2415</Words>
  <Characters>13770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Spartan-B312</dc:creator>
  <cp:keywords/>
  <dc:description/>
  <cp:lastModifiedBy>Eka</cp:lastModifiedBy>
  <cp:revision>6</cp:revision>
  <dcterms:created xsi:type="dcterms:W3CDTF">2017-09-24T16:24:00Z</dcterms:created>
  <dcterms:modified xsi:type="dcterms:W3CDTF">2017-10-01T06:38:00Z</dcterms:modified>
</cp:coreProperties>
</file>