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r w:rsidRPr="00F73A3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Treatment of a patient with relapsing </w:t>
      </w:r>
      <w:proofErr w:type="spellStart"/>
      <w:r w:rsidRPr="00F73A3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-induced necrotizing pancreatitis: a case report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8"/>
          <w:vertAlign w:val="superscript"/>
          <w:lang w:val="en-US"/>
        </w:rPr>
      </w:pPr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Y. M. Susak</w:t>
      </w:r>
      <w:r w:rsidRPr="00F73A35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en-US"/>
        </w:rPr>
        <w:t>1</w:t>
      </w:r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, O. A. Tkachenko</w:t>
      </w:r>
      <w:r w:rsidRPr="00F73A35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en-US"/>
        </w:rPr>
        <w:t>2</w:t>
      </w:r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, O. M. Lobanova</w:t>
      </w:r>
      <w:r w:rsidRPr="00F73A35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en-US"/>
        </w:rPr>
        <w:t>2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</w:pPr>
      <w:r w:rsidRPr="00F73A35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  <w:lang w:val="en-US"/>
        </w:rPr>
        <w:t>1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National Medical University n.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a.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O.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O.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Bohomolets</w:t>
      </w:r>
      <w:proofErr w:type="spellEnd"/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, Kyiv, Ukraine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</w:pPr>
      <w:r w:rsidRPr="00F73A35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  <w:lang w:val="en-US"/>
        </w:rPr>
        <w:t>2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Kyiv City Clinical Emergency Hospital</w:t>
      </w:r>
    </w:p>
    <w:p w:rsidR="00F73A35" w:rsidRPr="00F73A35" w:rsidRDefault="00F73A35" w:rsidP="00F73A35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895732" w:rsidRPr="00895732" w:rsidRDefault="00F73A35" w:rsidP="00F73A35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Key words:</w:t>
      </w:r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acute pancreatitis, necrotizing infected pancreatitis,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, surgical techniques, complications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Acute pancreatitis (CP)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common disease with unpredictable complications and high mortality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[12].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One of the dangerous complications GP is acute necrotizing pancreatitis (HNP), which occurs 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15-25%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of cases.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Mortality in patients with infectious complications is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30%,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which leads relevance of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[6,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7].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Hypertriglyceridemia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(GT) above 11.3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mmol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/ 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 third reason (from 3.8 to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10%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of cases) after the GP of alcohol and gallstone disease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[8,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10].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 integral part of treating this group of patients are</w:t>
      </w:r>
      <w:proofErr w:type="gram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efferent therapy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[5,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8].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Up to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72%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of patients with GP on the background of HT have corrected heavily diabetes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 diabetes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[3].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Recurrent GP described in the literature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[9],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but cases of recurrent attacks of severe GP patients with HT literature we found.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Clinical case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 B., 1977 Mr.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arodzhennya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 9/22/07 team sent by ambulance to the Center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of the liver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bile duct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surgery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and pancreatic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cancer (surgical ward number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Kyiv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CityClinical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Emergency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Hospital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with a diagnosis of GP.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admission,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complaints of intense pain 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epihastri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nausea, repeated vomiting, abdominal bloating or expressed,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nevidhodzhennya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emptying and gases.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attack came after receiving a large number of non-alcoholic energy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drink</w:t>
      </w:r>
      <w:proofErr w:type="gram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Heart shorten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en - 103 in 1 minute, blood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pressure - 100/60 mm Hg.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c., body temperature - 37,2 ° C.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Abdomen soft, tender in the epidemiological and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mezohastralniy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site where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palpation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determined infiltrate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size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20 ×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15 cm. Symptoms of peritoneal irritation weakly positive.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Auscultation - peristalsis does not listen.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Complete blood count: white blood cells 12.0 g / l, hemoglobin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150 g / l.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Biochemical analysis of blood: "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hiloz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" glucose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30.4 mg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X-ray of the abdomen: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tonkokyshkovi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single liquid level.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X-rays of the chest cavity,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nyzhnochastkova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bilateral pneumonia.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Right pleural effusion.</w:t>
      </w:r>
      <w:proofErr w:type="gramEnd"/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Ultrasound: increase the size of the spread of pancreatic process retroperitoneal fat (the root of the mesentery of the small intestine, left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subdiaphragmatic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left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parakolyarnyy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space).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Hipovolemichnoh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shock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therapy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and correction of abdominal ischemia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etc.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ovodyly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the department of intensive care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general (ICU W).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Within 36 hours of admission apply the rule of "four catheters" by J.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M.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Susak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[2]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catheterized the left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subclavian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vein, the epidural space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10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9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for prolonged analgesia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duringfibroezofagogastroduodenoscopy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probe installed in the jejunum for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enteral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nutrition,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diagnostic performed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celiocentesis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: received 700 ml of hemorrhagic content (</w:t>
      </w:r>
      <w:r w:rsidRPr="00895732">
        <w:rPr>
          <w:rFonts w:ascii="Times New Roman" w:eastAsia="Times New Roman" w:hAnsi="Times New Roman" w:cs="Times New Roman"/>
          <w:color w:val="000000"/>
          <w:sz w:val="28"/>
        </w:rPr>
        <w:t>α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-amylase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-440 g /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(h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· l). for drainage of abdominal allocated to 600 ± 200 ml brown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liquid daily for 4 days, then drain 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Leno. In ICU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 treated with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principles of early targeted infusion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therapy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(the first 12 hours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100 ml / kg body weight, subsequently injected fluid depending on the level of central venous pressure).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Due to stable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HT patient 24.09.07hemosorption made to sorbent SCN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(spherical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karbonid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and HSHD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(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hemosorbent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granular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delihandyzuyuchyy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Under the influence of conservative treatment (pain blockers, proton pump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deeskalatsiyna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antibiotics, insulin,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enteral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nutrition,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anti</w:t>
      </w:r>
      <w:proofErr w:type="gram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-inflammatory therapy) infiltration decreased in size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18.10.07 patients discharged to outpatient treatment.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 diagnosis of acute severe necrotizing pancreatitis is infected.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Enzymatic peritonitis.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Parapankreatychnyy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infiltration.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Right-sided pleural effusion.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Bilateral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nyzhnochastkova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pneumonia.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Type 2 diabetes,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intermedius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decompensated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After being discharged due to ill repeatedly GT was treated at the clinic, including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plasmapheresis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courses.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10/07/12 48 hours after the attack patient in serious condition with pain in the upper abdomen, bloating or abdominal pain, nausea, dry mouth detained in hospital ambulance crew.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X-rays of the chest cavity, pleural effusion on the left.</w:t>
      </w:r>
      <w:proofErr w:type="gramEnd"/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X-rays of the abdomen: several horizontal levels of the liquid.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Ultrasound: signs GP (pancreatic necrosis), fluid in the bag stuffing, a large amount of fluid in the abdominal cavity.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Complete blood count: white blood cells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14.8 × 10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perscript"/>
          <w:lang w:val="en-US"/>
        </w:rPr>
        <w:t>9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/ L, hemoglobin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155 g / l,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hematocrit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42%;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Ca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perscript"/>
          <w:lang w:val="en-US"/>
        </w:rPr>
        <w:t>2+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0,66 mg / l;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PaO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40 mm Hg.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c.,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FiO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21,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PaO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FiO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bscript"/>
          <w:lang w:val="en-US"/>
        </w:rPr>
        <w:t>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- 190,48, pH - 7,28, </w:t>
      </w:r>
      <w:r w:rsidRPr="00895732">
        <w:rPr>
          <w:rFonts w:ascii="Times New Roman" w:eastAsia="Times New Roman" w:hAnsi="Times New Roman" w:cs="Times New Roman"/>
          <w:color w:val="000000"/>
          <w:sz w:val="28"/>
        </w:rPr>
        <w:t>α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amylase blood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400 g / (h · l).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According to the modified scale Marshall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 points (severe organ dysfunction).</w:t>
      </w:r>
      <w:proofErr w:type="gramEnd"/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Patients with induction center hospitalized in ICU W, where applicable rule of "four catheters": central vein catheterization, epidural space probe set for connection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Treytsa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for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enteral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Har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vigil, performed diagnostic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celiocentesis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: received 700 ml hemorrhagic fluid.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11/07/12: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hemosorbtion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(in sorbent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Ovosorb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7/17/12: reducing hemodynamic patient transferred to ICU RFP.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19.07.12 and 25.07.12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pleural puncture.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Despite conservative therapy, the patient's condition deteriorated, were growing signs of sepsis.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Spiral computed tomography of 26.07.12: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Mr.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Ostrom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necrotizing pancreatitis complicated by peritonitis in the left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epigastric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region, and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mesogaster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pararenalniy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area with signs of degradation.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Splenohepatomehaliya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73A3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Pyelonephritis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left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kidney.Nyzhnochastkova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left-sided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pleuropneumonia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</w:rPr>
        <w:t>Fig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</w:rPr>
        <w:t>. 1).</w:t>
      </w:r>
    </w:p>
    <w:p w:rsidR="00895732" w:rsidRPr="00895732" w:rsidRDefault="0055469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4800600" cy="4800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32" w:rsidRPr="00895732" w:rsidRDefault="00F73A3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Fig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1.</w:t>
      </w:r>
      <w:proofErr w:type="gramEnd"/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Spiral computed tomography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26.07.12.</w:t>
      </w:r>
    </w:p>
    <w:p w:rsidR="00895732" w:rsidRPr="00895732" w:rsidRDefault="00F73A3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8/27/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12 done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operation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removal of necrotic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nekrsekvestrektomiyu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retroperitoneal fat and retroperitoneal drainage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subdiaphragmatic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abscesses.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14.09.12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arozyvna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bleeding occurred, which were treated conservatively.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10/10/12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krizshkirne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abscess drainage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subdiaphragmatic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space left under ultrasound.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20/10/12 discovered pancreatic fistulas, which were treated conservatively.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2/11/12 patient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discharged to outpatient treatment.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 blood test on 22/12/16: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leukocytes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6.2 x 10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perscript"/>
          <w:lang w:val="en-US"/>
        </w:rPr>
        <w:t>9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/ L, erythrocyte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2%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of band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neutrophils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6%,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segmented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46%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monocytes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6%,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lymphocytes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40%.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Hemoglobin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184 mg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hematocrit</w:t>
      </w:r>
      <w:proofErr w:type="spell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45.4%,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platelets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205 × 10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perscript"/>
          <w:lang w:val="en-US"/>
        </w:rPr>
        <w:t>9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/ L, erythrocyte sedimentation rate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 mm / h.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Biochemical analysis of blood: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"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Hiloz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" glucose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17 mg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 total cholesterol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-14.26 mg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 triglycerides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21.92 mg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 high-density lipoprotein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are not defined, low-density lipoprotein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not determined, especially lipoproteins low density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9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9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mmol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/ l.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12/29/16: pancreatic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elastase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stool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282 mg / g.</w:t>
      </w:r>
    </w:p>
    <w:p w:rsidR="00895732" w:rsidRPr="00895732" w:rsidRDefault="0055469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lang w:eastAsia="zh-CN"/>
        </w:rPr>
        <w:lastRenderedPageBreak/>
        <w:drawing>
          <wp:inline distT="0" distB="0" distL="0" distR="0">
            <wp:extent cx="5699760" cy="559943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559943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Fig.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2.</w:t>
      </w:r>
      <w:proofErr w:type="gram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Spiral CT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5/1/17.</w:t>
      </w:r>
    </w:p>
    <w:p w:rsidR="00895732" w:rsidRPr="00895732" w:rsidRDefault="00F73A3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Spiral CT on 01/05/17: signs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hepatosplenomegaly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portal hypertension,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steatohepatosis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chronic pancreatitis,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hipovaskulyarne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hearth diameter of 12.8 mm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the head of the pancreas (Fig. 2).</w:t>
      </w:r>
    </w:p>
    <w:p w:rsidR="00895732" w:rsidRPr="00895732" w:rsidRDefault="00F73A35" w:rsidP="00895732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Diagnosis: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ibroz</w:t>
      </w:r>
      <w:proofErr w:type="spellEnd"/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pancreas.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Giant postoperative hernia, fistula ligature, </w:t>
      </w:r>
      <w:proofErr w:type="spellStart"/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subcompensated</w:t>
      </w:r>
      <w:proofErr w:type="spellEnd"/>
      <w:r w:rsidR="00895732"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medium severity insulin-dependent diabetes.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Assessment of quality of life of the patient, according to the questionnaire SF-36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[1]: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PF (physical functioning)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69.1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(from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nachennya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approaching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75 percentile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standardized population values and indicates that physical activity (self climbing stairs) and execution of significant physical activity is not limited).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RP (role-physical functioning, physical condition is caused by)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60.9 (corresponds to 75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standardized population percentile values indicates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what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daily activities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is not limited to the physical condition of the patient).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BP (pain intensity)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64.73 (75th percentile value exceeds the standardized population values, indicating that in the last month the pain did not affect the quality of life).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GH (general health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46.61 (values between 25 and 50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standardized population percentile values are criteria for assessing the state of health at the moment).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VT (vitality)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70.41 (75th percentile value exceeds the standardized population values, indicating that the patient feels full of strength and energy).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SF (social functioning)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62.95, which is high and shows no restriction of social contacts, that level of communication does not suffer.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RE (role-functioning caused by emotional state)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60.19, which is high and indicates that the restriction in the performance of daily activities caused by emotional state of deterioration, no.</w:t>
      </w:r>
    </w:p>
    <w:p w:rsidR="00895732" w:rsidRPr="00895732" w:rsidRDefault="00895732" w:rsidP="00895732">
      <w:pPr>
        <w:numPr>
          <w:ilvl w:val="0"/>
          <w:numId w:val="1"/>
        </w:numPr>
        <w:spacing w:after="0" w:line="351" w:lineRule="atLeast"/>
        <w:ind w:left="65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MH (mental health)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68.62 (large population-value, which indicates the absence of depression in a patient,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disturbing experiences of mental distress).</w:t>
      </w:r>
    </w:p>
    <w:p w:rsidR="00895732" w:rsidRPr="00895732" w:rsidRDefault="00895732" w:rsidP="00895732">
      <w:pPr>
        <w:spacing w:after="0" w:line="351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Analysis of the results was carried out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questionnaire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SF-36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[1].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73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Discussion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Since 1885, when Speck was first reported on the relationship between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GP data published much on this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issue.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[11]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It is believed that in serum triglycerides or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chylomicrons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are hydrolyzed lipase in the capillaries of the pancreas to release free fatty acids bind calcium ions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19"/>
          <w:vertAlign w:val="superscript"/>
          <w:lang w:val="en-US"/>
        </w:rPr>
        <w:t>2+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trombuyut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damage the capillaries, leading to the development GP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[11].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 in 2007 and 2012 suffered a severe necrotic form GP caused GT, although in both cases there was a reception of "energy" drinks without alcohol: in 2007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uninfected forms of serious GP, and in 2012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infected necrotizing pancreatitis, which along with conservative treatment needed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sekvestrnekrektomiyi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with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laparotomy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access.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the immediate postoperative period having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arozyvna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bleeding, which treated conservatively and external pancreatic fistula.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Along with the standard treatment of patients spent efferent therapy (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hemosorption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plasmapheresis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), insulin, heparin was administered.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remote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pislyaoperatsyynyy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period revealed a giant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pislyaoperatsyynu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hernia and fistula ligature.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However, despite two bouts of pancreatitis necrosis /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parapankreatytu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dangerous complications in the postoperative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period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,according</w:t>
      </w:r>
      <w:proofErr w:type="spellEnd"/>
      <w:proofErr w:type="gram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to the questionnaire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SF-36,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close to the patient's condition satisfactory.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If severe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fibrosis in the pancreas patient received no enzymes and the content of pancreatic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elastase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the stool equal to 282 mg / g.</w:t>
      </w:r>
      <w:proofErr w:type="gramEnd"/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clinical case demonstrates the dangers of repeated attacks necrotizing pancreatitis in patients with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need for efferent therapy for this disease.</w:t>
      </w:r>
      <w:r w:rsid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Patients with </w:t>
      </w:r>
      <w:proofErr w:type="spellStart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hyperlipidemia</w:t>
      </w:r>
      <w:proofErr w:type="spellEnd"/>
      <w:r w:rsidRPr="0089573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necessary to detect attacks of GP and conduct complex treatment aimed at normalizing triglycerides in the blood.</w:t>
      </w:r>
    </w:p>
    <w:p w:rsidR="00895732" w:rsidRPr="00895732" w:rsidRDefault="00F73A3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</w:t>
      </w:r>
    </w:p>
    <w:p w:rsidR="00895732" w:rsidRPr="00895732" w:rsidRDefault="00895732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5732">
        <w:rPr>
          <w:rFonts w:ascii="Times New Roman" w:eastAsia="Times New Roman" w:hAnsi="Times New Roman" w:cs="Times New Roman"/>
          <w:b/>
          <w:bCs/>
          <w:color w:val="000000"/>
          <w:sz w:val="28"/>
        </w:rPr>
        <w:t>References</w:t>
      </w:r>
      <w:proofErr w:type="spellEnd"/>
      <w:r w:rsidRPr="00895732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F73A3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7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F73A3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F73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F73A3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73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Ref477955251"/>
      <w:r w:rsidRPr="00F73A35">
        <w:rPr>
          <w:rFonts w:ascii="Times New Roman" w:eastAsia="Times New Roman" w:hAnsi="Times New Roman" w:cs="Times New Roman"/>
          <w:color w:val="000000"/>
          <w:sz w:val="28"/>
        </w:rPr>
        <w:t xml:space="preserve">Популяционные показатели качества жизни по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</w:rPr>
        <w:t>опроснику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</w:rPr>
        <w:t xml:space="preserve"> SF-36 (результаты многоцентрового исследования качества жизни «МИРАЖ»)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</w:rPr>
        <w:t>Науч</w:t>
      </w:r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</w:rPr>
        <w:t>.-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</w:rPr>
        <w:t>практ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</w:rPr>
        <w:t>ревматол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</w:rPr>
        <w:t>. — 2008. — № 1.</w:t>
      </w:r>
      <w:bookmarkEnd w:id="0"/>
      <w:r w:rsidRPr="00F73A3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bookmarkStart w:id="1" w:name="_Ref477955234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Сусак Я. М. Лікування хворих з гострим некротичним панкреатитом: правило «чотирьох катетерів» / Я. М. Сусак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>Лучевая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>диагностика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>Лучевая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>терапия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uk-UA"/>
        </w:rPr>
        <w:t>. — 2016. — № 2. — С. 44–48.</w:t>
      </w:r>
      <w:bookmarkEnd w:id="1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_Ref477955196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Fortson M. R. Clinical assessment of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hyperlipidemic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pancreatitis / M. R. Fortson, S. N. Freedman, P. D. Webster // Am. J.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Gastroenterol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1995. — Vol. 90, No 12. — P. 21–34.</w:t>
      </w:r>
      <w:bookmarkEnd w:id="2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Havel R. J. Approach to the patient with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/ R. J. Havel // Med.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Clin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North. Am. — 1982. — Vol. 66. — P. 319–333.</w:t>
      </w:r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3" w:name="_Ref477955185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Insulin and heparin in treatment of hyper-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-induced pancreatitis / P. Jain, R. R.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Rai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H.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Udawat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[et al.] // World J.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Gastroenterol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2007. — Vol. 13. — P. 2642–2643.</w:t>
      </w:r>
      <w:bookmarkEnd w:id="3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4" w:name="_Ref477955163"/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Kokosis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G. Surgical management of necrotizing </w:t>
      </w:r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pancreatitis :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 overview / G.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Kokosis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A. Perez, T. N. Pappas // World J.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Gastroenterol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2014. — Vol. 20, No 43. — P. 16106–16112.</w:t>
      </w:r>
      <w:bookmarkEnd w:id="4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5" w:name="_Ref477955166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Organ failure and infection of pancreatic necrosis as determinants of mortality in patients with acute pancreatitis / M. S.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Petrov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S.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Shanblan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M.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Chakraborty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[et al.]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Gastroenterol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2010. — Vol. 139. — P. 813–820.</w:t>
      </w:r>
      <w:bookmarkEnd w:id="5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6" w:name="_Ref477955171"/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Plasmapheresis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the management of acute severe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hyperlipidemic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pancreatitis :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report of 5 cases / P.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Kyriakidis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N.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Karydakis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M.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Neofytou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[et al.]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Pancreatol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2005. — Vol. 5. — P. 201–204.</w:t>
      </w:r>
      <w:bookmarkEnd w:id="6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_Ref477955202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Recurrent acute pancreatitis in a patient with type IIB </w:t>
      </w:r>
      <w:proofErr w:type="spellStart"/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hyperlipoproteinemia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: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 case report and review of the literature / B. C. Kim, M. J. Kim, W. C. Chang [et al.] // Korea J. — 2006. — Vol. 47, No 1. — P. 144–147.</w:t>
      </w:r>
      <w:bookmarkEnd w:id="7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8" w:name="_Ref477955178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Systematic review of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–induced acute pancreatitis: a more virulent etiology? / R. A. Carr, B. J.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Rejowski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G. A. Cote [et al.]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Pancreatol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2016. — Vol. 16, No 4. — P. 469–476.</w:t>
      </w:r>
      <w:bookmarkEnd w:id="8"/>
    </w:p>
    <w:p w:rsidR="00F73A35" w:rsidRPr="00F73A35" w:rsidRDefault="00F73A35" w:rsidP="00F73A35">
      <w:pPr>
        <w:numPr>
          <w:ilvl w:val="0"/>
          <w:numId w:val="2"/>
        </w:numPr>
        <w:tabs>
          <w:tab w:val="clear" w:pos="720"/>
          <w:tab w:val="left" w:pos="709"/>
        </w:tabs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9" w:name="_Ref477955261"/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Thannhauser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Lipidoses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diseases of the intracellular lipid metabolism / S.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Thannhauser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— 3rd ed. — New </w:t>
      </w:r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York :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Grune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&amp; Stratton, 1958.</w:t>
      </w:r>
      <w:bookmarkEnd w:id="9"/>
    </w:p>
    <w:p w:rsidR="00895732" w:rsidRPr="00895732" w:rsidRDefault="00F73A35" w:rsidP="00F73A35">
      <w:pPr>
        <w:numPr>
          <w:ilvl w:val="0"/>
          <w:numId w:val="2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10" w:name="_Ref477955154"/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Yadav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D. The epidemiology of pancreatitis and pancreatic cancer / D.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Yadav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A. B.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Lowenfels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//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Gastroenterol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lang w:val="en-US"/>
        </w:rPr>
        <w:t>. — 2013. — Vol. 144. — P. 1252–1261.</w:t>
      </w:r>
      <w:bookmarkEnd w:id="10"/>
    </w:p>
    <w:p w:rsidR="00895732" w:rsidRPr="00895732" w:rsidRDefault="00F73A35" w:rsidP="00895732">
      <w:pPr>
        <w:spacing w:after="0" w:line="351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F73A35" w:rsidRDefault="00F73A3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br w:type="page"/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 xml:space="preserve">Treatment of a patient with relapsing </w:t>
      </w:r>
      <w:proofErr w:type="spellStart"/>
      <w:r w:rsidRPr="00F7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-induced necrotizing pancreatitis: a case report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</w:pP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Y. M. Susak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O. A. Tkachenko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O. M. Lobanova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/>
        </w:rPr>
        <w:t>1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National Medical University n.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Bohomolets</w:t>
      </w:r>
      <w:proofErr w:type="spellEnd"/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, Kyiv, Ukraine</w:t>
      </w:r>
    </w:p>
    <w:p w:rsidR="00F73A35" w:rsidRPr="00F73A35" w:rsidRDefault="00F73A35" w:rsidP="00F73A35">
      <w:pPr>
        <w:spacing w:after="0" w:line="351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/>
        </w:rPr>
        <w:t>2</w:t>
      </w:r>
      <w:r w:rsidRPr="00F73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Kyiv City Clinical Emergency Hospital</w:t>
      </w:r>
    </w:p>
    <w:p w:rsidR="00F73A35" w:rsidRPr="00F73A35" w:rsidRDefault="00F73A35" w:rsidP="00F73A35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73A35" w:rsidRPr="00F73A35" w:rsidRDefault="00F73A35" w:rsidP="00F73A35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Key words:</w:t>
      </w: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acute pancreatitis, necrotizing infected pancreatitis,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surgical techniques, complications</w:t>
      </w:r>
    </w:p>
    <w:p w:rsidR="00F73A35" w:rsidRPr="00895732" w:rsidRDefault="00F73A35" w:rsidP="00F73A35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This case report demonstrates a clinical treatment tactic of a 39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y.o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patient with acute necrotizing pancreatitis. The peculiarity of the disease course is its cause —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associated with poorly managed type </w:t>
      </w:r>
      <w:proofErr w:type="gram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 diabetes</w:t>
      </w:r>
      <w:proofErr w:type="gram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Within 5-year interval in 2007 and 2012 respectively, the patient suffered two attacks of severe necrotizing pancreatitis. In 2007 he had necrotizing noninfectious pancreatitis, and in 2012 — infectious necrotizing pancreatitis requiring open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sequestrectomy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The patient underwent efferent therapy methods such as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hemosorbtion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plasmapheresis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combination with standard treatment scheme. The post-operative period was marked by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arrosive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hemorrhage,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subphrenic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abscess, ligature fistulas and giant post-operative hernia. During all period of observation (2007 — 2017), the patient was suffering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hypertriglyceridemia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(blood test as of December 22, 2016 demonstrated high level of triglycerides — 21.92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mmol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/L), which required the periodical </w:t>
      </w:r>
      <w:proofErr w:type="spellStart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plasmapheresis</w:t>
      </w:r>
      <w:proofErr w:type="spellEnd"/>
      <w:r w:rsidRPr="00F73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procedure. Despite two attacks of severe acute necrotizing pancreatitis, five years later the patient’s life quality according to SF-36 questionnaire is approaching normal.</w:t>
      </w:r>
    </w:p>
    <w:p w:rsidR="00895732" w:rsidRPr="00895732" w:rsidRDefault="00F73A35" w:rsidP="00895732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F73A35" w:rsidP="00895732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F73A35" w:rsidP="00895732">
      <w:pPr>
        <w:spacing w:after="0" w:line="35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F73A35" w:rsidP="00895732">
      <w:pPr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95732" w:rsidRPr="00895732" w:rsidRDefault="00F73A35" w:rsidP="00895732">
      <w:pPr>
        <w:spacing w:after="0" w:line="25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895732" w:rsidRPr="00895732" w:rsidRDefault="00F73A35" w:rsidP="00895732">
      <w:pPr>
        <w:spacing w:line="19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4465F9" w:rsidRPr="00895732" w:rsidRDefault="004465F9">
      <w:pPr>
        <w:rPr>
          <w:lang w:val="en-US"/>
        </w:rPr>
      </w:pPr>
    </w:p>
    <w:sectPr w:rsidR="004465F9" w:rsidRPr="00895732" w:rsidSect="00CF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-1392"/>
        </w:tabs>
        <w:ind w:left="-1392" w:firstLine="1068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380"/>
        </w:tabs>
        <w:ind w:left="-1380" w:firstLine="1788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1380"/>
        </w:tabs>
        <w:ind w:left="-1380" w:firstLine="2508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1380"/>
        </w:tabs>
        <w:ind w:left="-1380" w:firstLine="3228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1380"/>
        </w:tabs>
        <w:ind w:left="-1380" w:firstLine="3948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1380"/>
        </w:tabs>
        <w:ind w:left="-1380" w:firstLine="4668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1380"/>
        </w:tabs>
        <w:ind w:left="-1380" w:firstLine="5388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1380"/>
        </w:tabs>
        <w:ind w:left="-1380" w:firstLine="6108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1380"/>
        </w:tabs>
        <w:ind w:left="-1380" w:firstLine="6828"/>
      </w:pPr>
      <w:rPr>
        <w:rFonts w:hint="default"/>
        <w:color w:val="000000"/>
        <w:position w:val="0"/>
        <w:sz w:val="24"/>
      </w:rPr>
    </w:lvl>
  </w:abstractNum>
  <w:abstractNum w:abstractNumId="1">
    <w:nsid w:val="012F217E"/>
    <w:multiLevelType w:val="multilevel"/>
    <w:tmpl w:val="24DC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C40BA"/>
    <w:multiLevelType w:val="multilevel"/>
    <w:tmpl w:val="F288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817AA"/>
    <w:multiLevelType w:val="hybridMultilevel"/>
    <w:tmpl w:val="352A0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5732"/>
    <w:rsid w:val="004465F9"/>
    <w:rsid w:val="00554695"/>
    <w:rsid w:val="00895732"/>
    <w:rsid w:val="00CF555A"/>
    <w:rsid w:val="00F7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895732"/>
  </w:style>
  <w:style w:type="character" w:customStyle="1" w:styleId="apple-converted-space">
    <w:name w:val="apple-converted-space"/>
    <w:basedOn w:val="a0"/>
    <w:rsid w:val="00895732"/>
  </w:style>
  <w:style w:type="paragraph" w:styleId="a4">
    <w:name w:val="Balloon Text"/>
    <w:basedOn w:val="a"/>
    <w:link w:val="a5"/>
    <w:uiPriority w:val="99"/>
    <w:semiHidden/>
    <w:unhideWhenUsed/>
    <w:rsid w:val="0055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2091</Words>
  <Characters>11923</Characters>
  <Application>Microsoft Office Word</Application>
  <DocSecurity>0</DocSecurity>
  <Lines>99</Lines>
  <Paragraphs>27</Paragraphs>
  <ScaleCrop>false</ScaleCrop>
  <Company/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4</cp:revision>
  <dcterms:created xsi:type="dcterms:W3CDTF">2017-04-22T12:26:00Z</dcterms:created>
  <dcterms:modified xsi:type="dcterms:W3CDTF">2017-05-01T07:39:00Z</dcterms:modified>
</cp:coreProperties>
</file>