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18" w:rsidRPr="006302AB" w:rsidRDefault="009A4818" w:rsidP="009A4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Particular features of changes of the inhibitors </w:t>
      </w:r>
      <w:proofErr w:type="spellStart"/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>proteinase</w:t>
      </w:r>
      <w:proofErr w:type="spellEnd"/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blood serum in the patients with chronic pancreatitis</w:t>
      </w:r>
    </w:p>
    <w:p w:rsidR="009A4818" w:rsidRPr="006302AB" w:rsidRDefault="009A4818" w:rsidP="009A4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G. R. </w:t>
      </w:r>
      <w:proofErr w:type="spellStart"/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>Yuldasheva</w:t>
      </w:r>
      <w:proofErr w:type="spellEnd"/>
    </w:p>
    <w:p w:rsidR="009A4818" w:rsidRPr="006302AB" w:rsidRDefault="009A4818" w:rsidP="009A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302AB">
        <w:rPr>
          <w:rFonts w:ascii="Times New Roman" w:hAnsi="Times New Roman" w:cs="Times New Roman"/>
          <w:sz w:val="28"/>
          <w:szCs w:val="28"/>
          <w:lang w:val="en-US"/>
        </w:rPr>
        <w:t>Tashkent Advanced Training of Doctors Institute, Uzbekistan</w:t>
      </w:r>
    </w:p>
    <w:p w:rsidR="009A4818" w:rsidRPr="006302AB" w:rsidRDefault="009A4818" w:rsidP="009A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824EC" w:rsidRPr="006302AB" w:rsidRDefault="009A4818" w:rsidP="009A48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chronic pancreatitis, pathogenesis, proteins and inhibitors of blood serum, enzyme-inhibitor </w:t>
      </w:r>
      <w:proofErr w:type="spellStart"/>
      <w:r w:rsidRPr="006302AB">
        <w:rPr>
          <w:rFonts w:ascii="Times New Roman" w:hAnsi="Times New Roman" w:cs="Times New Roman"/>
          <w:sz w:val="28"/>
          <w:szCs w:val="28"/>
          <w:lang w:val="en-US"/>
        </w:rPr>
        <w:t>disbalance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>, proteins in acute phase</w:t>
      </w:r>
    </w:p>
    <w:p w:rsidR="009A4818" w:rsidRPr="009A4818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defeat of the pancreas as a result of the impact of unfavorable factors can clinically manifest itself from minor pain sensations to the hardest enzymatic shock 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hyperlink r:id="rId5" w:anchor="_Ref460071119" w:tooltip="_Ref460071119" w:history="1">
        <w:r w:rsidRPr="009A481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1</w:t>
        </w:r>
      </w:hyperlink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hyperlink r:id="rId6" w:anchor="_Ref460071123" w:tooltip="_Ref460071123" w:history="1">
        <w:r w:rsidRPr="009A481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2</w:t>
        </w:r>
      </w:hyperlink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A4818" w:rsidRPr="009A4818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Chronic pancreatitis may develop many years without obvious clinical signs or with sharp short-term bouts of pain.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Therefore, the most reliable diagnosis of pancreatitis and its clinical and morphological forms can be achieved by a comprehensive examination of the patient, including assessment of biochemical parameters of chronic pancreatitis is a shortage of highly active inhibitor of pancreatic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elastase</w:t>
      </w:r>
      <w:proofErr w:type="spellEnd"/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α</w:t>
      </w:r>
      <w:r w:rsidRPr="009A48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-antitrypsin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α</w:t>
      </w:r>
      <w:r w:rsidRPr="009A48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-macroglobulin.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mechanisms of inflammation in any organ of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proteolytic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damage do not play such a role in the pancreas.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is believed that with the activation of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proteolytic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enzymes begin the inflammatory process in chronic pancreatitis.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Hence the importance of studying the nature of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proteinase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inhibitors state changes that block proteolysis 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hyperlink r:id="rId7" w:anchor="_Ref460071487" w:tooltip="_Ref460071487" w:history="1">
        <w:r w:rsidRPr="009A481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3</w:t>
        </w:r>
      </w:hyperlink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A4818" w:rsidRPr="009A4818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 is known that pancreatic enzyme proteins (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trypsin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amylase) secreted into the small intestine, partially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resorbed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the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uncleaved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form, whole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molecules.In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</w:t>
      </w:r>
      <w:proofErr w:type="gram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blood,</w:t>
      </w:r>
      <w:proofErr w:type="gram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they bind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antiproteinases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9A4818">
        <w:rPr>
          <w:rFonts w:ascii="Times New Roman" w:eastAsia="Times New Roman" w:hAnsi="Times New Roman" w:cs="Times New Roman"/>
          <w:sz w:val="28"/>
          <w:szCs w:val="28"/>
          <w:lang w:eastAsia="ru-RU"/>
        </w:rPr>
        <w:t>α</w:t>
      </w:r>
      <w:r w:rsidRPr="009A48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-antitrypsin, </w:t>
      </w:r>
      <w:r w:rsidRPr="009A4818">
        <w:rPr>
          <w:rFonts w:ascii="Times New Roman" w:eastAsia="Times New Roman" w:hAnsi="Times New Roman" w:cs="Times New Roman"/>
          <w:sz w:val="28"/>
          <w:szCs w:val="28"/>
          <w:lang w:eastAsia="ru-RU"/>
        </w:rPr>
        <w:t>α</w:t>
      </w:r>
      <w:r w:rsidRPr="009A48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-macroglobulin form a complex, and thereby masked antigenic determinants of the protein. Pancreas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resorbs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hydrolase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plasma, and some of them captured by the </w:t>
      </w:r>
      <w:proofErr w:type="spellStart"/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Kupfferov’s</w:t>
      </w:r>
      <w:proofErr w:type="spellEnd"/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liver cells, and accumulates at sites of inflammation 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hyperlink r:id="rId8" w:anchor="_Ref460071549" w:tooltip="_Ref460071549" w:history="1">
        <w:r w:rsidRPr="009A481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4</w:t>
        </w:r>
      </w:hyperlink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These literature relating to the dynamics of the reactants with the acute phase of inflammation and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antiproteinases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patients with chronic pancreatitis do not illuminated.</w:t>
      </w:r>
    </w:p>
    <w:p w:rsidR="009A4818" w:rsidRPr="009A4818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48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The </w:t>
      </w:r>
      <w:r w:rsidR="006302A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aim</w:t>
      </w:r>
      <w:r w:rsidRPr="009A48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of research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to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study the characteristic changes of reactive protein synthesized in the liver and serum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antiproteinases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patients with chronic pancreatitis.</w:t>
      </w:r>
    </w:p>
    <w:p w:rsidR="009A4818" w:rsidRPr="009A4818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A48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Materials and methods.</w:t>
      </w:r>
      <w:proofErr w:type="gramEnd"/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sample of 58 patients with chronic pancreatitis (49 women and 9 men) age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 36 to 77 years (mean age 52.3±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2.7 years), disease duration from 1 year to 28 years.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Biliary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etiology of chronic pancreatitis 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observed in 88% of patients, idiopathic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7.9%, alcohol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4.1%.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control group consisted of 15 healthy individuals.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diagnosis of chronic pancreatitis is set based on the characteristic symptoms: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epigastric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pain, nausea, constipation, frequent vomiting duodenal contents, flatulence;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 based on instrumental and laboratory research.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content of CRP (C-reactive protein,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gaptoglabin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and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antiproteinases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(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α</w:t>
      </w:r>
      <w:r w:rsidRPr="009A48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-macroglobulin, 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α</w:t>
      </w:r>
      <w:r w:rsidRPr="009A48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-antitrypsin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were tested for biochemical analyzer "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Sobas</w:t>
      </w:r>
      <w:proofErr w:type="spellEnd"/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Emira</w:t>
      </w:r>
      <w:proofErr w:type="spellEnd"/>
      <w:r w:rsidR="006302AB"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(ROCHE). </w:t>
      </w:r>
      <w:proofErr w:type="gram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content of fibrinoge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 by </w:t>
      </w:r>
      <w:proofErr w:type="spellStart"/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Rutberg</w:t>
      </w:r>
      <w:proofErr w:type="spellEnd"/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antithrombin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III in enzyme immunoassay analyzer.</w:t>
      </w:r>
      <w:proofErr w:type="gramEnd"/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Used «HUMAN» company sets in all studies.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results are processed by the method of variation statistics.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significance of differences was assessed by Student's t test;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differences were considered significant at p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0.05.</w:t>
      </w:r>
    </w:p>
    <w:p w:rsidR="009A4818" w:rsidRPr="009A4818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A48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Results and</w:t>
      </w:r>
      <w:r w:rsidR="006302AB" w:rsidRPr="006302A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discussion.</w:t>
      </w:r>
      <w:proofErr w:type="gramEnd"/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C-reactive protein is an acute-phase proteins in blood plasma, is considered as the most sensitive laboratory marker of inflammation and tissue damage.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 on the value of C-reactive protein in patients with chronic pancreatitis are presented in the table.</w:t>
      </w:r>
    </w:p>
    <w:p w:rsidR="009A4818" w:rsidRPr="009A4818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 can be seen from the results of 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study, in the surveyed persons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C-reactive protein was significantly increased in 112.5 times and equals 102.2</w:t>
      </w:r>
      <w:r w:rsidR="00A576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±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8.93 mg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 (at a rate of 4.21</w:t>
      </w:r>
      <w:r w:rsidR="00A576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±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0.08 mg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l), indicating that damage endothelial cells of vessel walls, and also activation of complement component,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monocytes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stimulation of adhesion molecule I CAM-1 and E-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selectin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the endothelium surface.</w:t>
      </w:r>
    </w:p>
    <w:p w:rsidR="009A4818" w:rsidRPr="009A4818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 acute phase reactants relates fibrinogen, synthesized primarily in the liver.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analyzing the data presented in the table shows that in chronic pancreatitis patients there is an increase in the content of fibrinogen to blood plasma values of 3.83</w:t>
      </w:r>
      <w:r w:rsidR="00A576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±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0.13 g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l, which is 24% above baseline values, indicating that the inflammatory process.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Antithrombin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III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 </w:t>
      </w:r>
      <w:r w:rsidRPr="009A4818">
        <w:rPr>
          <w:rFonts w:ascii="Times New Roman" w:eastAsia="Times New Roman" w:hAnsi="Times New Roman" w:cs="Times New Roman"/>
          <w:sz w:val="28"/>
          <w:szCs w:val="28"/>
          <w:lang w:eastAsia="ru-RU"/>
        </w:rPr>
        <w:t>α</w:t>
      </w:r>
      <w:r w:rsidRPr="009A48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gram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globulins,</w:t>
      </w:r>
      <w:proofErr w:type="gram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along with protein is a valued member of the anticoagulation system.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Antithrombin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III binds all activated clotting factors related to serine proteases.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Its activity increases sharply in the interaction with heparin on the endothelium surface that promotes rapid interaction of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antithrombin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site reactive with the active thrombin center and has anticoagulant activity.</w:t>
      </w:r>
    </w:p>
    <w:p w:rsidR="009A4818" w:rsidRPr="009A4818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our studies, we see a significant increase in the level of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antithrombin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III, which is aimed at cooperation serine proteases for the relief of thrombotic complications.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Deficit powerful protease inhibitor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α</w:t>
      </w:r>
      <w:r w:rsidRPr="009A48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antitrypsin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one of the risk factors for chronic pancreatitis and recurrence.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Exacerbation of chronic pancreatitis, occurring with a high level in pancreatic blood, and in some forms of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lysosomal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enzymes indicates deficiency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antiproteolitic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protection.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Hence the importance of assessing the state of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proteinase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inhibitors in the early blocking proteolysis and inhibiting its activation during inflammation.</w:t>
      </w:r>
    </w:p>
    <w:p w:rsidR="009A4818" w:rsidRPr="009A4818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 important function of </w:t>
      </w:r>
      <w:r w:rsidRPr="009A4818">
        <w:rPr>
          <w:rFonts w:ascii="Times New Roman" w:eastAsia="Times New Roman" w:hAnsi="Times New Roman" w:cs="Times New Roman"/>
          <w:sz w:val="28"/>
          <w:szCs w:val="28"/>
          <w:lang w:eastAsia="ru-RU"/>
        </w:rPr>
        <w:t>α</w:t>
      </w:r>
      <w:r w:rsidRPr="009A48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-antitrypsin is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elastase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-inhibiting activity and </w:t>
      </w:r>
      <w:proofErr w:type="spellStart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chymotrypsin</w:t>
      </w:r>
      <w:proofErr w:type="spellEnd"/>
      <w:r w:rsidRPr="009A4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proteases originating from granulocytes in inflammatory exudates and cause secondary damage.</w:t>
      </w:r>
    </w:p>
    <w:p w:rsidR="00A328A6" w:rsidRPr="006302AB" w:rsidRDefault="009A4818" w:rsidP="009A4818">
      <w:pPr>
        <w:pStyle w:val="a4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302AB">
        <w:rPr>
          <w:rFonts w:ascii="Times New Roman" w:hAnsi="Times New Roman" w:cs="Times New Roman"/>
          <w:sz w:val="28"/>
          <w:szCs w:val="28"/>
          <w:lang w:val="en-US" w:eastAsia="ru-RU"/>
        </w:rPr>
        <w:t>Table</w:t>
      </w:r>
      <w:r w:rsidR="00987FDB" w:rsidRPr="006302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</w:t>
      </w:r>
    </w:p>
    <w:p w:rsidR="007D7B51" w:rsidRPr="006302AB" w:rsidRDefault="009A4818" w:rsidP="009A4818">
      <w:pPr>
        <w:pStyle w:val="a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The content of the reactive protein and serum protease inhibitors in patients with chronic pancreatitis</w:t>
      </w:r>
    </w:p>
    <w:tbl>
      <w:tblPr>
        <w:tblW w:w="0" w:type="auto"/>
        <w:jc w:val="center"/>
        <w:tblInd w:w="-3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14"/>
        <w:gridCol w:w="3015"/>
        <w:gridCol w:w="3015"/>
      </w:tblGrid>
      <w:tr w:rsidR="007D7B51" w:rsidRPr="006302AB" w:rsidTr="00A328A6">
        <w:trPr>
          <w:trHeight w:val="706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9A4818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02AB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Indicator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9A4818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02AB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Healthy</w:t>
            </w:r>
          </w:p>
          <w:p w:rsidR="007451EC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2A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9A4818" w:rsidRPr="006302AB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control</w:t>
            </w:r>
            <w:r w:rsidRPr="006302A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7D7B51" w:rsidRPr="006302AB" w:rsidRDefault="00A328A6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n</w:t>
            </w:r>
            <w:r w:rsidR="007D7B51" w:rsidRPr="006302A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=15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1EC" w:rsidRPr="006302AB" w:rsidRDefault="009A4818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Patients with chronic pancreatitis</w:t>
            </w:r>
          </w:p>
          <w:p w:rsidR="007D7B51" w:rsidRPr="006302AB" w:rsidRDefault="00A328A6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n</w:t>
            </w:r>
            <w:r w:rsidR="007D7B51" w:rsidRPr="006302A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=58</w:t>
            </w:r>
          </w:p>
        </w:tc>
      </w:tr>
      <w:tr w:rsidR="007D7B51" w:rsidRPr="006302AB" w:rsidTr="007451EC">
        <w:trPr>
          <w:trHeight w:val="35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B51" w:rsidRPr="006302AB" w:rsidRDefault="009A4818" w:rsidP="009A4818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02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C-reactive protein</w:t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4,21±0,08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102,2</w:t>
            </w:r>
            <w:r w:rsidR="00E912D2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±8,93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</w:tr>
      <w:tr w:rsidR="007D7B51" w:rsidRPr="006302AB" w:rsidTr="007451EC">
        <w:trPr>
          <w:trHeight w:val="178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B51" w:rsidRPr="006302AB" w:rsidRDefault="009A4818" w:rsidP="009A4818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02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Fibrinogen</w:t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A328A6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3,40</w:t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±0,24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3,83±0,13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</w:tr>
      <w:tr w:rsidR="007D7B51" w:rsidRPr="006302AB" w:rsidTr="007451EC">
        <w:trPr>
          <w:trHeight w:val="182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B51" w:rsidRPr="006302AB" w:rsidRDefault="009A4818" w:rsidP="009A4818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2AB">
              <w:rPr>
                <w:rFonts w:ascii="Times New Roman" w:eastAsia="Times New Roman" w:hAnsi="Times New Roman" w:cs="Times New Roman"/>
                <w:sz w:val="28"/>
                <w:szCs w:val="28"/>
              </w:rPr>
              <w:t>Antithrombin</w:t>
            </w:r>
            <w:proofErr w:type="spellEnd"/>
            <w:r w:rsidRPr="006302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III</w:t>
            </w:r>
            <w:r w:rsidR="008E3A84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98,2</w:t>
            </w:r>
            <w:r w:rsidR="00E912D2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±2,56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122,4</w:t>
            </w:r>
            <w:r w:rsidR="00E912D2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±5,11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</w:tr>
      <w:tr w:rsidR="007D7B51" w:rsidRPr="006302AB" w:rsidTr="007451EC">
        <w:trPr>
          <w:trHeight w:val="35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B51" w:rsidRPr="006302AB" w:rsidRDefault="00E912D2" w:rsidP="009A4818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ym w:font="Symbol" w:char="F061"/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A4818" w:rsidRPr="00630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4818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antitrypsin</w:t>
            </w:r>
            <w:proofErr w:type="spellEnd"/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A4818"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mcmol</w:t>
            </w:r>
            <w:proofErr w:type="spellEnd"/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9A4818"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56,3</w:t>
            </w:r>
            <w:r w:rsidR="00E912D2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±3,44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22,8</w:t>
            </w:r>
            <w:r w:rsidR="00E912D2" w:rsidRPr="006302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+1,24*</w:t>
            </w:r>
          </w:p>
        </w:tc>
      </w:tr>
      <w:tr w:rsidR="007D7B51" w:rsidRPr="006302AB" w:rsidTr="007451EC">
        <w:trPr>
          <w:trHeight w:val="346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B51" w:rsidRPr="006302AB" w:rsidRDefault="00E912D2" w:rsidP="009A4818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ym w:font="Symbol" w:char="F061"/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A4818" w:rsidRPr="006302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macroglobulin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4818"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mg</w:t>
            </w:r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="009A4818"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dL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194,6</w:t>
            </w:r>
            <w:r w:rsidR="00E912D2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±8,71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298,2</w:t>
            </w:r>
            <w:r w:rsidR="00E912D2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±5,24*</w:t>
            </w:r>
          </w:p>
        </w:tc>
      </w:tr>
      <w:tr w:rsidR="007D7B51" w:rsidRPr="006302AB" w:rsidTr="007451EC">
        <w:trPr>
          <w:trHeight w:val="211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B51" w:rsidRPr="006302AB" w:rsidRDefault="009A4818" w:rsidP="009A4818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2AB">
              <w:rPr>
                <w:rFonts w:ascii="Times New Roman" w:eastAsia="Times New Roman" w:hAnsi="Times New Roman" w:cs="Times New Roman"/>
                <w:sz w:val="28"/>
                <w:szCs w:val="28"/>
              </w:rPr>
              <w:t>Haptoglobin</w:t>
            </w:r>
            <w:proofErr w:type="spellEnd"/>
            <w:r w:rsidR="007D7B51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mg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302A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dL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109,01±8,93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51" w:rsidRPr="006302AB" w:rsidRDefault="007D7B51" w:rsidP="009A481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176,4</w:t>
            </w:r>
            <w:r w:rsidR="00E912D2"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302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±9,01</w:t>
            </w:r>
            <w:r w:rsidRPr="006302A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7D7B51" w:rsidRPr="006302AB" w:rsidRDefault="009A4818" w:rsidP="009A481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2AB">
        <w:rPr>
          <w:rFonts w:ascii="Times New Roman" w:hAnsi="Times New Roman" w:cs="Times New Roman"/>
          <w:sz w:val="28"/>
          <w:szCs w:val="28"/>
          <w:lang w:val="en-US" w:eastAsia="ru-RU"/>
        </w:rPr>
        <w:t>Note</w:t>
      </w:r>
      <w:r w:rsidR="007D7B51" w:rsidRPr="006302A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r w:rsidR="007D7B51"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="0017272A" w:rsidRPr="006302AB">
        <w:rPr>
          <w:rFonts w:ascii="Times New Roman" w:hAnsi="Times New Roman" w:cs="Times New Roman"/>
          <w:sz w:val="28"/>
          <w:szCs w:val="28"/>
          <w:lang w:val="en-US"/>
        </w:rPr>
        <w:t>—</w:t>
      </w:r>
      <w:r w:rsidR="007D7B51"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302AB">
        <w:rPr>
          <w:rFonts w:ascii="Times New Roman" w:hAnsi="Times New Roman" w:cs="Times New Roman"/>
          <w:sz w:val="28"/>
          <w:szCs w:val="28"/>
          <w:lang w:val="en-US" w:eastAsia="ru-RU"/>
        </w:rPr>
        <w:t>significance of differences</w:t>
      </w:r>
      <w:r w:rsidR="007D7B51" w:rsidRPr="006302A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D7B51" w:rsidRPr="006302A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7D7B51" w:rsidRPr="006302AB">
        <w:rPr>
          <w:rFonts w:ascii="Times New Roman" w:hAnsi="Times New Roman" w:cs="Times New Roman"/>
          <w:sz w:val="28"/>
          <w:szCs w:val="28"/>
          <w:lang w:val="en-US" w:eastAsia="ru-RU"/>
        </w:rPr>
        <w:t>&lt;0</w:t>
      </w:r>
      <w:proofErr w:type="gramStart"/>
      <w:r w:rsidR="007D7B51" w:rsidRPr="006302AB">
        <w:rPr>
          <w:rFonts w:ascii="Times New Roman" w:hAnsi="Times New Roman" w:cs="Times New Roman"/>
          <w:sz w:val="28"/>
          <w:szCs w:val="28"/>
          <w:lang w:val="en-US" w:eastAsia="ru-RU"/>
        </w:rPr>
        <w:t>,05</w:t>
      </w:r>
      <w:proofErr w:type="gramEnd"/>
    </w:p>
    <w:p w:rsidR="00E71E06" w:rsidRPr="006302AB" w:rsidRDefault="00E71E06" w:rsidP="009A48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4818" w:rsidRPr="006302AB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As can be seen from the data in the table, in patients with chronic pancreatitis observed increased consumption of </w:t>
      </w:r>
      <w:r w:rsidRPr="006302AB">
        <w:rPr>
          <w:rFonts w:ascii="Times New Roman" w:eastAsia="Times New Roman" w:hAnsi="Times New Roman" w:cs="Times New Roman"/>
          <w:sz w:val="28"/>
          <w:szCs w:val="28"/>
        </w:rPr>
        <w:t>α</w:t>
      </w:r>
      <w:r w:rsidRPr="006302A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-antitrypsin and its significant reduction in serum levels by an average of 60% (p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0.05).</w:t>
      </w:r>
    </w:p>
    <w:p w:rsidR="009A4818" w:rsidRPr="006302AB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Another class of </w:t>
      </w:r>
      <w:proofErr w:type="spellStart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endopeptidase</w:t>
      </w:r>
      <w:proofErr w:type="spellEnd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inhibitor (serine, </w:t>
      </w:r>
      <w:proofErr w:type="spellStart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cysteine</w:t>
      </w:r>
      <w:proofErr w:type="spellEnd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aspartatmetalloproteinaza</w:t>
      </w:r>
      <w:proofErr w:type="spellEnd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is </w:t>
      </w:r>
      <w:r w:rsidRPr="006302AB">
        <w:rPr>
          <w:rFonts w:ascii="Times New Roman" w:eastAsia="Times New Roman" w:hAnsi="Times New Roman" w:cs="Times New Roman"/>
          <w:sz w:val="28"/>
          <w:szCs w:val="28"/>
        </w:rPr>
        <w:t>α</w:t>
      </w:r>
      <w:r w:rsidRPr="006302A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-macroglobulin, which is an acute phase protein in the endothelium protects against the action of proteases.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Analysis of the results indicates a significant increase of 1.5 times of the blood plasma protein, suggesting a chronic inflammatory process.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Haptoglobin</w:t>
      </w:r>
      <w:proofErr w:type="spellEnd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also an acute phase protein involved in binding not only hemoglobin complex formation and having </w:t>
      </w:r>
      <w:proofErr w:type="spellStart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peroxidase</w:t>
      </w:r>
      <w:proofErr w:type="spellEnd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activity, but also sufficiently inhibitory activity </w:t>
      </w:r>
      <w:proofErr w:type="spellStart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Cathepsin</w:t>
      </w:r>
      <w:proofErr w:type="spellEnd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C, and L (</w:t>
      </w:r>
      <w:proofErr w:type="spellStart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lysosomal</w:t>
      </w:r>
      <w:proofErr w:type="spellEnd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enzymes).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In our studies, we observed a significant increase of 1.6 times the level of acute-phase proteins in blood plasma.</w:t>
      </w:r>
    </w:p>
    <w:p w:rsidR="009A4818" w:rsidRPr="006302AB" w:rsidRDefault="009A4818" w:rsidP="009A481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302A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Conclusions.</w:t>
      </w:r>
      <w:proofErr w:type="gramEnd"/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Thus, in patients with chronic pancreatitis showed a significant increase in levels of acute-phase proteins (C-reactive protein, fibrinogen, 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α</w:t>
      </w:r>
      <w:r w:rsidRPr="006302A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-macroglobulin, </w:t>
      </w:r>
      <w:proofErr w:type="spellStart"/>
      <w:proofErr w:type="gramStart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haptoglobin</w:t>
      </w:r>
      <w:proofErr w:type="spellEnd"/>
      <w:proofErr w:type="gramEnd"/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and increased intake of </w:t>
      </w:r>
      <w:r w:rsid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α</w:t>
      </w:r>
      <w:r w:rsidRPr="006302A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-antitrypsin</w:t>
      </w:r>
      <w:r w:rsidR="006302AB"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302AB">
        <w:rPr>
          <w:rFonts w:ascii="Times New Roman" w:eastAsia="Times New Roman" w:hAnsi="Times New Roman" w:cs="Times New Roman"/>
          <w:sz w:val="28"/>
          <w:szCs w:val="28"/>
          <w:lang w:val="en-US"/>
        </w:rPr>
        <w:t>in the blood plasma.</w:t>
      </w:r>
    </w:p>
    <w:p w:rsidR="00D93689" w:rsidRPr="006302AB" w:rsidRDefault="00D93689" w:rsidP="009A48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3689" w:rsidRPr="006302AB" w:rsidRDefault="009A4818" w:rsidP="009A48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  <w:r w:rsidR="00B57316" w:rsidRPr="006302AB">
        <w:rPr>
          <w:rFonts w:ascii="Times New Roman" w:hAnsi="Times New Roman" w:cs="Times New Roman"/>
          <w:b/>
          <w:sz w:val="28"/>
          <w:szCs w:val="28"/>
        </w:rPr>
        <w:t>:</w:t>
      </w:r>
    </w:p>
    <w:p w:rsidR="00D93689" w:rsidRPr="006302AB" w:rsidRDefault="00D93689" w:rsidP="009A481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Ref460071119"/>
      <w:r w:rsidRPr="006302AB">
        <w:rPr>
          <w:rFonts w:ascii="Times New Roman" w:hAnsi="Times New Roman" w:cs="Times New Roman"/>
          <w:sz w:val="28"/>
          <w:szCs w:val="28"/>
        </w:rPr>
        <w:t>Губергриц Н.</w:t>
      </w:r>
      <w:r w:rsidR="007C0101" w:rsidRPr="006302AB">
        <w:rPr>
          <w:rFonts w:ascii="Times New Roman" w:hAnsi="Times New Roman" w:cs="Times New Roman"/>
          <w:sz w:val="28"/>
          <w:szCs w:val="28"/>
        </w:rPr>
        <w:t xml:space="preserve"> </w:t>
      </w:r>
      <w:r w:rsidRPr="006302AB">
        <w:rPr>
          <w:rFonts w:ascii="Times New Roman" w:hAnsi="Times New Roman" w:cs="Times New Roman"/>
          <w:sz w:val="28"/>
          <w:szCs w:val="28"/>
        </w:rPr>
        <w:t>Б. Лечение панкреатитов. Ферментные препараты в гастроэнтерологии</w:t>
      </w:r>
      <w:r w:rsidR="006302AB">
        <w:rPr>
          <w:rFonts w:ascii="Times New Roman" w:hAnsi="Times New Roman" w:cs="Times New Roman"/>
          <w:sz w:val="28"/>
          <w:szCs w:val="28"/>
        </w:rPr>
        <w:t>/</w:t>
      </w:r>
      <w:r w:rsidRPr="006302AB">
        <w:rPr>
          <w:rFonts w:ascii="Times New Roman" w:hAnsi="Times New Roman" w:cs="Times New Roman"/>
          <w:sz w:val="28"/>
          <w:szCs w:val="28"/>
        </w:rPr>
        <w:t>Н.</w:t>
      </w:r>
      <w:r w:rsidR="007C0101" w:rsidRPr="006302AB">
        <w:rPr>
          <w:rFonts w:ascii="Times New Roman" w:hAnsi="Times New Roman" w:cs="Times New Roman"/>
          <w:sz w:val="28"/>
          <w:szCs w:val="28"/>
        </w:rPr>
        <w:t xml:space="preserve"> </w:t>
      </w:r>
      <w:r w:rsidRPr="006302AB">
        <w:rPr>
          <w:rFonts w:ascii="Times New Roman" w:hAnsi="Times New Roman" w:cs="Times New Roman"/>
          <w:sz w:val="28"/>
          <w:szCs w:val="28"/>
        </w:rPr>
        <w:t>Б. Губергриц</w:t>
      </w:r>
      <w:r w:rsidR="007C0101" w:rsidRPr="006302AB">
        <w:rPr>
          <w:rFonts w:ascii="Times New Roman" w:hAnsi="Times New Roman" w:cs="Times New Roman"/>
          <w:sz w:val="28"/>
          <w:szCs w:val="28"/>
        </w:rPr>
        <w:t>. —</w:t>
      </w:r>
      <w:r w:rsidRPr="006302AB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="007C0101" w:rsidRPr="006302AB">
        <w:rPr>
          <w:rFonts w:ascii="Times New Roman" w:hAnsi="Times New Roman" w:cs="Times New Roman"/>
          <w:sz w:val="28"/>
          <w:szCs w:val="28"/>
        </w:rPr>
        <w:t xml:space="preserve"> </w:t>
      </w:r>
      <w:r w:rsidRPr="006302A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30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2AB">
        <w:rPr>
          <w:rFonts w:ascii="Times New Roman" w:hAnsi="Times New Roman" w:cs="Times New Roman"/>
          <w:sz w:val="28"/>
          <w:szCs w:val="28"/>
        </w:rPr>
        <w:t>Медпрактика-М</w:t>
      </w:r>
      <w:proofErr w:type="spellEnd"/>
      <w:r w:rsidRPr="006302AB">
        <w:rPr>
          <w:rFonts w:ascii="Times New Roman" w:hAnsi="Times New Roman" w:cs="Times New Roman"/>
          <w:sz w:val="28"/>
          <w:szCs w:val="28"/>
        </w:rPr>
        <w:t>, 2003</w:t>
      </w:r>
      <w:r w:rsidR="007C0101" w:rsidRPr="006302AB">
        <w:rPr>
          <w:rFonts w:ascii="Times New Roman" w:hAnsi="Times New Roman" w:cs="Times New Roman"/>
          <w:sz w:val="28"/>
          <w:szCs w:val="28"/>
        </w:rPr>
        <w:t>.</w:t>
      </w:r>
      <w:r w:rsidRPr="006302AB">
        <w:rPr>
          <w:rFonts w:ascii="Times New Roman" w:hAnsi="Times New Roman" w:cs="Times New Roman"/>
          <w:sz w:val="28"/>
          <w:szCs w:val="28"/>
        </w:rPr>
        <w:t xml:space="preserve"> </w:t>
      </w:r>
      <w:r w:rsidR="007C0101" w:rsidRPr="006302AB">
        <w:rPr>
          <w:rFonts w:ascii="Times New Roman" w:hAnsi="Times New Roman" w:cs="Times New Roman"/>
          <w:sz w:val="28"/>
          <w:szCs w:val="28"/>
        </w:rPr>
        <w:t xml:space="preserve">— </w:t>
      </w:r>
      <w:r w:rsidRPr="006302AB">
        <w:rPr>
          <w:rFonts w:ascii="Times New Roman" w:hAnsi="Times New Roman" w:cs="Times New Roman"/>
          <w:sz w:val="28"/>
          <w:szCs w:val="28"/>
        </w:rPr>
        <w:t>100 с.</w:t>
      </w:r>
      <w:bookmarkEnd w:id="0"/>
    </w:p>
    <w:p w:rsidR="00D93689" w:rsidRPr="006302AB" w:rsidRDefault="00D93689" w:rsidP="009A481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460071123"/>
      <w:proofErr w:type="spellStart"/>
      <w:r w:rsidRPr="006302AB">
        <w:rPr>
          <w:rFonts w:ascii="Times New Roman" w:hAnsi="Times New Roman" w:cs="Times New Roman"/>
          <w:sz w:val="28"/>
          <w:szCs w:val="28"/>
        </w:rPr>
        <w:t>Маев</w:t>
      </w:r>
      <w:proofErr w:type="spellEnd"/>
      <w:r w:rsidRPr="006302AB">
        <w:rPr>
          <w:rFonts w:ascii="Times New Roman" w:hAnsi="Times New Roman" w:cs="Times New Roman"/>
          <w:sz w:val="28"/>
          <w:szCs w:val="28"/>
        </w:rPr>
        <w:t xml:space="preserve"> И.</w:t>
      </w:r>
      <w:r w:rsidR="007C0101" w:rsidRPr="006302AB">
        <w:rPr>
          <w:rFonts w:ascii="Times New Roman" w:hAnsi="Times New Roman" w:cs="Times New Roman"/>
          <w:sz w:val="28"/>
          <w:szCs w:val="28"/>
        </w:rPr>
        <w:t xml:space="preserve"> </w:t>
      </w:r>
      <w:r w:rsidRPr="006302AB">
        <w:rPr>
          <w:rFonts w:ascii="Times New Roman" w:hAnsi="Times New Roman" w:cs="Times New Roman"/>
          <w:sz w:val="28"/>
          <w:szCs w:val="28"/>
        </w:rPr>
        <w:t>В. Болезни поджелудочной железы</w:t>
      </w:r>
      <w:r w:rsidR="006302AB">
        <w:rPr>
          <w:rFonts w:ascii="Times New Roman" w:hAnsi="Times New Roman" w:cs="Times New Roman"/>
          <w:sz w:val="28"/>
          <w:szCs w:val="28"/>
        </w:rPr>
        <w:t>/</w:t>
      </w:r>
      <w:r w:rsidRPr="006302AB">
        <w:rPr>
          <w:rFonts w:ascii="Times New Roman" w:hAnsi="Times New Roman" w:cs="Times New Roman"/>
          <w:sz w:val="28"/>
          <w:szCs w:val="28"/>
        </w:rPr>
        <w:t>И.</w:t>
      </w:r>
      <w:r w:rsidR="007C0101" w:rsidRPr="006302AB">
        <w:rPr>
          <w:rFonts w:ascii="Times New Roman" w:hAnsi="Times New Roman" w:cs="Times New Roman"/>
          <w:sz w:val="28"/>
          <w:szCs w:val="28"/>
        </w:rPr>
        <w:t xml:space="preserve"> </w:t>
      </w:r>
      <w:r w:rsidRPr="006302A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302AB">
        <w:rPr>
          <w:rFonts w:ascii="Times New Roman" w:hAnsi="Times New Roman" w:cs="Times New Roman"/>
          <w:sz w:val="28"/>
          <w:szCs w:val="28"/>
        </w:rPr>
        <w:t>Маев</w:t>
      </w:r>
      <w:proofErr w:type="spellEnd"/>
      <w:r w:rsidRPr="006302AB">
        <w:rPr>
          <w:rFonts w:ascii="Times New Roman" w:hAnsi="Times New Roman" w:cs="Times New Roman"/>
          <w:sz w:val="28"/>
          <w:szCs w:val="28"/>
        </w:rPr>
        <w:t>, Ю.</w:t>
      </w:r>
      <w:r w:rsidR="007C0101" w:rsidRPr="006302AB">
        <w:rPr>
          <w:rFonts w:ascii="Times New Roman" w:hAnsi="Times New Roman" w:cs="Times New Roman"/>
          <w:sz w:val="28"/>
          <w:szCs w:val="28"/>
        </w:rPr>
        <w:t xml:space="preserve"> </w:t>
      </w:r>
      <w:r w:rsidRPr="006302AB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Pr="006302AB">
        <w:rPr>
          <w:rFonts w:ascii="Times New Roman" w:hAnsi="Times New Roman" w:cs="Times New Roman"/>
          <w:sz w:val="28"/>
          <w:szCs w:val="28"/>
        </w:rPr>
        <w:t>Кучерявый</w:t>
      </w:r>
      <w:proofErr w:type="gramEnd"/>
      <w:r w:rsidRPr="006302AB">
        <w:rPr>
          <w:rFonts w:ascii="Times New Roman" w:hAnsi="Times New Roman" w:cs="Times New Roman"/>
          <w:sz w:val="28"/>
          <w:szCs w:val="28"/>
        </w:rPr>
        <w:t>.</w:t>
      </w:r>
      <w:r w:rsidR="007C0101" w:rsidRPr="006302AB">
        <w:rPr>
          <w:rFonts w:ascii="Times New Roman" w:hAnsi="Times New Roman" w:cs="Times New Roman"/>
          <w:sz w:val="28"/>
          <w:szCs w:val="28"/>
        </w:rPr>
        <w:t xml:space="preserve"> —</w:t>
      </w:r>
      <w:r w:rsidRPr="006302AB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="007C0101" w:rsidRPr="006302AB">
        <w:rPr>
          <w:rFonts w:ascii="Times New Roman" w:hAnsi="Times New Roman" w:cs="Times New Roman"/>
          <w:sz w:val="28"/>
          <w:szCs w:val="28"/>
        </w:rPr>
        <w:t xml:space="preserve"> </w:t>
      </w:r>
      <w:r w:rsidRPr="006302A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302AB">
        <w:rPr>
          <w:rFonts w:ascii="Times New Roman" w:hAnsi="Times New Roman" w:cs="Times New Roman"/>
          <w:sz w:val="28"/>
          <w:szCs w:val="28"/>
        </w:rPr>
        <w:t xml:space="preserve"> Медицина, 2008</w:t>
      </w:r>
      <w:r w:rsidR="007C0101" w:rsidRPr="006302AB">
        <w:rPr>
          <w:rFonts w:ascii="Times New Roman" w:hAnsi="Times New Roman" w:cs="Times New Roman"/>
          <w:sz w:val="28"/>
          <w:szCs w:val="28"/>
        </w:rPr>
        <w:t>. —</w:t>
      </w:r>
      <w:r w:rsidRPr="006302AB">
        <w:rPr>
          <w:rFonts w:ascii="Times New Roman" w:hAnsi="Times New Roman" w:cs="Times New Roman"/>
          <w:sz w:val="28"/>
          <w:szCs w:val="28"/>
        </w:rPr>
        <w:t xml:space="preserve"> 558 с.</w:t>
      </w:r>
      <w:bookmarkEnd w:id="1"/>
    </w:p>
    <w:p w:rsidR="00D93689" w:rsidRPr="006302AB" w:rsidRDefault="00D93689" w:rsidP="009A481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Ref460071487"/>
      <w:r w:rsidRPr="006302AB">
        <w:rPr>
          <w:rFonts w:ascii="Times New Roman" w:hAnsi="Times New Roman" w:cs="Times New Roman"/>
          <w:sz w:val="28"/>
          <w:szCs w:val="28"/>
          <w:lang w:val="en-US"/>
        </w:rPr>
        <w:t>Bernard J.</w:t>
      </w:r>
      <w:r w:rsidR="00132327"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P. Molecular basis of chronic pancreatitis</w:t>
      </w:r>
      <w:r w:rsidR="006302A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J.</w:t>
      </w:r>
      <w:r w:rsidR="00132327"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P. Bernard // Recent Advances in the </w:t>
      </w:r>
      <w:proofErr w:type="spellStart"/>
      <w:r w:rsidRPr="006302AB">
        <w:rPr>
          <w:rFonts w:ascii="Times New Roman" w:hAnsi="Times New Roman" w:cs="Times New Roman"/>
          <w:sz w:val="28"/>
          <w:szCs w:val="28"/>
          <w:lang w:val="en-US"/>
        </w:rPr>
        <w:t>Pathophysiology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of Gastrointestinal and Liver Diseases, Postgraduate Course, Nantes.</w:t>
      </w:r>
      <w:r w:rsidR="00132327"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1997</w:t>
      </w:r>
      <w:r w:rsidR="00132327" w:rsidRPr="006302AB">
        <w:rPr>
          <w:rFonts w:ascii="Times New Roman" w:hAnsi="Times New Roman" w:cs="Times New Roman"/>
          <w:sz w:val="28"/>
          <w:szCs w:val="28"/>
          <w:lang w:val="en-US"/>
        </w:rPr>
        <w:t>. —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P. 185</w:t>
      </w:r>
      <w:r w:rsidR="00132327" w:rsidRPr="006302AB">
        <w:rPr>
          <w:rFonts w:ascii="Times New Roman" w:hAnsi="Times New Roman" w:cs="Times New Roman"/>
          <w:sz w:val="28"/>
          <w:szCs w:val="28"/>
          <w:lang w:val="en-US"/>
        </w:rPr>
        <w:t>–1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92.</w:t>
      </w:r>
      <w:bookmarkEnd w:id="2"/>
    </w:p>
    <w:p w:rsidR="00D93689" w:rsidRPr="006302AB" w:rsidRDefault="00D93689" w:rsidP="009A481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Ref460071549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Quantitative </w:t>
      </w:r>
      <w:proofErr w:type="spellStart"/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ntersuchungen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02AB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esorption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rypsin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hymotrypsin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mylase, </w:t>
      </w:r>
      <w:proofErr w:type="spellStart"/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apain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ankreatin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02AB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02AB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agen-</w:t>
      </w:r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arm-</w:t>
      </w:r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rakt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02AB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02AB">
        <w:rPr>
          <w:rFonts w:ascii="Times New Roman" w:hAnsi="Times New Roman" w:cs="Times New Roman"/>
          <w:sz w:val="28"/>
          <w:szCs w:val="28"/>
          <w:lang w:val="en-US"/>
        </w:rPr>
        <w:t>oraler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pplikation</w:t>
      </w:r>
      <w:proofErr w:type="spellEnd"/>
      <w:r w:rsidR="006302A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J. Seifert [et al.] // </w:t>
      </w:r>
      <w:proofErr w:type="spellStart"/>
      <w:r w:rsidRPr="006302AB">
        <w:rPr>
          <w:rFonts w:ascii="Times New Roman" w:hAnsi="Times New Roman" w:cs="Times New Roman"/>
          <w:sz w:val="28"/>
          <w:szCs w:val="28"/>
          <w:lang w:val="en-US"/>
        </w:rPr>
        <w:t>Allgemeinarzt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1990.</w:t>
      </w:r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—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Vol. 19.</w:t>
      </w:r>
      <w:r w:rsidR="00FA4C2B"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P. 132.</w:t>
      </w:r>
      <w:bookmarkEnd w:id="3"/>
    </w:p>
    <w:p w:rsidR="00D93689" w:rsidRPr="006302AB" w:rsidRDefault="00D93689" w:rsidP="009A481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50E29" w:rsidRPr="006302AB" w:rsidRDefault="00950E29" w:rsidP="009A4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Particular features of changes of the inhibitors </w:t>
      </w:r>
      <w:proofErr w:type="spellStart"/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>proteinase</w:t>
      </w:r>
      <w:proofErr w:type="spellEnd"/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blood serum in the patients with chronic pancreatitis</w:t>
      </w:r>
    </w:p>
    <w:p w:rsidR="00950E29" w:rsidRPr="006302AB" w:rsidRDefault="00950E29" w:rsidP="009A4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G. R. </w:t>
      </w:r>
      <w:proofErr w:type="spellStart"/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>Yuldasheva</w:t>
      </w:r>
      <w:proofErr w:type="spellEnd"/>
    </w:p>
    <w:p w:rsidR="00950E29" w:rsidRPr="006302AB" w:rsidRDefault="00950E29" w:rsidP="009A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302AB">
        <w:rPr>
          <w:rFonts w:ascii="Times New Roman" w:hAnsi="Times New Roman" w:cs="Times New Roman"/>
          <w:sz w:val="28"/>
          <w:szCs w:val="28"/>
          <w:lang w:val="en-US"/>
        </w:rPr>
        <w:t>Tashkent Advanced Training of Doctors Institute, Uzbekistan</w:t>
      </w:r>
    </w:p>
    <w:p w:rsidR="00950E29" w:rsidRPr="006302AB" w:rsidRDefault="00950E29" w:rsidP="009A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50E29" w:rsidRPr="006302AB" w:rsidRDefault="00950E29" w:rsidP="009A4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2AB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chronic pancreatitis, pathogenesis, proteins and inhibitors of blood serum, enzyme-inhibitor </w:t>
      </w:r>
      <w:proofErr w:type="spellStart"/>
      <w:r w:rsidRPr="006302AB">
        <w:rPr>
          <w:rFonts w:ascii="Times New Roman" w:hAnsi="Times New Roman" w:cs="Times New Roman"/>
          <w:sz w:val="28"/>
          <w:szCs w:val="28"/>
          <w:lang w:val="en-US"/>
        </w:rPr>
        <w:t>disbalance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>, proteins in acute phase</w:t>
      </w:r>
    </w:p>
    <w:p w:rsidR="00950E29" w:rsidRPr="006302AB" w:rsidRDefault="00950E29" w:rsidP="009A4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At studying of characteristic changes of reactive proteins synthesized in a liver and maintenances of </w:t>
      </w:r>
      <w:proofErr w:type="spellStart"/>
      <w:r w:rsidRPr="006302AB">
        <w:rPr>
          <w:rFonts w:ascii="Times New Roman" w:hAnsi="Times New Roman" w:cs="Times New Roman"/>
          <w:sz w:val="28"/>
          <w:szCs w:val="28"/>
          <w:lang w:val="en-US"/>
        </w:rPr>
        <w:t>antiproteinases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 in blood serum in the patients with chronic pancreatitis it is noted authentic increase of protein level in acute phase (the C-reactive protein, fibrinogen, an </w:t>
      </w:r>
      <w:r w:rsidR="006302AB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-2-macroglobulin; </w:t>
      </w:r>
      <w:proofErr w:type="spellStart"/>
      <w:r w:rsidRPr="006302AB">
        <w:rPr>
          <w:rFonts w:ascii="Times New Roman" w:hAnsi="Times New Roman" w:cs="Times New Roman"/>
          <w:sz w:val="28"/>
          <w:szCs w:val="28"/>
          <w:lang w:val="en-US"/>
        </w:rPr>
        <w:t>gaptoglobine</w:t>
      </w:r>
      <w:proofErr w:type="spellEnd"/>
      <w:r w:rsidRPr="006302AB">
        <w:rPr>
          <w:rFonts w:ascii="Times New Roman" w:hAnsi="Times New Roman" w:cs="Times New Roman"/>
          <w:sz w:val="28"/>
          <w:szCs w:val="28"/>
          <w:lang w:val="en-US"/>
        </w:rPr>
        <w:t xml:space="preserve">) and the wide consumption an </w:t>
      </w:r>
      <w:r w:rsidR="006302AB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6302AB">
        <w:rPr>
          <w:rFonts w:ascii="Times New Roman" w:hAnsi="Times New Roman" w:cs="Times New Roman"/>
          <w:sz w:val="28"/>
          <w:szCs w:val="28"/>
          <w:lang w:val="en-US"/>
        </w:rPr>
        <w:t>-1-antitripsina in blood serum.</w:t>
      </w:r>
    </w:p>
    <w:p w:rsidR="00950E29" w:rsidRPr="006302AB" w:rsidRDefault="00950E29" w:rsidP="009A4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50E29" w:rsidRPr="006302AB" w:rsidSect="00381C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10930"/>
    <w:multiLevelType w:val="hybridMultilevel"/>
    <w:tmpl w:val="6FDE1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CCF"/>
    <w:rsid w:val="00032D4F"/>
    <w:rsid w:val="0005695A"/>
    <w:rsid w:val="000B4C42"/>
    <w:rsid w:val="000C0A32"/>
    <w:rsid w:val="000C7B5D"/>
    <w:rsid w:val="000E60CF"/>
    <w:rsid w:val="00132327"/>
    <w:rsid w:val="00150DC5"/>
    <w:rsid w:val="0017272A"/>
    <w:rsid w:val="002724AB"/>
    <w:rsid w:val="002B52AD"/>
    <w:rsid w:val="00381CCF"/>
    <w:rsid w:val="003E7BFE"/>
    <w:rsid w:val="004605FA"/>
    <w:rsid w:val="005C50A7"/>
    <w:rsid w:val="0061233C"/>
    <w:rsid w:val="006302AB"/>
    <w:rsid w:val="00663368"/>
    <w:rsid w:val="006B1814"/>
    <w:rsid w:val="006E28AF"/>
    <w:rsid w:val="007451EC"/>
    <w:rsid w:val="007C0101"/>
    <w:rsid w:val="007D7B51"/>
    <w:rsid w:val="008824EC"/>
    <w:rsid w:val="008B47EC"/>
    <w:rsid w:val="008E3A84"/>
    <w:rsid w:val="009306AB"/>
    <w:rsid w:val="00950E29"/>
    <w:rsid w:val="00987FDB"/>
    <w:rsid w:val="009A4818"/>
    <w:rsid w:val="00A328A6"/>
    <w:rsid w:val="00A576A7"/>
    <w:rsid w:val="00A922BF"/>
    <w:rsid w:val="00B11A48"/>
    <w:rsid w:val="00B5264A"/>
    <w:rsid w:val="00B57316"/>
    <w:rsid w:val="00BD577E"/>
    <w:rsid w:val="00C14849"/>
    <w:rsid w:val="00C25570"/>
    <w:rsid w:val="00CA581B"/>
    <w:rsid w:val="00CE0B68"/>
    <w:rsid w:val="00D54832"/>
    <w:rsid w:val="00D93689"/>
    <w:rsid w:val="00DA0582"/>
    <w:rsid w:val="00DE7613"/>
    <w:rsid w:val="00E71E06"/>
    <w:rsid w:val="00E723AE"/>
    <w:rsid w:val="00E912D2"/>
    <w:rsid w:val="00F5695D"/>
    <w:rsid w:val="00F56E52"/>
    <w:rsid w:val="00FA4C2B"/>
    <w:rsid w:val="00FB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7D7B5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7B51"/>
    <w:rPr>
      <w:rFonts w:ascii="Palatino Linotype" w:hAnsi="Palatino Linotype" w:cs="Palatino Linotype"/>
      <w:sz w:val="13"/>
      <w:szCs w:val="13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7D7B51"/>
    <w:rPr>
      <w:rFonts w:ascii="Palatino Linotype" w:hAnsi="Palatino Linotype" w:cs="Palatino Linotype"/>
      <w:sz w:val="15"/>
      <w:szCs w:val="15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7D7B51"/>
    <w:pPr>
      <w:shd w:val="clear" w:color="auto" w:fill="FFFFFF"/>
      <w:spacing w:after="0" w:line="187" w:lineRule="exact"/>
      <w:jc w:val="center"/>
    </w:pPr>
    <w:rPr>
      <w:rFonts w:ascii="Palatino Linotype" w:hAnsi="Palatino Linotype" w:cs="Palatino Linotype"/>
      <w:b/>
      <w:bCs/>
      <w:sz w:val="15"/>
      <w:szCs w:val="15"/>
    </w:rPr>
  </w:style>
  <w:style w:type="paragraph" w:customStyle="1" w:styleId="30">
    <w:name w:val="Основной текст (3)"/>
    <w:basedOn w:val="a"/>
    <w:link w:val="3"/>
    <w:rsid w:val="007D7B51"/>
    <w:pPr>
      <w:shd w:val="clear" w:color="auto" w:fill="FFFFFF"/>
      <w:spacing w:after="0" w:line="163" w:lineRule="exact"/>
      <w:jc w:val="center"/>
    </w:pPr>
    <w:rPr>
      <w:rFonts w:ascii="Palatino Linotype" w:hAnsi="Palatino Linotype" w:cs="Palatino Linotype"/>
      <w:sz w:val="13"/>
      <w:szCs w:val="13"/>
    </w:rPr>
  </w:style>
  <w:style w:type="paragraph" w:customStyle="1" w:styleId="20">
    <w:name w:val="Подпись к таблице (2)"/>
    <w:basedOn w:val="a"/>
    <w:link w:val="2"/>
    <w:rsid w:val="007D7B51"/>
    <w:pPr>
      <w:shd w:val="clear" w:color="auto" w:fill="FFFFFF"/>
      <w:spacing w:after="0" w:line="240" w:lineRule="atLeast"/>
    </w:pPr>
    <w:rPr>
      <w:rFonts w:ascii="Palatino Linotype" w:hAnsi="Palatino Linotype" w:cs="Palatino Linotype"/>
      <w:sz w:val="15"/>
      <w:szCs w:val="15"/>
    </w:rPr>
  </w:style>
  <w:style w:type="paragraph" w:styleId="a5">
    <w:name w:val="List Paragraph"/>
    <w:basedOn w:val="a"/>
    <w:uiPriority w:val="34"/>
    <w:qFormat/>
    <w:rsid w:val="00D93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7D7B5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7B51"/>
    <w:rPr>
      <w:rFonts w:ascii="Palatino Linotype" w:hAnsi="Palatino Linotype" w:cs="Palatino Linotype"/>
      <w:sz w:val="13"/>
      <w:szCs w:val="13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7D7B51"/>
    <w:rPr>
      <w:rFonts w:ascii="Palatino Linotype" w:hAnsi="Palatino Linotype" w:cs="Palatino Linotype"/>
      <w:sz w:val="15"/>
      <w:szCs w:val="15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7D7B51"/>
    <w:pPr>
      <w:shd w:val="clear" w:color="auto" w:fill="FFFFFF"/>
      <w:spacing w:after="0" w:line="187" w:lineRule="exact"/>
      <w:jc w:val="center"/>
    </w:pPr>
    <w:rPr>
      <w:rFonts w:ascii="Palatino Linotype" w:hAnsi="Palatino Linotype" w:cs="Palatino Linotype"/>
      <w:b/>
      <w:bCs/>
      <w:sz w:val="15"/>
      <w:szCs w:val="15"/>
    </w:rPr>
  </w:style>
  <w:style w:type="paragraph" w:customStyle="1" w:styleId="30">
    <w:name w:val="Основной текст (3)"/>
    <w:basedOn w:val="a"/>
    <w:link w:val="3"/>
    <w:rsid w:val="007D7B51"/>
    <w:pPr>
      <w:shd w:val="clear" w:color="auto" w:fill="FFFFFF"/>
      <w:spacing w:after="0" w:line="163" w:lineRule="exact"/>
      <w:jc w:val="center"/>
    </w:pPr>
    <w:rPr>
      <w:rFonts w:ascii="Palatino Linotype" w:hAnsi="Palatino Linotype" w:cs="Palatino Linotype"/>
      <w:sz w:val="13"/>
      <w:szCs w:val="13"/>
    </w:rPr>
  </w:style>
  <w:style w:type="paragraph" w:customStyle="1" w:styleId="20">
    <w:name w:val="Подпись к таблице (2)"/>
    <w:basedOn w:val="a"/>
    <w:link w:val="2"/>
    <w:rsid w:val="007D7B51"/>
    <w:pPr>
      <w:shd w:val="clear" w:color="auto" w:fill="FFFFFF"/>
      <w:spacing w:after="0" w:line="240" w:lineRule="atLeast"/>
    </w:pPr>
    <w:rPr>
      <w:rFonts w:ascii="Palatino Linotype" w:hAnsi="Palatino Linotype" w:cs="Palatino Linotype"/>
      <w:sz w:val="15"/>
      <w:szCs w:val="15"/>
    </w:rPr>
  </w:style>
  <w:style w:type="paragraph" w:styleId="a5">
    <w:name w:val="List Paragraph"/>
    <w:basedOn w:val="a"/>
    <w:uiPriority w:val="34"/>
    <w:qFormat/>
    <w:rsid w:val="00D93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late.googleusercontent.com/translate_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usercontent.com/translate_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translate.googleusercontent.com/translate_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</cp:lastModifiedBy>
  <cp:revision>49</cp:revision>
  <dcterms:created xsi:type="dcterms:W3CDTF">2016-08-27T11:06:00Z</dcterms:created>
  <dcterms:modified xsi:type="dcterms:W3CDTF">2016-12-22T17:22:00Z</dcterms:modified>
</cp:coreProperties>
</file>