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0D0" w:rsidRPr="009C734F" w:rsidRDefault="005B40D0" w:rsidP="00F80E0B">
      <w:pPr>
        <w:spacing w:after="0" w:line="240" w:lineRule="auto"/>
        <w:jc w:val="center"/>
        <w:rPr>
          <w:rFonts w:ascii="Times New Roman" w:hAnsi="Times New Roman" w:cs="Times New Roman"/>
          <w:b/>
          <w:sz w:val="28"/>
          <w:szCs w:val="28"/>
          <w:lang w:val="en-US"/>
        </w:rPr>
      </w:pPr>
      <w:r w:rsidRPr="009C734F">
        <w:rPr>
          <w:rFonts w:ascii="Times New Roman" w:hAnsi="Times New Roman" w:cs="Times New Roman"/>
          <w:b/>
          <w:sz w:val="28"/>
          <w:szCs w:val="28"/>
          <w:lang w:val="en-US"/>
        </w:rPr>
        <w:t xml:space="preserve">Immunological aspects of </w:t>
      </w:r>
      <w:proofErr w:type="spellStart"/>
      <w:r w:rsidRPr="009C734F">
        <w:rPr>
          <w:rFonts w:ascii="Times New Roman" w:hAnsi="Times New Roman" w:cs="Times New Roman"/>
          <w:b/>
          <w:sz w:val="28"/>
          <w:szCs w:val="28"/>
          <w:lang w:val="en-US"/>
        </w:rPr>
        <w:t>comorbid</w:t>
      </w:r>
      <w:proofErr w:type="spellEnd"/>
      <w:r w:rsidRPr="009C734F">
        <w:rPr>
          <w:rFonts w:ascii="Times New Roman" w:hAnsi="Times New Roman" w:cs="Times New Roman"/>
          <w:b/>
          <w:sz w:val="28"/>
          <w:szCs w:val="28"/>
          <w:lang w:val="en-US"/>
        </w:rPr>
        <w:t xml:space="preserve"> course of chronic obstructive pulmonary disease and chronic pancreatitis</w:t>
      </w:r>
    </w:p>
    <w:p w:rsidR="005B40D0" w:rsidRPr="009C734F" w:rsidRDefault="005B40D0" w:rsidP="00F80E0B">
      <w:pPr>
        <w:spacing w:after="0" w:line="240" w:lineRule="auto"/>
        <w:jc w:val="center"/>
        <w:rPr>
          <w:rFonts w:ascii="Times New Roman" w:hAnsi="Times New Roman" w:cs="Times New Roman"/>
          <w:sz w:val="28"/>
          <w:szCs w:val="28"/>
          <w:lang w:val="en-US"/>
        </w:rPr>
      </w:pPr>
      <w:r w:rsidRPr="009C734F">
        <w:rPr>
          <w:rFonts w:ascii="Times New Roman" w:hAnsi="Times New Roman" w:cs="Times New Roman"/>
          <w:sz w:val="28"/>
          <w:szCs w:val="28"/>
          <w:lang w:val="en-US"/>
        </w:rPr>
        <w:t xml:space="preserve">N. M. </w:t>
      </w:r>
      <w:proofErr w:type="spellStart"/>
      <w:r w:rsidRPr="009C734F">
        <w:rPr>
          <w:rFonts w:ascii="Times New Roman" w:hAnsi="Times New Roman" w:cs="Times New Roman"/>
          <w:sz w:val="28"/>
          <w:szCs w:val="28"/>
          <w:lang w:val="en-US"/>
        </w:rPr>
        <w:t>Zhelezniakova</w:t>
      </w:r>
      <w:proofErr w:type="spellEnd"/>
    </w:p>
    <w:p w:rsidR="005B40D0" w:rsidRPr="009C734F" w:rsidRDefault="005B40D0" w:rsidP="00F80E0B">
      <w:pPr>
        <w:spacing w:after="0" w:line="240" w:lineRule="auto"/>
        <w:jc w:val="center"/>
        <w:rPr>
          <w:rFonts w:ascii="Times New Roman" w:hAnsi="Times New Roman" w:cs="Times New Roman"/>
          <w:sz w:val="28"/>
          <w:szCs w:val="28"/>
          <w:lang w:val="en-US"/>
        </w:rPr>
      </w:pPr>
      <w:proofErr w:type="spellStart"/>
      <w:r w:rsidRPr="009C734F">
        <w:rPr>
          <w:rFonts w:ascii="Times New Roman" w:hAnsi="Times New Roman" w:cs="Times New Roman"/>
          <w:sz w:val="28"/>
          <w:szCs w:val="28"/>
          <w:lang w:val="en-US"/>
        </w:rPr>
        <w:t>Kharkiv</w:t>
      </w:r>
      <w:proofErr w:type="spellEnd"/>
      <w:r w:rsidRPr="009C734F">
        <w:rPr>
          <w:rFonts w:ascii="Times New Roman" w:hAnsi="Times New Roman" w:cs="Times New Roman"/>
          <w:sz w:val="28"/>
          <w:szCs w:val="28"/>
          <w:lang w:val="en-US"/>
        </w:rPr>
        <w:t xml:space="preserve"> National Medical University, Ukraine</w:t>
      </w:r>
    </w:p>
    <w:p w:rsidR="005B40D0" w:rsidRPr="009C734F" w:rsidRDefault="005B40D0" w:rsidP="00F80E0B">
      <w:pPr>
        <w:spacing w:after="0" w:line="240" w:lineRule="auto"/>
        <w:jc w:val="center"/>
        <w:rPr>
          <w:rFonts w:ascii="Times New Roman" w:hAnsi="Times New Roman" w:cs="Times New Roman"/>
          <w:sz w:val="28"/>
          <w:szCs w:val="28"/>
          <w:lang w:val="en-US"/>
        </w:rPr>
      </w:pPr>
    </w:p>
    <w:p w:rsidR="00472DED" w:rsidRPr="009C734F" w:rsidRDefault="005B40D0" w:rsidP="00F80E0B">
      <w:pPr>
        <w:spacing w:after="0" w:line="240" w:lineRule="auto"/>
        <w:ind w:firstLine="709"/>
        <w:jc w:val="both"/>
        <w:rPr>
          <w:rFonts w:ascii="Times New Roman" w:hAnsi="Times New Roman" w:cs="Times New Roman"/>
          <w:sz w:val="28"/>
          <w:szCs w:val="28"/>
          <w:lang w:val="uk-UA"/>
        </w:rPr>
      </w:pPr>
      <w:r w:rsidRPr="009C734F">
        <w:rPr>
          <w:rFonts w:ascii="Times New Roman" w:hAnsi="Times New Roman" w:cs="Times New Roman"/>
          <w:b/>
          <w:sz w:val="28"/>
          <w:szCs w:val="28"/>
          <w:lang w:val="en-US"/>
        </w:rPr>
        <w:t>Key words:</w:t>
      </w:r>
      <w:r w:rsidRPr="009C734F">
        <w:rPr>
          <w:rFonts w:ascii="Times New Roman" w:hAnsi="Times New Roman" w:cs="Times New Roman"/>
          <w:sz w:val="28"/>
          <w:szCs w:val="28"/>
          <w:lang w:val="en-US"/>
        </w:rPr>
        <w:t xml:space="preserve"> chronic obstructive pulmonary disease, chronic pancreatitis, </w:t>
      </w:r>
      <w:proofErr w:type="spellStart"/>
      <w:r w:rsidRPr="009C734F">
        <w:rPr>
          <w:rFonts w:ascii="Times New Roman" w:hAnsi="Times New Roman" w:cs="Times New Roman"/>
          <w:sz w:val="28"/>
          <w:szCs w:val="28"/>
          <w:lang w:val="en-US"/>
        </w:rPr>
        <w:t>endotoxicosis</w:t>
      </w:r>
      <w:proofErr w:type="spellEnd"/>
      <w:r w:rsidRPr="009C734F">
        <w:rPr>
          <w:rFonts w:ascii="Times New Roman" w:hAnsi="Times New Roman" w:cs="Times New Roman"/>
          <w:sz w:val="28"/>
          <w:szCs w:val="28"/>
          <w:lang w:val="en-US"/>
        </w:rPr>
        <w:t xml:space="preserve">, immunity, </w:t>
      </w:r>
      <w:proofErr w:type="spellStart"/>
      <w:r w:rsidRPr="009C734F">
        <w:rPr>
          <w:rFonts w:ascii="Times New Roman" w:hAnsi="Times New Roman" w:cs="Times New Roman"/>
          <w:sz w:val="28"/>
          <w:szCs w:val="28"/>
          <w:lang w:val="en-US"/>
        </w:rPr>
        <w:t>comorbidity</w:t>
      </w:r>
      <w:proofErr w:type="spellEnd"/>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Persistent nature of inflammation in chronic diseases of internal organs leads to increased stress on the immune system, which turns the formation of secondary immune deficiency and decrease reactive properties of the body. Volume and characteristics of immune changes in each case due to several aspects: the nature of the disease, the presence or absence of foreign antigens, genetic factors, immune reactivity, volume and quality of the therapy and the severity of endogenous intoxication syndrome </w:t>
      </w:r>
      <w:r w:rsidR="00C53B99" w:rsidRPr="009C734F">
        <w:rPr>
          <w:rFonts w:ascii="Times New Roman" w:eastAsia="Times New Roman" w:hAnsi="Times New Roman" w:cs="Times New Roman"/>
          <w:sz w:val="28"/>
          <w:szCs w:val="28"/>
          <w:lang w:val="en-US"/>
        </w:rPr>
        <w:t>[</w:t>
      </w:r>
      <w:hyperlink r:id="rId5" w:anchor="_Ref459720377" w:tooltip="_Ref459720377" w:history="1">
        <w:r w:rsidRPr="009C734F">
          <w:rPr>
            <w:rFonts w:ascii="Times New Roman" w:eastAsia="Times New Roman" w:hAnsi="Times New Roman" w:cs="Times New Roman"/>
            <w:sz w:val="28"/>
            <w:szCs w:val="28"/>
            <w:lang w:val="en-US"/>
          </w:rPr>
          <w:t>1</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6" w:anchor="_Ref459720388" w:tooltip="_Ref459720388" w:history="1">
        <w:r w:rsidRPr="009C734F">
          <w:rPr>
            <w:rFonts w:ascii="Times New Roman" w:eastAsia="Times New Roman" w:hAnsi="Times New Roman" w:cs="Times New Roman"/>
            <w:sz w:val="28"/>
            <w:szCs w:val="28"/>
            <w:lang w:val="en-US"/>
          </w:rPr>
          <w:t>2</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7" w:anchor="_Ref459720393" w:tooltip="_Ref459720393" w:history="1">
        <w:r w:rsidRPr="009C734F">
          <w:rPr>
            <w:rFonts w:ascii="Times New Roman" w:eastAsia="Times New Roman" w:hAnsi="Times New Roman" w:cs="Times New Roman"/>
            <w:sz w:val="28"/>
            <w:szCs w:val="28"/>
            <w:lang w:val="en-US"/>
          </w:rPr>
          <w:t>4</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8" w:anchor="_Ref459720398" w:tooltip="_Ref459720398" w:history="1">
        <w:r w:rsidRPr="009C734F">
          <w:rPr>
            <w:rFonts w:ascii="Times New Roman" w:eastAsia="Times New Roman" w:hAnsi="Times New Roman" w:cs="Times New Roman"/>
            <w:sz w:val="28"/>
            <w:szCs w:val="28"/>
            <w:lang w:val="en-US"/>
          </w:rPr>
          <w:t>5</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The resulting </w:t>
      </w:r>
      <w:proofErr w:type="spellStart"/>
      <w:r w:rsidRPr="009C734F">
        <w:rPr>
          <w:rFonts w:ascii="Times New Roman" w:eastAsia="Times New Roman" w:hAnsi="Times New Roman" w:cs="Times New Roman"/>
          <w:sz w:val="28"/>
          <w:szCs w:val="28"/>
          <w:lang w:val="en-US"/>
        </w:rPr>
        <w:t>endotoxins</w:t>
      </w:r>
      <w:proofErr w:type="spellEnd"/>
      <w:r w:rsidRPr="009C734F">
        <w:rPr>
          <w:rFonts w:ascii="Times New Roman" w:eastAsia="Times New Roman" w:hAnsi="Times New Roman" w:cs="Times New Roman"/>
          <w:sz w:val="28"/>
          <w:szCs w:val="28"/>
          <w:lang w:val="en-US"/>
        </w:rPr>
        <w:t xml:space="preserve"> are responsible for the development of "metabolic </w:t>
      </w:r>
      <w:proofErr w:type="spellStart"/>
      <w:r w:rsidRPr="009C734F">
        <w:rPr>
          <w:rFonts w:ascii="Times New Roman" w:eastAsia="Times New Roman" w:hAnsi="Times New Roman" w:cs="Times New Roman"/>
          <w:sz w:val="28"/>
          <w:szCs w:val="28"/>
          <w:lang w:val="en-US"/>
        </w:rPr>
        <w:t>imunodefektu</w:t>
      </w:r>
      <w:proofErr w:type="spellEnd"/>
      <w:r w:rsidRPr="009C734F">
        <w:rPr>
          <w:rFonts w:ascii="Times New Roman" w:eastAsia="Times New Roman" w:hAnsi="Times New Roman" w:cs="Times New Roman"/>
          <w:sz w:val="28"/>
          <w:szCs w:val="28"/>
          <w:lang w:val="en-US"/>
        </w:rPr>
        <w:t xml:space="preserve">" because it is a result of their pathogenic influence disrupt </w:t>
      </w:r>
      <w:proofErr w:type="spellStart"/>
      <w:r w:rsidRPr="009C734F">
        <w:rPr>
          <w:rFonts w:ascii="Times New Roman" w:eastAsia="Times New Roman" w:hAnsi="Times New Roman" w:cs="Times New Roman"/>
          <w:sz w:val="28"/>
          <w:szCs w:val="28"/>
          <w:lang w:val="en-US"/>
        </w:rPr>
        <w:t>imunopoezu</w:t>
      </w:r>
      <w:proofErr w:type="spellEnd"/>
      <w:r w:rsidRPr="009C734F">
        <w:rPr>
          <w:rFonts w:ascii="Times New Roman" w:eastAsia="Times New Roman" w:hAnsi="Times New Roman" w:cs="Times New Roman"/>
          <w:sz w:val="28"/>
          <w:szCs w:val="28"/>
          <w:lang w:val="en-US"/>
        </w:rPr>
        <w:t xml:space="preserve"> regulation, proliferation and metabolism of immune cells, </w:t>
      </w:r>
      <w:proofErr w:type="spellStart"/>
      <w:r w:rsidRPr="009C734F">
        <w:rPr>
          <w:rFonts w:ascii="Times New Roman" w:eastAsia="Times New Roman" w:hAnsi="Times New Roman" w:cs="Times New Roman"/>
          <w:sz w:val="28"/>
          <w:szCs w:val="28"/>
          <w:lang w:val="en-US"/>
        </w:rPr>
        <w:t>autoregulation</w:t>
      </w:r>
      <w:proofErr w:type="spellEnd"/>
      <w:r w:rsidRPr="009C734F">
        <w:rPr>
          <w:rFonts w:ascii="Times New Roman" w:eastAsia="Times New Roman" w:hAnsi="Times New Roman" w:cs="Times New Roman"/>
          <w:sz w:val="28"/>
          <w:szCs w:val="28"/>
          <w:lang w:val="en-US"/>
        </w:rPr>
        <w:t xml:space="preserve"> immune response </w:t>
      </w:r>
      <w:r w:rsidR="00C53B99" w:rsidRPr="009C734F">
        <w:rPr>
          <w:rFonts w:ascii="Times New Roman" w:eastAsia="Times New Roman" w:hAnsi="Times New Roman" w:cs="Times New Roman"/>
          <w:sz w:val="28"/>
          <w:szCs w:val="28"/>
          <w:lang w:val="en-US"/>
        </w:rPr>
        <w:t>[</w:t>
      </w:r>
      <w:hyperlink r:id="rId9" w:anchor="_Ref459720388" w:tooltip="_Ref459720388" w:history="1">
        <w:r w:rsidRPr="009C734F">
          <w:rPr>
            <w:rFonts w:ascii="Times New Roman" w:eastAsia="Times New Roman" w:hAnsi="Times New Roman" w:cs="Times New Roman"/>
            <w:sz w:val="28"/>
            <w:szCs w:val="28"/>
            <w:lang w:val="en-US"/>
          </w:rPr>
          <w:t>2</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0" w:anchor="_Ref459720393" w:tooltip="_Ref459720393" w:history="1">
        <w:r w:rsidRPr="009C734F">
          <w:rPr>
            <w:rFonts w:ascii="Times New Roman" w:eastAsia="Times New Roman" w:hAnsi="Times New Roman" w:cs="Times New Roman"/>
            <w:sz w:val="28"/>
            <w:szCs w:val="28"/>
            <w:lang w:val="en-US"/>
          </w:rPr>
          <w:t>4</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1" w:anchor="_Ref459720398" w:tooltip="_Ref459720398" w:history="1">
        <w:r w:rsidRPr="009C734F">
          <w:rPr>
            <w:rFonts w:ascii="Times New Roman" w:eastAsia="Times New Roman" w:hAnsi="Times New Roman" w:cs="Times New Roman"/>
            <w:sz w:val="28"/>
            <w:szCs w:val="28"/>
            <w:lang w:val="en-US"/>
          </w:rPr>
          <w:t>5</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w:t>
      </w: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Syndrome of endogenous intoxication for most clinical, biochemical and immunological manifestations in modern literature is considered as a non-specific process, caused by a mismatch between synthesis and excretion products of "normal" and abnormal metabolism </w:t>
      </w:r>
      <w:r w:rsidR="00C53B99" w:rsidRPr="009C734F">
        <w:rPr>
          <w:rFonts w:ascii="Times New Roman" w:eastAsia="Times New Roman" w:hAnsi="Times New Roman" w:cs="Times New Roman"/>
          <w:sz w:val="28"/>
          <w:szCs w:val="28"/>
          <w:lang w:val="en-US"/>
        </w:rPr>
        <w:t>[</w:t>
      </w:r>
      <w:hyperlink r:id="rId12" w:anchor="_Ref459720388" w:tooltip="_Ref459720388" w:history="1">
        <w:r w:rsidRPr="009C734F">
          <w:rPr>
            <w:rFonts w:ascii="Times New Roman" w:eastAsia="Times New Roman" w:hAnsi="Times New Roman" w:cs="Times New Roman"/>
            <w:sz w:val="28"/>
            <w:szCs w:val="28"/>
            <w:lang w:val="en-US"/>
          </w:rPr>
          <w:t>2</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3" w:anchor="_Ref459720752" w:tooltip="_Ref459720752" w:history="1">
        <w:r w:rsidRPr="009C734F">
          <w:rPr>
            <w:rFonts w:ascii="Times New Roman" w:eastAsia="Times New Roman" w:hAnsi="Times New Roman" w:cs="Times New Roman"/>
            <w:sz w:val="28"/>
            <w:szCs w:val="28"/>
            <w:lang w:val="en-US"/>
          </w:rPr>
          <w:t>3</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At its core, it is a natural consequence of violations of microcirculation, gas exchange, lipid </w:t>
      </w:r>
      <w:proofErr w:type="spellStart"/>
      <w:r w:rsidRPr="009C734F">
        <w:rPr>
          <w:rFonts w:ascii="Times New Roman" w:eastAsia="Times New Roman" w:hAnsi="Times New Roman" w:cs="Times New Roman"/>
          <w:sz w:val="28"/>
          <w:szCs w:val="28"/>
          <w:lang w:val="en-US"/>
        </w:rPr>
        <w:t>peroxidation</w:t>
      </w:r>
      <w:proofErr w:type="spellEnd"/>
      <w:r w:rsidRPr="009C734F">
        <w:rPr>
          <w:rFonts w:ascii="Times New Roman" w:eastAsia="Times New Roman" w:hAnsi="Times New Roman" w:cs="Times New Roman"/>
          <w:sz w:val="28"/>
          <w:szCs w:val="28"/>
          <w:lang w:val="en-US"/>
        </w:rPr>
        <w:t>, leading to the accumulation in tissues and biological fluids products of tissue destruction and cell stress mediators. </w:t>
      </w:r>
      <w:proofErr w:type="gramStart"/>
      <w:r w:rsidRPr="009C734F">
        <w:rPr>
          <w:rFonts w:ascii="Times New Roman" w:eastAsia="Times New Roman" w:hAnsi="Times New Roman" w:cs="Times New Roman"/>
          <w:sz w:val="28"/>
          <w:szCs w:val="28"/>
          <w:lang w:val="en-US"/>
        </w:rPr>
        <w:t>Intoxication syndrome</w:t>
      </w:r>
      <w:r w:rsidR="00C53B99" w:rsidRPr="009C734F">
        <w:rPr>
          <w:rFonts w:ascii="Times New Roman" w:eastAsia="Times New Roman" w:hAnsi="Times New Roman" w:cs="Times New Roman"/>
          <w:sz w:val="28"/>
          <w:szCs w:val="28"/>
          <w:lang w:val="en-US"/>
        </w:rPr>
        <w:t xml:space="preserve"> — </w:t>
      </w:r>
      <w:r w:rsidRPr="009C734F">
        <w:rPr>
          <w:rFonts w:ascii="Times New Roman" w:eastAsia="Times New Roman" w:hAnsi="Times New Roman" w:cs="Times New Roman"/>
          <w:sz w:val="28"/>
          <w:szCs w:val="28"/>
          <w:lang w:val="en-US"/>
        </w:rPr>
        <w:t xml:space="preserve">the main pathological syndrome that occurs in almost all diseases and is a nonspecific response for the pathology </w:t>
      </w:r>
      <w:r w:rsidR="00C53B99" w:rsidRPr="009C734F">
        <w:rPr>
          <w:rFonts w:ascii="Times New Roman" w:eastAsia="Times New Roman" w:hAnsi="Times New Roman" w:cs="Times New Roman"/>
          <w:sz w:val="28"/>
          <w:szCs w:val="28"/>
          <w:lang w:val="en-US"/>
        </w:rPr>
        <w:t>[</w:t>
      </w:r>
      <w:hyperlink r:id="rId14" w:anchor="_Ref459720388" w:tooltip="_Ref459720388" w:history="1">
        <w:r w:rsidRPr="009C734F">
          <w:rPr>
            <w:rFonts w:ascii="Times New Roman" w:eastAsia="Times New Roman" w:hAnsi="Times New Roman" w:cs="Times New Roman"/>
            <w:sz w:val="28"/>
            <w:szCs w:val="28"/>
            <w:lang w:val="en-US"/>
          </w:rPr>
          <w:t>2</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5" w:anchor="_Ref459720752" w:tooltip="_Ref459720752" w:history="1">
        <w:r w:rsidRPr="009C734F">
          <w:rPr>
            <w:rFonts w:ascii="Times New Roman" w:eastAsia="Times New Roman" w:hAnsi="Times New Roman" w:cs="Times New Roman"/>
            <w:sz w:val="28"/>
            <w:szCs w:val="28"/>
            <w:lang w:val="en-US"/>
          </w:rPr>
          <w:t>3</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w:t>
      </w:r>
      <w:proofErr w:type="gramEnd"/>
      <w:r w:rsidRPr="009C734F">
        <w:rPr>
          <w:rFonts w:ascii="Times New Roman" w:eastAsia="Times New Roman" w:hAnsi="Times New Roman" w:cs="Times New Roman"/>
          <w:sz w:val="28"/>
          <w:szCs w:val="28"/>
          <w:lang w:val="en-US"/>
        </w:rPr>
        <w:t xml:space="preserve"> However, despite its nonspecific, a variety of clinical situations, it is the presence of </w:t>
      </w:r>
      <w:proofErr w:type="spellStart"/>
      <w:r w:rsidRPr="009C734F">
        <w:rPr>
          <w:rFonts w:ascii="Times New Roman" w:eastAsia="Times New Roman" w:hAnsi="Times New Roman" w:cs="Times New Roman"/>
          <w:sz w:val="28"/>
          <w:szCs w:val="28"/>
          <w:lang w:val="en-US"/>
        </w:rPr>
        <w:t>comorbidity</w:t>
      </w:r>
      <w:proofErr w:type="spellEnd"/>
      <w:r w:rsidRPr="009C734F">
        <w:rPr>
          <w:rFonts w:ascii="Times New Roman" w:eastAsia="Times New Roman" w:hAnsi="Times New Roman" w:cs="Times New Roman"/>
          <w:sz w:val="28"/>
          <w:szCs w:val="28"/>
          <w:lang w:val="en-US"/>
        </w:rPr>
        <w:t xml:space="preserve"> makes </w:t>
      </w:r>
      <w:proofErr w:type="gramStart"/>
      <w:r w:rsidRPr="009C734F">
        <w:rPr>
          <w:rFonts w:ascii="Times New Roman" w:eastAsia="Times New Roman" w:hAnsi="Times New Roman" w:cs="Times New Roman"/>
          <w:sz w:val="28"/>
          <w:szCs w:val="28"/>
          <w:lang w:val="en-US"/>
        </w:rPr>
        <w:t>this syndrome individual, specific features</w:t>
      </w:r>
      <w:proofErr w:type="gramEnd"/>
      <w:r w:rsidRPr="009C734F">
        <w:rPr>
          <w:rFonts w:ascii="Times New Roman" w:eastAsia="Times New Roman" w:hAnsi="Times New Roman" w:cs="Times New Roman"/>
          <w:sz w:val="28"/>
          <w:szCs w:val="28"/>
          <w:lang w:val="en-US"/>
        </w:rPr>
        <w:t xml:space="preserve">. Thus, the study of the mechanisms of formation of endogenous intoxication syndrome in terms of </w:t>
      </w:r>
      <w:proofErr w:type="spellStart"/>
      <w:r w:rsidRPr="009C734F">
        <w:rPr>
          <w:rFonts w:ascii="Times New Roman" w:eastAsia="Times New Roman" w:hAnsi="Times New Roman" w:cs="Times New Roman"/>
          <w:sz w:val="28"/>
          <w:szCs w:val="28"/>
          <w:lang w:val="en-US"/>
        </w:rPr>
        <w:t>comorbid</w:t>
      </w:r>
      <w:proofErr w:type="spellEnd"/>
      <w:r w:rsidRPr="009C734F">
        <w:rPr>
          <w:rFonts w:ascii="Times New Roman" w:eastAsia="Times New Roman" w:hAnsi="Times New Roman" w:cs="Times New Roman"/>
          <w:sz w:val="28"/>
          <w:szCs w:val="28"/>
          <w:lang w:val="en-US"/>
        </w:rPr>
        <w:t xml:space="preserve"> pathology is important.</w:t>
      </w: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Work carried out under the GDR </w:t>
      </w:r>
      <w:proofErr w:type="spellStart"/>
      <w:r w:rsidRPr="009C734F">
        <w:rPr>
          <w:rFonts w:ascii="Times New Roman" w:eastAsia="Times New Roman" w:hAnsi="Times New Roman" w:cs="Times New Roman"/>
          <w:sz w:val="28"/>
          <w:szCs w:val="28"/>
          <w:lang w:val="en-US"/>
        </w:rPr>
        <w:t>Kharkiv</w:t>
      </w:r>
      <w:proofErr w:type="spellEnd"/>
      <w:r w:rsidRPr="009C734F">
        <w:rPr>
          <w:rFonts w:ascii="Times New Roman" w:eastAsia="Times New Roman" w:hAnsi="Times New Roman" w:cs="Times New Roman"/>
          <w:sz w:val="28"/>
          <w:szCs w:val="28"/>
          <w:lang w:val="en-US"/>
        </w:rPr>
        <w:t xml:space="preserve"> National Medical University "Metabolic mechanisms of respiratory-renal disease: diagnostic and prognostic criteria, prevention, treatment," state registration 0110U001806.</w:t>
      </w:r>
    </w:p>
    <w:p w:rsidR="005B40D0" w:rsidRPr="009C734F" w:rsidRDefault="009C734F" w:rsidP="00F80E0B">
      <w:pPr>
        <w:spacing w:after="0" w:line="24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The aim of research </w:t>
      </w:r>
      <w:r w:rsidRPr="009C734F">
        <w:rPr>
          <w:rFonts w:ascii="Times New Roman" w:eastAsia="Times New Roman" w:hAnsi="Times New Roman" w:cs="Times New Roman"/>
          <w:bCs/>
          <w:sz w:val="28"/>
          <w:szCs w:val="28"/>
          <w:lang w:val="en-US"/>
        </w:rPr>
        <w:t>is to</w:t>
      </w:r>
      <w:r w:rsidR="005B40D0" w:rsidRPr="009C734F">
        <w:rPr>
          <w:rFonts w:ascii="Times New Roman" w:eastAsia="Times New Roman" w:hAnsi="Times New Roman" w:cs="Times New Roman"/>
          <w:sz w:val="28"/>
          <w:szCs w:val="28"/>
          <w:lang w:val="en-US"/>
        </w:rPr>
        <w:t> identify ways to implement the autoimmune process in patients with combined course of chronic obstructive pulmonary disease (COPD) and chronic pancreatitis (CP).</w:t>
      </w: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proofErr w:type="gramStart"/>
      <w:r w:rsidRPr="009C734F">
        <w:rPr>
          <w:rFonts w:ascii="Times New Roman" w:eastAsia="Times New Roman" w:hAnsi="Times New Roman" w:cs="Times New Roman"/>
          <w:b/>
          <w:bCs/>
          <w:sz w:val="28"/>
          <w:szCs w:val="28"/>
          <w:lang w:val="en-US"/>
        </w:rPr>
        <w:t>Materials and methods.</w:t>
      </w:r>
      <w:proofErr w:type="gramEnd"/>
      <w:r w:rsidRPr="009C734F">
        <w:rPr>
          <w:rFonts w:ascii="Times New Roman" w:eastAsia="Times New Roman" w:hAnsi="Times New Roman" w:cs="Times New Roman"/>
          <w:sz w:val="28"/>
          <w:szCs w:val="28"/>
          <w:lang w:val="en-US"/>
        </w:rPr>
        <w:t> Under supervision there were 79 patients with COPD aged (44</w:t>
      </w:r>
      <w:proofErr w:type="gramStart"/>
      <w:r w:rsidRPr="009C734F">
        <w:rPr>
          <w:rFonts w:ascii="Times New Roman" w:eastAsia="Times New Roman" w:hAnsi="Times New Roman" w:cs="Times New Roman"/>
          <w:sz w:val="28"/>
          <w:szCs w:val="28"/>
          <w:lang w:val="en-US"/>
        </w:rPr>
        <w:t>,7</w:t>
      </w:r>
      <w:proofErr w:type="gramEnd"/>
      <w:r w:rsid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4,9), and duration of history from 3 to 23 years. Among surveyed male patients prevailed</w:t>
      </w:r>
      <w:r w:rsidR="00C53B99" w:rsidRPr="009C734F">
        <w:rPr>
          <w:rFonts w:ascii="Times New Roman" w:eastAsia="Times New Roman" w:hAnsi="Times New Roman" w:cs="Times New Roman"/>
          <w:sz w:val="28"/>
          <w:szCs w:val="28"/>
          <w:lang w:val="en-US"/>
        </w:rPr>
        <w:t xml:space="preserve"> — </w:t>
      </w:r>
      <w:r w:rsidRPr="009C734F">
        <w:rPr>
          <w:rFonts w:ascii="Times New Roman" w:eastAsia="Times New Roman" w:hAnsi="Times New Roman" w:cs="Times New Roman"/>
          <w:sz w:val="28"/>
          <w:szCs w:val="28"/>
          <w:lang w:val="en-US"/>
        </w:rPr>
        <w:t xml:space="preserve">58 (73.4%) patients. The main group consisted of 47 patients with COPD, which in previous stages of treatment were diagnosed with CP history lasting from 2 to 21 years. A comparison group presented 32 patients with isolated course of COPD. The control group included 20 healthy individuals of similar age and gender. Proliferative activity of peripheral blood lymphocytes were evaluated in response </w:t>
      </w:r>
      <w:proofErr w:type="spellStart"/>
      <w:r w:rsidRPr="009C734F">
        <w:rPr>
          <w:rFonts w:ascii="Times New Roman" w:eastAsia="Times New Roman" w:hAnsi="Times New Roman" w:cs="Times New Roman"/>
          <w:sz w:val="28"/>
          <w:szCs w:val="28"/>
          <w:lang w:val="en-US"/>
        </w:rPr>
        <w:t>blasttransformat</w:t>
      </w:r>
      <w:r w:rsidR="009C734F">
        <w:rPr>
          <w:rFonts w:ascii="Times New Roman" w:eastAsia="Times New Roman" w:hAnsi="Times New Roman" w:cs="Times New Roman"/>
          <w:sz w:val="28"/>
          <w:szCs w:val="28"/>
          <w:lang w:val="en-US"/>
        </w:rPr>
        <w:t>ion</w:t>
      </w:r>
      <w:proofErr w:type="spellEnd"/>
      <w:r w:rsidRPr="009C734F">
        <w:rPr>
          <w:rFonts w:ascii="Times New Roman" w:eastAsia="Times New Roman" w:hAnsi="Times New Roman" w:cs="Times New Roman"/>
          <w:sz w:val="28"/>
          <w:szCs w:val="28"/>
          <w:lang w:val="en-US"/>
        </w:rPr>
        <w:t xml:space="preserve"> (RBTL), while using lymphocyte cultures: from </w:t>
      </w:r>
      <w:proofErr w:type="spellStart"/>
      <w:r w:rsidR="009C734F">
        <w:rPr>
          <w:rFonts w:ascii="Times New Roman" w:eastAsia="Times New Roman" w:hAnsi="Times New Roman" w:cs="Times New Roman"/>
          <w:sz w:val="28"/>
          <w:szCs w:val="28"/>
          <w:lang w:val="en-US"/>
        </w:rPr>
        <w:t>phutohemo</w:t>
      </w:r>
      <w:r w:rsidR="009C734F" w:rsidRPr="009C734F">
        <w:rPr>
          <w:rFonts w:ascii="Times New Roman" w:eastAsia="Times New Roman" w:hAnsi="Times New Roman" w:cs="Times New Roman"/>
          <w:sz w:val="28"/>
          <w:szCs w:val="28"/>
          <w:lang w:val="en-US"/>
        </w:rPr>
        <w:t>agglutinin</w:t>
      </w:r>
      <w:proofErr w:type="spellEnd"/>
      <w:r w:rsidRPr="009C734F">
        <w:rPr>
          <w:rFonts w:ascii="Times New Roman" w:eastAsia="Times New Roman" w:hAnsi="Times New Roman" w:cs="Times New Roman"/>
          <w:sz w:val="28"/>
          <w:szCs w:val="28"/>
          <w:lang w:val="en-US"/>
        </w:rPr>
        <w:t xml:space="preserve"> (PHA), LPS (LPS) and monocultures without </w:t>
      </w:r>
      <w:proofErr w:type="spellStart"/>
      <w:r w:rsidRPr="009C734F">
        <w:rPr>
          <w:rFonts w:ascii="Times New Roman" w:eastAsia="Times New Roman" w:hAnsi="Times New Roman" w:cs="Times New Roman"/>
          <w:sz w:val="28"/>
          <w:szCs w:val="28"/>
          <w:lang w:val="en-US"/>
        </w:rPr>
        <w:t>mitogen</w:t>
      </w:r>
      <w:proofErr w:type="spellEnd"/>
      <w:r w:rsidRPr="009C734F">
        <w:rPr>
          <w:rFonts w:ascii="Times New Roman" w:eastAsia="Times New Roman" w:hAnsi="Times New Roman" w:cs="Times New Roman"/>
          <w:sz w:val="28"/>
          <w:szCs w:val="28"/>
          <w:lang w:val="en-US"/>
        </w:rPr>
        <w:t>. </w:t>
      </w:r>
      <w:proofErr w:type="gramStart"/>
      <w:r w:rsidRPr="009C734F">
        <w:rPr>
          <w:rFonts w:ascii="Times New Roman" w:eastAsia="Times New Roman" w:hAnsi="Times New Roman" w:cs="Times New Roman"/>
          <w:sz w:val="28"/>
          <w:szCs w:val="28"/>
          <w:lang w:val="en-US"/>
        </w:rPr>
        <w:t>Activity autoimmune processes</w:t>
      </w:r>
      <w:r w:rsidR="00C53B99" w:rsidRPr="009C734F">
        <w:rPr>
          <w:rFonts w:ascii="Times New Roman" w:eastAsia="Times New Roman" w:hAnsi="Times New Roman" w:cs="Times New Roman"/>
          <w:sz w:val="28"/>
          <w:szCs w:val="28"/>
          <w:lang w:val="en-US"/>
        </w:rPr>
        <w:t xml:space="preserve"> — </w:t>
      </w:r>
      <w:r w:rsidRPr="009C734F">
        <w:rPr>
          <w:rFonts w:ascii="Times New Roman" w:eastAsia="Times New Roman" w:hAnsi="Times New Roman" w:cs="Times New Roman"/>
          <w:sz w:val="28"/>
          <w:szCs w:val="28"/>
          <w:lang w:val="en-US"/>
        </w:rPr>
        <w:t xml:space="preserve">in response </w:t>
      </w:r>
      <w:proofErr w:type="spellStart"/>
      <w:r w:rsidRPr="009C734F">
        <w:rPr>
          <w:rFonts w:ascii="Times New Roman" w:eastAsia="Times New Roman" w:hAnsi="Times New Roman" w:cs="Times New Roman"/>
          <w:sz w:val="28"/>
          <w:szCs w:val="28"/>
          <w:lang w:val="en-US"/>
        </w:rPr>
        <w:t>autologous</w:t>
      </w:r>
      <w:proofErr w:type="spellEnd"/>
      <w:r w:rsidRPr="009C734F">
        <w:rPr>
          <w:rFonts w:ascii="Times New Roman" w:eastAsia="Times New Roman" w:hAnsi="Times New Roman" w:cs="Times New Roman"/>
          <w:sz w:val="28"/>
          <w:szCs w:val="28"/>
          <w:lang w:val="en-US"/>
        </w:rPr>
        <w:t xml:space="preserve"> lymphocyte rosette with their own </w:t>
      </w:r>
      <w:r w:rsidRPr="009C734F">
        <w:rPr>
          <w:rFonts w:ascii="Times New Roman" w:eastAsia="Times New Roman" w:hAnsi="Times New Roman" w:cs="Times New Roman"/>
          <w:sz w:val="28"/>
          <w:szCs w:val="28"/>
          <w:lang w:val="en-US"/>
        </w:rPr>
        <w:lastRenderedPageBreak/>
        <w:t>red blood cells.</w:t>
      </w:r>
      <w:proofErr w:type="gramEnd"/>
      <w:r w:rsidRPr="009C734F">
        <w:rPr>
          <w:rFonts w:ascii="Times New Roman" w:eastAsia="Times New Roman" w:hAnsi="Times New Roman" w:cs="Times New Roman"/>
          <w:sz w:val="28"/>
          <w:szCs w:val="28"/>
          <w:lang w:val="en-US"/>
        </w:rPr>
        <w:t xml:space="preserve"> Expression of </w:t>
      </w:r>
      <w:proofErr w:type="spellStart"/>
      <w:r w:rsidRPr="009C734F">
        <w:rPr>
          <w:rFonts w:ascii="Times New Roman" w:eastAsia="Times New Roman" w:hAnsi="Times New Roman" w:cs="Times New Roman"/>
          <w:sz w:val="28"/>
          <w:szCs w:val="28"/>
          <w:lang w:val="en-US"/>
        </w:rPr>
        <w:t>endotoxemia</w:t>
      </w:r>
      <w:proofErr w:type="spellEnd"/>
      <w:r w:rsidRPr="009C734F">
        <w:rPr>
          <w:rFonts w:ascii="Times New Roman" w:eastAsia="Times New Roman" w:hAnsi="Times New Roman" w:cs="Times New Roman"/>
          <w:sz w:val="28"/>
          <w:szCs w:val="28"/>
          <w:lang w:val="en-US"/>
        </w:rPr>
        <w:t xml:space="preserve"> syndrome was evaluated in terms of the average molecular weight (IMS) by precipitation them from blood plasma. Level </w:t>
      </w:r>
      <w:proofErr w:type="spellStart"/>
      <w:r w:rsidR="009C734F">
        <w:rPr>
          <w:rFonts w:ascii="Times New Roman" w:eastAsia="Times New Roman" w:hAnsi="Times New Roman" w:cs="Times New Roman"/>
          <w:sz w:val="28"/>
          <w:szCs w:val="28"/>
          <w:lang w:val="en-US"/>
        </w:rPr>
        <w:t>autosensibilization</w:t>
      </w:r>
      <w:proofErr w:type="spellEnd"/>
      <w:r w:rsidRPr="009C734F">
        <w:rPr>
          <w:rFonts w:ascii="Times New Roman" w:eastAsia="Times New Roman" w:hAnsi="Times New Roman" w:cs="Times New Roman"/>
          <w:sz w:val="28"/>
          <w:szCs w:val="28"/>
          <w:lang w:val="en-US"/>
        </w:rPr>
        <w:t xml:space="preserve"> lymphocyte antigens relative to normal human tissues was determined in RBTL counting the </w:t>
      </w:r>
      <w:proofErr w:type="gramStart"/>
      <w:r w:rsidRPr="009C734F">
        <w:rPr>
          <w:rFonts w:ascii="Times New Roman" w:eastAsia="Times New Roman" w:hAnsi="Times New Roman" w:cs="Times New Roman"/>
          <w:sz w:val="28"/>
          <w:szCs w:val="28"/>
          <w:lang w:val="en-US"/>
        </w:rPr>
        <w:t>number of lymphocytes proliferate</w:t>
      </w:r>
      <w:proofErr w:type="gramEnd"/>
      <w:r w:rsidRPr="009C734F">
        <w:rPr>
          <w:rFonts w:ascii="Times New Roman" w:eastAsia="Times New Roman" w:hAnsi="Times New Roman" w:cs="Times New Roman"/>
          <w:sz w:val="28"/>
          <w:szCs w:val="28"/>
          <w:lang w:val="en-US"/>
        </w:rPr>
        <w:t xml:space="preserve"> at 100 percent of cells and proliferation.</w:t>
      </w: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Statistical analysis of the results was carried out using licensed software «Microsoft Excel» and «</w:t>
      </w:r>
      <w:proofErr w:type="spellStart"/>
      <w:r w:rsidRPr="009C734F">
        <w:rPr>
          <w:rFonts w:ascii="Times New Roman" w:eastAsia="Times New Roman" w:hAnsi="Times New Roman" w:cs="Times New Roman"/>
          <w:sz w:val="28"/>
          <w:szCs w:val="28"/>
          <w:lang w:val="en-US"/>
        </w:rPr>
        <w:t>Statistica</w:t>
      </w:r>
      <w:proofErr w:type="spellEnd"/>
      <w:r w:rsidRPr="009C734F">
        <w:rPr>
          <w:rFonts w:ascii="Times New Roman" w:eastAsia="Times New Roman" w:hAnsi="Times New Roman" w:cs="Times New Roman"/>
          <w:sz w:val="28"/>
          <w:szCs w:val="28"/>
          <w:lang w:val="en-US"/>
        </w:rPr>
        <w:t xml:space="preserve"> 6.0».</w:t>
      </w: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proofErr w:type="gramStart"/>
      <w:r w:rsidRPr="009C734F">
        <w:rPr>
          <w:rFonts w:ascii="Times New Roman" w:eastAsia="Times New Roman" w:hAnsi="Times New Roman" w:cs="Times New Roman"/>
          <w:b/>
          <w:bCs/>
          <w:sz w:val="28"/>
          <w:szCs w:val="28"/>
          <w:lang w:val="en-US"/>
        </w:rPr>
        <w:t>Results and discussion.</w:t>
      </w:r>
      <w:proofErr w:type="gramEnd"/>
    </w:p>
    <w:p w:rsidR="00612323"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During the study, the functional activity of lymphocytes in RBTL found a significant reduction in the functional activity of T-lymphocytes compared with those of healthy individuals in both groups of patients on the background at the same time a substantial increase in activity of B-lymphocytes (Table. 1). At the same time revealed significant increase basic </w:t>
      </w:r>
      <w:proofErr w:type="spellStart"/>
      <w:r w:rsidRPr="009C734F">
        <w:rPr>
          <w:rFonts w:ascii="Times New Roman" w:eastAsia="Times New Roman" w:hAnsi="Times New Roman" w:cs="Times New Roman"/>
          <w:sz w:val="28"/>
          <w:szCs w:val="28"/>
          <w:lang w:val="en-US"/>
        </w:rPr>
        <w:t>immunoregulatory</w:t>
      </w:r>
      <w:proofErr w:type="spellEnd"/>
      <w:r w:rsidRPr="009C734F">
        <w:rPr>
          <w:rFonts w:ascii="Times New Roman" w:eastAsia="Times New Roman" w:hAnsi="Times New Roman" w:cs="Times New Roman"/>
          <w:sz w:val="28"/>
          <w:szCs w:val="28"/>
          <w:lang w:val="en-US"/>
        </w:rPr>
        <w:t xml:space="preserve"> factor (</w:t>
      </w:r>
      <w:r w:rsidR="009C734F">
        <w:rPr>
          <w:rFonts w:ascii="Times New Roman" w:eastAsia="Times New Roman" w:hAnsi="Times New Roman" w:cs="Times New Roman"/>
          <w:sz w:val="28"/>
          <w:szCs w:val="28"/>
          <w:lang w:val="en-US"/>
        </w:rPr>
        <w:t>BIRF</w:t>
      </w:r>
      <w:r w:rsidRPr="009C734F">
        <w:rPr>
          <w:rFonts w:ascii="Times New Roman" w:eastAsia="Times New Roman" w:hAnsi="Times New Roman" w:cs="Times New Roman"/>
          <w:sz w:val="28"/>
          <w:szCs w:val="28"/>
          <w:lang w:val="en-US"/>
        </w:rPr>
        <w:t xml:space="preserve">), indicating the formation of autoimmune processes </w:t>
      </w:r>
      <w:r w:rsidR="00C53B99" w:rsidRPr="009C734F">
        <w:rPr>
          <w:rFonts w:ascii="Times New Roman" w:eastAsia="Times New Roman" w:hAnsi="Times New Roman" w:cs="Times New Roman"/>
          <w:sz w:val="28"/>
          <w:szCs w:val="28"/>
          <w:lang w:val="en-US"/>
        </w:rPr>
        <w:t>[</w:t>
      </w:r>
      <w:hyperlink r:id="rId16" w:anchor="_Ref459720388" w:tooltip="_Ref459720388" w:history="1">
        <w:r w:rsidRPr="009C734F">
          <w:rPr>
            <w:rFonts w:ascii="Times New Roman" w:eastAsia="Times New Roman" w:hAnsi="Times New Roman" w:cs="Times New Roman"/>
            <w:sz w:val="28"/>
            <w:szCs w:val="28"/>
            <w:lang w:val="en-US"/>
          </w:rPr>
          <w:t>2</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w:t>
      </w:r>
    </w:p>
    <w:p w:rsidR="00AD22D5" w:rsidRPr="009C734F" w:rsidRDefault="005B40D0" w:rsidP="00F80E0B">
      <w:pPr>
        <w:spacing w:after="0" w:line="240" w:lineRule="auto"/>
        <w:ind w:firstLine="709"/>
        <w:jc w:val="right"/>
        <w:rPr>
          <w:rFonts w:ascii="Times New Roman" w:hAnsi="Times New Roman" w:cs="Times New Roman"/>
          <w:sz w:val="28"/>
          <w:szCs w:val="28"/>
          <w:lang w:val="en-US"/>
        </w:rPr>
      </w:pPr>
      <w:r w:rsidRPr="009C734F">
        <w:rPr>
          <w:rFonts w:ascii="Times New Roman" w:hAnsi="Times New Roman" w:cs="Times New Roman"/>
          <w:sz w:val="28"/>
          <w:szCs w:val="28"/>
          <w:lang w:val="en-US"/>
        </w:rPr>
        <w:t>Table</w:t>
      </w:r>
      <w:r w:rsidR="00AD22D5" w:rsidRPr="009C734F">
        <w:rPr>
          <w:rFonts w:ascii="Times New Roman" w:hAnsi="Times New Roman" w:cs="Times New Roman"/>
          <w:sz w:val="28"/>
          <w:szCs w:val="28"/>
          <w:lang w:val="uk-UA"/>
        </w:rPr>
        <w:t xml:space="preserve"> 1</w:t>
      </w:r>
    </w:p>
    <w:p w:rsidR="00AD22D5" w:rsidRPr="009C734F" w:rsidRDefault="005B40D0" w:rsidP="00F80E0B">
      <w:pPr>
        <w:spacing w:after="0" w:line="240" w:lineRule="auto"/>
        <w:jc w:val="center"/>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Indicators of functional activity of lymphocytes in RBTL in the patients examined </w:t>
      </w:r>
    </w:p>
    <w:tbl>
      <w:tblPr>
        <w:tblW w:w="0" w:type="auto"/>
        <w:tblLayout w:type="fixed"/>
        <w:tblCellMar>
          <w:left w:w="0" w:type="dxa"/>
          <w:right w:w="0" w:type="dxa"/>
        </w:tblCellMar>
        <w:tblLook w:val="0000"/>
      </w:tblPr>
      <w:tblGrid>
        <w:gridCol w:w="2371"/>
        <w:gridCol w:w="2198"/>
        <w:gridCol w:w="2506"/>
        <w:gridCol w:w="2352"/>
      </w:tblGrid>
      <w:tr w:rsidR="00A907B7" w:rsidRPr="009C734F" w:rsidTr="00A907B7">
        <w:trPr>
          <w:trHeight w:val="240"/>
        </w:trPr>
        <w:tc>
          <w:tcPr>
            <w:tcW w:w="2371" w:type="dxa"/>
            <w:tcBorders>
              <w:top w:val="single" w:sz="4" w:space="0" w:color="auto"/>
              <w:left w:val="nil"/>
              <w:bottom w:val="single" w:sz="4" w:space="0" w:color="auto"/>
              <w:right w:val="nil"/>
            </w:tcBorders>
            <w:shd w:val="clear" w:color="auto" w:fill="FFFFFF"/>
          </w:tcPr>
          <w:p w:rsidR="00A907B7" w:rsidRPr="009C734F" w:rsidRDefault="005B40D0" w:rsidP="00F80E0B">
            <w:pPr>
              <w:pStyle w:val="100"/>
              <w:shd w:val="clear" w:color="auto" w:fill="auto"/>
              <w:spacing w:line="240" w:lineRule="auto"/>
              <w:ind w:left="100"/>
              <w:jc w:val="center"/>
              <w:rPr>
                <w:rFonts w:ascii="Times New Roman" w:hAnsi="Times New Roman" w:cs="Times New Roman"/>
                <w:sz w:val="28"/>
                <w:szCs w:val="28"/>
                <w:lang w:val="en-US"/>
              </w:rPr>
            </w:pPr>
            <w:r w:rsidRPr="009C734F">
              <w:rPr>
                <w:rFonts w:ascii="Times New Roman" w:hAnsi="Times New Roman" w:cs="Times New Roman"/>
                <w:sz w:val="28"/>
                <w:szCs w:val="28"/>
                <w:lang w:val="en-US"/>
              </w:rPr>
              <w:t>Studied indicators</w:t>
            </w:r>
          </w:p>
        </w:tc>
        <w:tc>
          <w:tcPr>
            <w:tcW w:w="2198" w:type="dxa"/>
            <w:tcBorders>
              <w:top w:val="single" w:sz="4" w:space="0" w:color="auto"/>
              <w:left w:val="nil"/>
              <w:bottom w:val="single" w:sz="4" w:space="0" w:color="auto"/>
              <w:right w:val="nil"/>
            </w:tcBorders>
            <w:shd w:val="clear" w:color="auto" w:fill="FFFFFF"/>
          </w:tcPr>
          <w:p w:rsidR="00A907B7" w:rsidRPr="009C734F" w:rsidRDefault="005B40D0" w:rsidP="00F80E0B">
            <w:pPr>
              <w:pStyle w:val="100"/>
              <w:shd w:val="clear" w:color="auto" w:fill="auto"/>
              <w:spacing w:line="240" w:lineRule="auto"/>
              <w:ind w:left="30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00A907B7" w:rsidRPr="009C734F">
              <w:rPr>
                <w:rFonts w:ascii="Times New Roman" w:hAnsi="Times New Roman" w:cs="Times New Roman"/>
                <w:sz w:val="28"/>
                <w:szCs w:val="28"/>
                <w:lang w:val="uk-UA"/>
              </w:rPr>
              <w:t xml:space="preserve"> (n=32)</w:t>
            </w:r>
          </w:p>
        </w:tc>
        <w:tc>
          <w:tcPr>
            <w:tcW w:w="2506" w:type="dxa"/>
            <w:tcBorders>
              <w:top w:val="single" w:sz="4" w:space="0" w:color="auto"/>
              <w:left w:val="nil"/>
              <w:bottom w:val="single" w:sz="4" w:space="0" w:color="auto"/>
              <w:right w:val="nil"/>
            </w:tcBorders>
            <w:shd w:val="clear" w:color="auto" w:fill="FFFFFF"/>
          </w:tcPr>
          <w:p w:rsidR="00A907B7" w:rsidRPr="009C734F" w:rsidRDefault="005B40D0" w:rsidP="00F80E0B">
            <w:pPr>
              <w:pStyle w:val="100"/>
              <w:shd w:val="clear" w:color="auto" w:fill="auto"/>
              <w:spacing w:line="240" w:lineRule="auto"/>
              <w:ind w:left="12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 xml:space="preserve">and CP </w:t>
            </w:r>
            <w:r w:rsidR="00A907B7" w:rsidRPr="009C734F">
              <w:rPr>
                <w:rFonts w:ascii="Times New Roman" w:hAnsi="Times New Roman" w:cs="Times New Roman"/>
                <w:sz w:val="28"/>
                <w:szCs w:val="28"/>
                <w:lang w:val="uk-UA"/>
              </w:rPr>
              <w:t>(n=47)</w:t>
            </w:r>
          </w:p>
        </w:tc>
        <w:tc>
          <w:tcPr>
            <w:tcW w:w="2352" w:type="dxa"/>
            <w:tcBorders>
              <w:top w:val="single" w:sz="4" w:space="0" w:color="auto"/>
              <w:left w:val="nil"/>
              <w:bottom w:val="single" w:sz="4" w:space="0" w:color="auto"/>
              <w:right w:val="nil"/>
            </w:tcBorders>
            <w:shd w:val="clear" w:color="auto" w:fill="FFFFFF"/>
          </w:tcPr>
          <w:p w:rsidR="00A907B7" w:rsidRPr="009C734F" w:rsidRDefault="005B40D0" w:rsidP="00F80E0B">
            <w:pPr>
              <w:pStyle w:val="100"/>
              <w:shd w:val="clear" w:color="auto" w:fill="auto"/>
              <w:spacing w:line="240" w:lineRule="auto"/>
              <w:ind w:left="10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Control group</w:t>
            </w:r>
            <w:r w:rsidR="00A907B7" w:rsidRPr="009C734F">
              <w:rPr>
                <w:rFonts w:ascii="Times New Roman" w:hAnsi="Times New Roman" w:cs="Times New Roman"/>
                <w:sz w:val="28"/>
                <w:szCs w:val="28"/>
                <w:lang w:val="uk-UA"/>
              </w:rPr>
              <w:t xml:space="preserve"> (n=20)</w:t>
            </w:r>
          </w:p>
        </w:tc>
      </w:tr>
      <w:tr w:rsidR="00A907B7" w:rsidRPr="009C734F" w:rsidTr="00A907B7">
        <w:trPr>
          <w:trHeight w:val="240"/>
        </w:trPr>
        <w:tc>
          <w:tcPr>
            <w:tcW w:w="2371" w:type="dxa"/>
            <w:tcBorders>
              <w:top w:val="single" w:sz="4" w:space="0" w:color="auto"/>
              <w:left w:val="nil"/>
              <w:bottom w:val="single" w:sz="4" w:space="0" w:color="auto"/>
              <w:right w:val="nil"/>
            </w:tcBorders>
            <w:shd w:val="clear" w:color="auto" w:fill="FFFFFF"/>
          </w:tcPr>
          <w:p w:rsidR="00A907B7"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hAnsi="Times New Roman" w:cs="Times New Roman"/>
                <w:sz w:val="28"/>
                <w:szCs w:val="28"/>
                <w:lang w:val="en-US"/>
              </w:rPr>
              <w:t>FGA stimulation</w:t>
            </w:r>
            <w:r w:rsidR="00A907B7" w:rsidRPr="009C734F">
              <w:rPr>
                <w:rFonts w:ascii="Times New Roman" w:hAnsi="Times New Roman" w:cs="Times New Roman"/>
                <w:sz w:val="28"/>
                <w:szCs w:val="28"/>
                <w:lang w:val="uk-UA"/>
              </w:rPr>
              <w:t>, %</w:t>
            </w:r>
          </w:p>
        </w:tc>
        <w:tc>
          <w:tcPr>
            <w:tcW w:w="2198"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6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35,67±1,2*</w:t>
            </w:r>
          </w:p>
        </w:tc>
        <w:tc>
          <w:tcPr>
            <w:tcW w:w="2506"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800" w:firstLine="0"/>
              <w:rPr>
                <w:rFonts w:ascii="Times New Roman" w:hAnsi="Times New Roman" w:cs="Times New Roman"/>
                <w:sz w:val="28"/>
                <w:szCs w:val="28"/>
                <w:lang w:val="en-US"/>
              </w:rPr>
            </w:pPr>
            <w:r w:rsidRPr="009C734F">
              <w:rPr>
                <w:rFonts w:ascii="Times New Roman" w:hAnsi="Times New Roman" w:cs="Times New Roman"/>
                <w:sz w:val="28"/>
                <w:szCs w:val="28"/>
                <w:lang w:val="uk-UA"/>
              </w:rPr>
              <w:t>29,44±1,6*</w:t>
            </w:r>
            <w:r w:rsidR="00A33B54" w:rsidRPr="009C734F">
              <w:rPr>
                <w:rFonts w:ascii="Times New Roman" w:hAnsi="Times New Roman" w:cs="Times New Roman"/>
                <w:sz w:val="28"/>
                <w:szCs w:val="28"/>
                <w:lang w:val="en-US"/>
              </w:rPr>
              <w:t>/**</w:t>
            </w:r>
          </w:p>
        </w:tc>
        <w:tc>
          <w:tcPr>
            <w:tcW w:w="2352"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0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42,23±2,57</w:t>
            </w:r>
          </w:p>
        </w:tc>
      </w:tr>
      <w:tr w:rsidR="00A907B7" w:rsidRPr="009C734F" w:rsidTr="00A907B7">
        <w:trPr>
          <w:trHeight w:val="240"/>
        </w:trPr>
        <w:tc>
          <w:tcPr>
            <w:tcW w:w="2371" w:type="dxa"/>
            <w:tcBorders>
              <w:top w:val="single" w:sz="4" w:space="0" w:color="auto"/>
              <w:left w:val="nil"/>
              <w:bottom w:val="single" w:sz="4" w:space="0" w:color="auto"/>
              <w:right w:val="nil"/>
            </w:tcBorders>
            <w:shd w:val="clear" w:color="auto" w:fill="FFFFFF"/>
          </w:tcPr>
          <w:p w:rsidR="00A907B7"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hAnsi="Times New Roman" w:cs="Times New Roman"/>
                <w:sz w:val="28"/>
                <w:szCs w:val="28"/>
                <w:lang w:val="en-US"/>
              </w:rPr>
              <w:t>GIPS stimulation</w:t>
            </w:r>
            <w:r w:rsidR="00A907B7" w:rsidRPr="009C734F">
              <w:rPr>
                <w:rFonts w:ascii="Times New Roman" w:hAnsi="Times New Roman" w:cs="Times New Roman"/>
                <w:sz w:val="28"/>
                <w:szCs w:val="28"/>
                <w:lang w:val="uk-UA"/>
              </w:rPr>
              <w:t>, %</w:t>
            </w:r>
          </w:p>
        </w:tc>
        <w:tc>
          <w:tcPr>
            <w:tcW w:w="2198"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6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14,53±1,1*</w:t>
            </w:r>
          </w:p>
        </w:tc>
        <w:tc>
          <w:tcPr>
            <w:tcW w:w="2506"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800" w:firstLine="0"/>
              <w:rPr>
                <w:rFonts w:ascii="Times New Roman" w:hAnsi="Times New Roman" w:cs="Times New Roman"/>
                <w:sz w:val="28"/>
                <w:szCs w:val="28"/>
                <w:lang w:val="en-US"/>
              </w:rPr>
            </w:pPr>
            <w:r w:rsidRPr="009C734F">
              <w:rPr>
                <w:rFonts w:ascii="Times New Roman" w:hAnsi="Times New Roman" w:cs="Times New Roman"/>
                <w:sz w:val="28"/>
                <w:szCs w:val="28"/>
                <w:lang w:val="uk-UA"/>
              </w:rPr>
              <w:t>18,22±0,9*</w:t>
            </w:r>
            <w:r w:rsidR="00A33B54" w:rsidRPr="009C734F">
              <w:rPr>
                <w:rFonts w:ascii="Times New Roman" w:hAnsi="Times New Roman" w:cs="Times New Roman"/>
                <w:sz w:val="28"/>
                <w:szCs w:val="28"/>
                <w:lang w:val="en-US"/>
              </w:rPr>
              <w:t>/**</w:t>
            </w:r>
          </w:p>
        </w:tc>
        <w:tc>
          <w:tcPr>
            <w:tcW w:w="2352"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0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11,35±0,57</w:t>
            </w:r>
          </w:p>
        </w:tc>
      </w:tr>
      <w:tr w:rsidR="00A907B7" w:rsidRPr="009C734F" w:rsidTr="00A907B7">
        <w:trPr>
          <w:trHeight w:val="254"/>
        </w:trPr>
        <w:tc>
          <w:tcPr>
            <w:tcW w:w="2371" w:type="dxa"/>
            <w:tcBorders>
              <w:top w:val="single" w:sz="4" w:space="0" w:color="auto"/>
              <w:left w:val="nil"/>
              <w:bottom w:val="single" w:sz="4" w:space="0" w:color="auto"/>
              <w:right w:val="nil"/>
            </w:tcBorders>
            <w:shd w:val="clear" w:color="auto" w:fill="FFFFFF"/>
          </w:tcPr>
          <w:p w:rsidR="00A907B7" w:rsidRPr="009C734F" w:rsidRDefault="009C734F" w:rsidP="00F80E0B">
            <w:pPr>
              <w:pStyle w:val="90"/>
              <w:shd w:val="clear" w:color="auto" w:fill="auto"/>
              <w:spacing w:line="240" w:lineRule="auto"/>
              <w:ind w:left="100" w:firstLine="0"/>
              <w:rPr>
                <w:rFonts w:ascii="Times New Roman" w:hAnsi="Times New Roman" w:cs="Times New Roman"/>
                <w:sz w:val="28"/>
                <w:szCs w:val="28"/>
                <w:lang w:val="uk-UA"/>
              </w:rPr>
            </w:pPr>
            <w:r>
              <w:rPr>
                <w:rFonts w:ascii="Times New Roman" w:eastAsia="Times New Roman" w:hAnsi="Times New Roman" w:cs="Times New Roman"/>
                <w:sz w:val="28"/>
                <w:szCs w:val="28"/>
                <w:lang w:val="en-US"/>
              </w:rPr>
              <w:t>BIRF</w:t>
            </w:r>
          </w:p>
        </w:tc>
        <w:tc>
          <w:tcPr>
            <w:tcW w:w="2198"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6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1,57±0,03*</w:t>
            </w:r>
          </w:p>
        </w:tc>
        <w:tc>
          <w:tcPr>
            <w:tcW w:w="2506"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800" w:firstLine="0"/>
              <w:rPr>
                <w:rFonts w:ascii="Times New Roman" w:hAnsi="Times New Roman" w:cs="Times New Roman"/>
                <w:sz w:val="28"/>
                <w:szCs w:val="28"/>
                <w:lang w:val="en-US"/>
              </w:rPr>
            </w:pPr>
            <w:r w:rsidRPr="009C734F">
              <w:rPr>
                <w:rFonts w:ascii="Times New Roman" w:hAnsi="Times New Roman" w:cs="Times New Roman"/>
                <w:sz w:val="28"/>
                <w:szCs w:val="28"/>
                <w:lang w:val="uk-UA"/>
              </w:rPr>
              <w:t>1,68±0,04*</w:t>
            </w:r>
            <w:r w:rsidR="00A33B54" w:rsidRPr="009C734F">
              <w:rPr>
                <w:rFonts w:ascii="Times New Roman" w:hAnsi="Times New Roman" w:cs="Times New Roman"/>
                <w:sz w:val="28"/>
                <w:szCs w:val="28"/>
                <w:lang w:val="en-US"/>
              </w:rPr>
              <w:t>/**</w:t>
            </w:r>
          </w:p>
        </w:tc>
        <w:tc>
          <w:tcPr>
            <w:tcW w:w="2352" w:type="dxa"/>
            <w:tcBorders>
              <w:top w:val="single" w:sz="4" w:space="0" w:color="auto"/>
              <w:left w:val="nil"/>
              <w:bottom w:val="single" w:sz="4" w:space="0" w:color="auto"/>
              <w:right w:val="nil"/>
            </w:tcBorders>
            <w:shd w:val="clear" w:color="auto" w:fill="FFFFFF"/>
          </w:tcPr>
          <w:p w:rsidR="00A907B7" w:rsidRPr="009C734F" w:rsidRDefault="00A907B7" w:rsidP="00F80E0B">
            <w:pPr>
              <w:pStyle w:val="90"/>
              <w:shd w:val="clear" w:color="auto" w:fill="auto"/>
              <w:spacing w:line="240" w:lineRule="auto"/>
              <w:ind w:left="700" w:firstLine="0"/>
              <w:rPr>
                <w:rFonts w:ascii="Times New Roman" w:hAnsi="Times New Roman" w:cs="Times New Roman"/>
                <w:sz w:val="28"/>
                <w:szCs w:val="28"/>
                <w:lang w:val="uk-UA"/>
              </w:rPr>
            </w:pPr>
            <w:r w:rsidRPr="009C734F">
              <w:rPr>
                <w:rFonts w:ascii="Times New Roman" w:hAnsi="Times New Roman" w:cs="Times New Roman"/>
                <w:sz w:val="28"/>
                <w:szCs w:val="28"/>
                <w:lang w:val="uk-UA"/>
              </w:rPr>
              <w:t>1,40±0,05</w:t>
            </w:r>
          </w:p>
        </w:tc>
      </w:tr>
    </w:tbl>
    <w:p w:rsidR="00A907B7" w:rsidRPr="009C734F" w:rsidRDefault="005B40D0" w:rsidP="00F80E0B">
      <w:pPr>
        <w:pStyle w:val="2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Note</w:t>
      </w:r>
      <w:r w:rsidR="00A907B7"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Here and afterwards</w:t>
      </w:r>
      <w:r w:rsidR="00A907B7" w:rsidRPr="009C734F">
        <w:rPr>
          <w:rFonts w:ascii="Times New Roman" w:hAnsi="Times New Roman" w:cs="Times New Roman"/>
          <w:sz w:val="28"/>
          <w:szCs w:val="28"/>
          <w:lang w:val="uk-UA"/>
        </w:rPr>
        <w:t xml:space="preserve"> р </w:t>
      </w:r>
      <w:r w:rsidR="009C734F">
        <w:rPr>
          <w:rFonts w:ascii="Times New Roman" w:hAnsi="Times New Roman" w:cs="Times New Roman"/>
          <w:sz w:val="28"/>
          <w:szCs w:val="28"/>
          <w:lang w:val="uk-UA"/>
        </w:rPr>
        <w:t>&lt;</w:t>
      </w:r>
      <w:r w:rsidR="00A907B7" w:rsidRPr="009C734F">
        <w:rPr>
          <w:rFonts w:ascii="Times New Roman" w:hAnsi="Times New Roman" w:cs="Times New Roman"/>
          <w:sz w:val="28"/>
          <w:szCs w:val="28"/>
          <w:lang w:val="uk-UA"/>
        </w:rPr>
        <w:t>0</w:t>
      </w:r>
      <w:proofErr w:type="gramStart"/>
      <w:r w:rsidR="00A907B7" w:rsidRPr="009C734F">
        <w:rPr>
          <w:rFonts w:ascii="Times New Roman" w:hAnsi="Times New Roman" w:cs="Times New Roman"/>
          <w:sz w:val="28"/>
          <w:szCs w:val="28"/>
          <w:lang w:val="uk-UA"/>
        </w:rPr>
        <w:t>,05</w:t>
      </w:r>
      <w:proofErr w:type="gramEnd"/>
      <w:r w:rsidR="00A907B7" w:rsidRPr="009C734F">
        <w:rPr>
          <w:rFonts w:ascii="Times New Roman" w:hAnsi="Times New Roman" w:cs="Times New Roman"/>
          <w:sz w:val="28"/>
          <w:szCs w:val="28"/>
          <w:lang w:val="uk-UA"/>
        </w:rPr>
        <w:t xml:space="preserve">: </w:t>
      </w:r>
      <w:r w:rsidR="00D93361" w:rsidRPr="009C734F">
        <w:rPr>
          <w:rFonts w:ascii="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compared with those of the control group</w:t>
      </w:r>
      <w:r w:rsidR="00A907B7" w:rsidRPr="009C734F">
        <w:rPr>
          <w:rFonts w:ascii="Times New Roman" w:hAnsi="Times New Roman" w:cs="Times New Roman"/>
          <w:sz w:val="28"/>
          <w:szCs w:val="28"/>
          <w:lang w:val="uk-UA"/>
        </w:rPr>
        <w:t xml:space="preserve">; </w:t>
      </w:r>
      <w:r w:rsidR="00A33B54" w:rsidRPr="009C734F">
        <w:rPr>
          <w:rFonts w:ascii="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compared with those of the comparison group</w:t>
      </w:r>
      <w:r w:rsidR="00A907B7" w:rsidRPr="009C734F">
        <w:rPr>
          <w:rFonts w:ascii="Times New Roman" w:hAnsi="Times New Roman" w:cs="Times New Roman"/>
          <w:sz w:val="28"/>
          <w:szCs w:val="28"/>
          <w:lang w:val="uk-UA"/>
        </w:rPr>
        <w:t>.</w:t>
      </w:r>
    </w:p>
    <w:p w:rsidR="00AD22D5" w:rsidRPr="009C734F" w:rsidRDefault="00AD22D5" w:rsidP="00F80E0B">
      <w:pPr>
        <w:spacing w:after="0" w:line="240" w:lineRule="auto"/>
        <w:ind w:firstLine="709"/>
        <w:jc w:val="both"/>
        <w:rPr>
          <w:rFonts w:ascii="Times New Roman" w:hAnsi="Times New Roman" w:cs="Times New Roman"/>
          <w:sz w:val="28"/>
          <w:szCs w:val="28"/>
          <w:lang w:val="uk-UA"/>
        </w:rPr>
      </w:pP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The results indicate that the expressed deficiency of T lymphocytes and reduce their functional activity initiates infringement mechanisms regulating both cellular and </w:t>
      </w:r>
      <w:proofErr w:type="spellStart"/>
      <w:r w:rsidRPr="009C734F">
        <w:rPr>
          <w:rFonts w:ascii="Times New Roman" w:eastAsia="Times New Roman" w:hAnsi="Times New Roman" w:cs="Times New Roman"/>
          <w:sz w:val="28"/>
          <w:szCs w:val="28"/>
          <w:lang w:val="en-US"/>
        </w:rPr>
        <w:t>humoral</w:t>
      </w:r>
      <w:proofErr w:type="spellEnd"/>
      <w:r w:rsidRPr="009C734F">
        <w:rPr>
          <w:rFonts w:ascii="Times New Roman" w:eastAsia="Times New Roman" w:hAnsi="Times New Roman" w:cs="Times New Roman"/>
          <w:sz w:val="28"/>
          <w:szCs w:val="28"/>
          <w:lang w:val="en-US"/>
        </w:rPr>
        <w:t xml:space="preserve"> responses, resulting in the loss of tolerance in lymphocytes to </w:t>
      </w:r>
      <w:proofErr w:type="spellStart"/>
      <w:r w:rsidRPr="009C734F">
        <w:rPr>
          <w:rFonts w:ascii="Times New Roman" w:eastAsia="Times New Roman" w:hAnsi="Times New Roman" w:cs="Times New Roman"/>
          <w:sz w:val="28"/>
          <w:szCs w:val="28"/>
          <w:lang w:val="en-US"/>
        </w:rPr>
        <w:t>avtoantyheniv</w:t>
      </w:r>
      <w:proofErr w:type="spellEnd"/>
      <w:r w:rsidRPr="009C734F">
        <w:rPr>
          <w:rFonts w:ascii="Times New Roman" w:eastAsia="Times New Roman" w:hAnsi="Times New Roman" w:cs="Times New Roman"/>
          <w:sz w:val="28"/>
          <w:szCs w:val="28"/>
          <w:lang w:val="en-US"/>
        </w:rPr>
        <w:t xml:space="preserve"> and determines the possibility of </w:t>
      </w:r>
      <w:proofErr w:type="spellStart"/>
      <w:r w:rsidRPr="009C734F">
        <w:rPr>
          <w:rFonts w:ascii="Times New Roman" w:eastAsia="Times New Roman" w:hAnsi="Times New Roman" w:cs="Times New Roman"/>
          <w:sz w:val="28"/>
          <w:szCs w:val="28"/>
          <w:lang w:val="en-US"/>
        </w:rPr>
        <w:t>avtoahresyvnyh</w:t>
      </w:r>
      <w:proofErr w:type="spellEnd"/>
      <w:r w:rsidRPr="009C734F">
        <w:rPr>
          <w:rFonts w:ascii="Times New Roman" w:eastAsia="Times New Roman" w:hAnsi="Times New Roman" w:cs="Times New Roman"/>
          <w:sz w:val="28"/>
          <w:szCs w:val="28"/>
          <w:lang w:val="en-US"/>
        </w:rPr>
        <w:t xml:space="preserve"> reactions with high B-cell immune response as overproduction of </w:t>
      </w:r>
      <w:proofErr w:type="spellStart"/>
      <w:r w:rsidRPr="009C734F">
        <w:rPr>
          <w:rFonts w:ascii="Times New Roman" w:eastAsia="Times New Roman" w:hAnsi="Times New Roman" w:cs="Times New Roman"/>
          <w:sz w:val="28"/>
          <w:szCs w:val="28"/>
          <w:lang w:val="en-US"/>
        </w:rPr>
        <w:t>autoantibodies</w:t>
      </w:r>
      <w:proofErr w:type="spellEnd"/>
      <w:r w:rsidRPr="009C734F">
        <w:rPr>
          <w:rFonts w:ascii="Times New Roman" w:eastAsia="Times New Roman" w:hAnsi="Times New Roman" w:cs="Times New Roman"/>
          <w:sz w:val="28"/>
          <w:szCs w:val="28"/>
          <w:lang w:val="en-US"/>
        </w:rPr>
        <w:t xml:space="preserve"> </w:t>
      </w:r>
      <w:r w:rsidR="00C53B99" w:rsidRPr="009C734F">
        <w:rPr>
          <w:rFonts w:ascii="Times New Roman" w:eastAsia="Times New Roman" w:hAnsi="Times New Roman" w:cs="Times New Roman"/>
          <w:sz w:val="28"/>
          <w:szCs w:val="28"/>
          <w:lang w:val="en-US"/>
        </w:rPr>
        <w:t>[</w:t>
      </w:r>
      <w:hyperlink r:id="rId17" w:anchor="_Ref459720377" w:tooltip="_Ref459720377" w:history="1">
        <w:r w:rsidRPr="009C734F">
          <w:rPr>
            <w:rFonts w:ascii="Times New Roman" w:eastAsia="Times New Roman" w:hAnsi="Times New Roman" w:cs="Times New Roman"/>
            <w:sz w:val="28"/>
            <w:szCs w:val="28"/>
            <w:lang w:val="en-US"/>
          </w:rPr>
          <w:t>1</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8" w:anchor="_Ref459720393" w:tooltip="_Ref459720393" w:history="1">
        <w:r w:rsidRPr="009C734F">
          <w:rPr>
            <w:rFonts w:ascii="Times New Roman" w:eastAsia="Times New Roman" w:hAnsi="Times New Roman" w:cs="Times New Roman"/>
            <w:sz w:val="28"/>
            <w:szCs w:val="28"/>
            <w:lang w:val="en-US"/>
          </w:rPr>
          <w:t>4</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19" w:anchor="_Ref459720398" w:tooltip="_Ref459720398" w:history="1">
        <w:r w:rsidRPr="009C734F">
          <w:rPr>
            <w:rFonts w:ascii="Times New Roman" w:eastAsia="Times New Roman" w:hAnsi="Times New Roman" w:cs="Times New Roman"/>
            <w:sz w:val="28"/>
            <w:szCs w:val="28"/>
            <w:lang w:val="en-US"/>
          </w:rPr>
          <w:t>5</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Thus, lack of suppressor function of T-cells and B cell hyperactivity on </w:t>
      </w:r>
      <w:proofErr w:type="spellStart"/>
      <w:r w:rsidRPr="009C734F">
        <w:rPr>
          <w:rFonts w:ascii="Times New Roman" w:eastAsia="Times New Roman" w:hAnsi="Times New Roman" w:cs="Times New Roman"/>
          <w:sz w:val="28"/>
          <w:szCs w:val="28"/>
          <w:lang w:val="en-US"/>
        </w:rPr>
        <w:t>avtoantyheniv</w:t>
      </w:r>
      <w:proofErr w:type="spellEnd"/>
      <w:r w:rsidRPr="009C734F">
        <w:rPr>
          <w:rFonts w:ascii="Times New Roman" w:eastAsia="Times New Roman" w:hAnsi="Times New Roman" w:cs="Times New Roman"/>
          <w:sz w:val="28"/>
          <w:szCs w:val="28"/>
          <w:lang w:val="en-US"/>
        </w:rPr>
        <w:t xml:space="preserve"> can cause the development of autoimmune reactions in these patients.</w:t>
      </w:r>
    </w:p>
    <w:p w:rsidR="00612323" w:rsidRPr="009C734F" w:rsidRDefault="005B40D0" w:rsidP="00F80E0B">
      <w:pPr>
        <w:spacing w:after="0" w:line="240" w:lineRule="auto"/>
        <w:ind w:firstLine="709"/>
        <w:jc w:val="both"/>
        <w:rPr>
          <w:rFonts w:ascii="Times New Roman" w:hAnsi="Times New Roman" w:cs="Times New Roman"/>
          <w:sz w:val="28"/>
          <w:szCs w:val="28"/>
          <w:lang w:val="uk-UA"/>
        </w:rPr>
      </w:pPr>
      <w:r w:rsidRPr="009C734F">
        <w:rPr>
          <w:rFonts w:ascii="Times New Roman" w:eastAsia="Times New Roman" w:hAnsi="Times New Roman" w:cs="Times New Roman"/>
          <w:sz w:val="28"/>
          <w:szCs w:val="28"/>
          <w:lang w:val="en-US"/>
        </w:rPr>
        <w:t xml:space="preserve">During the research activity of lymphocytes in </w:t>
      </w:r>
      <w:proofErr w:type="spellStart"/>
      <w:r w:rsidRPr="009C734F">
        <w:rPr>
          <w:rFonts w:ascii="Times New Roman" w:eastAsia="Times New Roman" w:hAnsi="Times New Roman" w:cs="Times New Roman"/>
          <w:sz w:val="28"/>
          <w:szCs w:val="28"/>
          <w:lang w:val="en-US"/>
        </w:rPr>
        <w:t>autologous</w:t>
      </w:r>
      <w:proofErr w:type="spellEnd"/>
      <w:r w:rsidRPr="009C734F">
        <w:rPr>
          <w:rFonts w:ascii="Times New Roman" w:eastAsia="Times New Roman" w:hAnsi="Times New Roman" w:cs="Times New Roman"/>
          <w:sz w:val="28"/>
          <w:szCs w:val="28"/>
          <w:lang w:val="en-US"/>
        </w:rPr>
        <w:t xml:space="preserve"> </w:t>
      </w:r>
      <w:proofErr w:type="spellStart"/>
      <w:r w:rsidRPr="009C734F">
        <w:rPr>
          <w:rFonts w:ascii="Times New Roman" w:eastAsia="Times New Roman" w:hAnsi="Times New Roman" w:cs="Times New Roman"/>
          <w:sz w:val="28"/>
          <w:szCs w:val="28"/>
          <w:lang w:val="en-US"/>
        </w:rPr>
        <w:t>rozetkoutvoreppi</w:t>
      </w:r>
      <w:proofErr w:type="spellEnd"/>
      <w:r w:rsidRPr="009C734F">
        <w:rPr>
          <w:rFonts w:ascii="Times New Roman" w:eastAsia="Times New Roman" w:hAnsi="Times New Roman" w:cs="Times New Roman"/>
          <w:sz w:val="28"/>
          <w:szCs w:val="28"/>
          <w:lang w:val="en-US"/>
        </w:rPr>
        <w:t xml:space="preserve"> in COPD patients recorded a significant damaging effect of whole anthological serum for their own white blood cells (Table. 2). The research activity of various fractions of blood serum, transporting toxins, showed that the damaging action was common to all the factions, but the leading role played globulin fraction and the compounds of medium size (10-200 nm).</w:t>
      </w:r>
    </w:p>
    <w:p w:rsidR="00041B46" w:rsidRPr="009C734F" w:rsidRDefault="005B40D0" w:rsidP="00F80E0B">
      <w:pPr>
        <w:spacing w:after="0" w:line="240" w:lineRule="auto"/>
        <w:ind w:firstLine="709"/>
        <w:jc w:val="right"/>
        <w:rPr>
          <w:rFonts w:ascii="Times New Roman" w:hAnsi="Times New Roman" w:cs="Times New Roman"/>
          <w:sz w:val="28"/>
          <w:szCs w:val="28"/>
          <w:lang w:val="en-US"/>
        </w:rPr>
      </w:pPr>
      <w:r w:rsidRPr="009C734F">
        <w:rPr>
          <w:rFonts w:ascii="Times New Roman" w:hAnsi="Times New Roman" w:cs="Times New Roman"/>
          <w:sz w:val="28"/>
          <w:szCs w:val="28"/>
          <w:lang w:val="en-US"/>
        </w:rPr>
        <w:t>Table 2</w:t>
      </w:r>
    </w:p>
    <w:p w:rsidR="00041B46" w:rsidRPr="009C734F" w:rsidRDefault="005B40D0" w:rsidP="00F80E0B">
      <w:pPr>
        <w:spacing w:after="0" w:line="240" w:lineRule="auto"/>
        <w:jc w:val="center"/>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Indicators of lymphocytes activity in </w:t>
      </w:r>
      <w:proofErr w:type="spellStart"/>
      <w:r w:rsidRPr="009C734F">
        <w:rPr>
          <w:rFonts w:ascii="Times New Roman" w:eastAsia="Times New Roman" w:hAnsi="Times New Roman" w:cs="Times New Roman"/>
          <w:sz w:val="28"/>
          <w:szCs w:val="28"/>
          <w:lang w:val="en-US"/>
        </w:rPr>
        <w:t>autologous</w:t>
      </w:r>
      <w:proofErr w:type="spellEnd"/>
      <w:r w:rsidRPr="009C734F">
        <w:rPr>
          <w:rFonts w:ascii="Times New Roman" w:eastAsia="Times New Roman" w:hAnsi="Times New Roman" w:cs="Times New Roman"/>
          <w:sz w:val="28"/>
          <w:szCs w:val="28"/>
          <w:lang w:val="en-US"/>
        </w:rPr>
        <w:t xml:space="preserve"> rosette in the patients examined </w:t>
      </w:r>
    </w:p>
    <w:tbl>
      <w:tblPr>
        <w:tblW w:w="0" w:type="auto"/>
        <w:tblLayout w:type="fixed"/>
        <w:tblCellMar>
          <w:left w:w="0" w:type="dxa"/>
          <w:right w:w="0" w:type="dxa"/>
        </w:tblCellMar>
        <w:tblLook w:val="0000"/>
      </w:tblPr>
      <w:tblGrid>
        <w:gridCol w:w="3119"/>
        <w:gridCol w:w="1945"/>
        <w:gridCol w:w="2270"/>
        <w:gridCol w:w="2098"/>
      </w:tblGrid>
      <w:tr w:rsidR="00A33B54" w:rsidRPr="009C734F" w:rsidTr="00A33B54">
        <w:trPr>
          <w:trHeight w:val="446"/>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100"/>
              <w:shd w:val="clear" w:color="auto" w:fill="auto"/>
              <w:spacing w:line="240" w:lineRule="auto"/>
              <w:ind w:left="10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Studied indicators</w:t>
            </w:r>
          </w:p>
        </w:tc>
        <w:tc>
          <w:tcPr>
            <w:tcW w:w="1945" w:type="dxa"/>
            <w:tcBorders>
              <w:top w:val="single" w:sz="4" w:space="0" w:color="auto"/>
              <w:left w:val="nil"/>
              <w:bottom w:val="single" w:sz="4" w:space="0" w:color="auto"/>
              <w:right w:val="nil"/>
            </w:tcBorders>
            <w:shd w:val="clear" w:color="auto" w:fill="FFFFFF"/>
          </w:tcPr>
          <w:p w:rsidR="00A33B54" w:rsidRPr="009C734F" w:rsidRDefault="005B40D0" w:rsidP="00F80E0B">
            <w:pPr>
              <w:pStyle w:val="100"/>
              <w:shd w:val="clear" w:color="auto" w:fill="auto"/>
              <w:spacing w:line="240" w:lineRule="auto"/>
              <w:ind w:right="48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00A33B54" w:rsidRPr="009C734F">
              <w:rPr>
                <w:rFonts w:ascii="Times New Roman" w:hAnsi="Times New Roman" w:cs="Times New Roman"/>
                <w:sz w:val="28"/>
                <w:szCs w:val="28"/>
                <w:lang w:val="uk-UA"/>
              </w:rPr>
              <w:t>(</w:t>
            </w:r>
            <w:r w:rsidR="00A33B54" w:rsidRPr="009C734F">
              <w:rPr>
                <w:rFonts w:ascii="Times New Roman" w:hAnsi="Times New Roman" w:cs="Times New Roman"/>
                <w:sz w:val="28"/>
                <w:szCs w:val="28"/>
                <w:lang w:val="en-US"/>
              </w:rPr>
              <w:t>n</w:t>
            </w:r>
            <w:r w:rsidR="00A33B54" w:rsidRPr="009C734F">
              <w:rPr>
                <w:rFonts w:ascii="Times New Roman" w:hAnsi="Times New Roman" w:cs="Times New Roman"/>
                <w:sz w:val="28"/>
                <w:szCs w:val="28"/>
                <w:lang w:val="uk-UA"/>
              </w:rPr>
              <w:t>=32)</w:t>
            </w:r>
          </w:p>
        </w:tc>
        <w:tc>
          <w:tcPr>
            <w:tcW w:w="2270" w:type="dxa"/>
            <w:tcBorders>
              <w:top w:val="single" w:sz="4" w:space="0" w:color="auto"/>
              <w:left w:val="nil"/>
              <w:bottom w:val="single" w:sz="4" w:space="0" w:color="auto"/>
              <w:right w:val="nil"/>
            </w:tcBorders>
            <w:shd w:val="clear" w:color="auto" w:fill="FFFFFF"/>
          </w:tcPr>
          <w:p w:rsidR="00A33B54" w:rsidRPr="009C734F" w:rsidRDefault="005B40D0"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 xml:space="preserve">and CP </w:t>
            </w:r>
            <w:r w:rsidR="00A33B54" w:rsidRPr="009C734F">
              <w:rPr>
                <w:rFonts w:ascii="Times New Roman" w:hAnsi="Times New Roman" w:cs="Times New Roman"/>
                <w:sz w:val="28"/>
                <w:szCs w:val="28"/>
                <w:lang w:val="uk-UA"/>
              </w:rPr>
              <w:t>(</w:t>
            </w:r>
            <w:r w:rsidR="00A33B54" w:rsidRPr="009C734F">
              <w:rPr>
                <w:rFonts w:ascii="Times New Roman" w:hAnsi="Times New Roman" w:cs="Times New Roman"/>
                <w:sz w:val="28"/>
                <w:szCs w:val="28"/>
                <w:lang w:val="en-US"/>
              </w:rPr>
              <w:t>n</w:t>
            </w:r>
            <w:r w:rsidR="00A33B54" w:rsidRPr="009C734F">
              <w:rPr>
                <w:rFonts w:ascii="Times New Roman" w:hAnsi="Times New Roman" w:cs="Times New Roman"/>
                <w:sz w:val="28"/>
                <w:szCs w:val="28"/>
                <w:lang w:val="uk-UA"/>
              </w:rPr>
              <w:t>=47)</w:t>
            </w:r>
          </w:p>
        </w:tc>
        <w:tc>
          <w:tcPr>
            <w:tcW w:w="2098" w:type="dxa"/>
            <w:tcBorders>
              <w:top w:val="single" w:sz="4" w:space="0" w:color="auto"/>
              <w:left w:val="nil"/>
              <w:bottom w:val="single" w:sz="4" w:space="0" w:color="auto"/>
              <w:right w:val="nil"/>
            </w:tcBorders>
            <w:shd w:val="clear" w:color="auto" w:fill="FFFFFF"/>
          </w:tcPr>
          <w:p w:rsidR="00A33B54" w:rsidRPr="009C734F" w:rsidRDefault="005B40D0"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Control group</w:t>
            </w:r>
            <w:r w:rsidRPr="009C734F">
              <w:rPr>
                <w:rFonts w:ascii="Times New Roman" w:hAnsi="Times New Roman" w:cs="Times New Roman"/>
                <w:sz w:val="28"/>
                <w:szCs w:val="28"/>
                <w:lang w:val="uk-UA"/>
              </w:rPr>
              <w:t xml:space="preserve"> </w:t>
            </w:r>
            <w:r w:rsidR="00A33B54" w:rsidRPr="009C734F">
              <w:rPr>
                <w:rFonts w:ascii="Times New Roman" w:hAnsi="Times New Roman" w:cs="Times New Roman"/>
                <w:sz w:val="28"/>
                <w:szCs w:val="28"/>
                <w:lang w:val="uk-UA"/>
              </w:rPr>
              <w:t>(</w:t>
            </w:r>
            <w:r w:rsidR="00A33B54" w:rsidRPr="009C734F">
              <w:rPr>
                <w:rFonts w:ascii="Times New Roman" w:hAnsi="Times New Roman" w:cs="Times New Roman"/>
                <w:sz w:val="28"/>
                <w:szCs w:val="28"/>
                <w:lang w:val="en-US"/>
              </w:rPr>
              <w:t>n</w:t>
            </w:r>
            <w:r w:rsidR="00A33B54" w:rsidRPr="009C734F">
              <w:rPr>
                <w:rFonts w:ascii="Times New Roman" w:hAnsi="Times New Roman" w:cs="Times New Roman"/>
                <w:sz w:val="28"/>
                <w:szCs w:val="28"/>
                <w:lang w:val="uk-UA"/>
              </w:rPr>
              <w:t>=20)</w:t>
            </w:r>
          </w:p>
        </w:tc>
      </w:tr>
      <w:tr w:rsidR="00A33B54" w:rsidRPr="009C734F" w:rsidTr="00A33B54">
        <w:trPr>
          <w:trHeight w:val="240"/>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proofErr w:type="spellStart"/>
            <w:r w:rsidRPr="009C734F">
              <w:rPr>
                <w:rFonts w:ascii="Times New Roman" w:eastAsia="Times New Roman" w:hAnsi="Times New Roman" w:cs="Times New Roman"/>
                <w:sz w:val="28"/>
                <w:szCs w:val="28"/>
              </w:rPr>
              <w:t>Spontaneous</w:t>
            </w:r>
            <w:proofErr w:type="spellEnd"/>
            <w:r w:rsidRPr="009C734F">
              <w:rPr>
                <w:rFonts w:ascii="Times New Roman" w:eastAsia="Times New Roman" w:hAnsi="Times New Roman" w:cs="Times New Roman"/>
                <w:sz w:val="28"/>
                <w:szCs w:val="28"/>
              </w:rPr>
              <w:t xml:space="preserve"> </w:t>
            </w:r>
            <w:r w:rsidRPr="009C734F">
              <w:rPr>
                <w:rFonts w:ascii="Times New Roman" w:eastAsia="Times New Roman" w:hAnsi="Times New Roman" w:cs="Times New Roman"/>
                <w:sz w:val="28"/>
                <w:szCs w:val="28"/>
                <w:lang w:val="en-US"/>
              </w:rPr>
              <w:t>reaction</w:t>
            </w:r>
            <w:r w:rsidR="00A33B54" w:rsidRPr="009C734F">
              <w:rPr>
                <w:rFonts w:ascii="Times New Roman" w:hAnsi="Times New Roman" w:cs="Times New Roman"/>
                <w:sz w:val="28"/>
                <w:szCs w:val="28"/>
                <w:lang w:val="uk-UA"/>
              </w:rPr>
              <w:t>, %</w:t>
            </w:r>
          </w:p>
        </w:tc>
        <w:tc>
          <w:tcPr>
            <w:tcW w:w="1945"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right="48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22,45±0,97*</w:t>
            </w:r>
          </w:p>
        </w:tc>
        <w:tc>
          <w:tcPr>
            <w:tcW w:w="2270"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25,17±0,84*/**</w:t>
            </w:r>
          </w:p>
        </w:tc>
        <w:tc>
          <w:tcPr>
            <w:tcW w:w="2098"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15,22±0,89</w:t>
            </w:r>
          </w:p>
        </w:tc>
      </w:tr>
      <w:tr w:rsidR="00A33B54" w:rsidRPr="009C734F" w:rsidTr="00A33B54">
        <w:trPr>
          <w:trHeight w:val="240"/>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proofErr w:type="spellStart"/>
            <w:r w:rsidRPr="009C734F">
              <w:rPr>
                <w:rFonts w:ascii="Times New Roman" w:eastAsia="Times New Roman" w:hAnsi="Times New Roman" w:cs="Times New Roman"/>
                <w:sz w:val="28"/>
                <w:szCs w:val="28"/>
              </w:rPr>
              <w:lastRenderedPageBreak/>
              <w:t>Autologous</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blood</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serum</w:t>
            </w:r>
            <w:proofErr w:type="spellEnd"/>
            <w:r w:rsidR="00A33B54" w:rsidRPr="009C734F">
              <w:rPr>
                <w:rFonts w:ascii="Times New Roman" w:hAnsi="Times New Roman" w:cs="Times New Roman"/>
                <w:sz w:val="28"/>
                <w:szCs w:val="28"/>
                <w:lang w:val="uk-UA"/>
              </w:rPr>
              <w:t>, %</w:t>
            </w:r>
          </w:p>
        </w:tc>
        <w:tc>
          <w:tcPr>
            <w:tcW w:w="1945"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right="48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50,9±3,4*</w:t>
            </w:r>
          </w:p>
        </w:tc>
        <w:tc>
          <w:tcPr>
            <w:tcW w:w="2270"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61,7±2,7*/**</w:t>
            </w:r>
          </w:p>
        </w:tc>
        <w:tc>
          <w:tcPr>
            <w:tcW w:w="2098"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20,2</w:t>
            </w:r>
            <w:r w:rsidR="00414377"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±0,12</w:t>
            </w:r>
          </w:p>
        </w:tc>
      </w:tr>
      <w:tr w:rsidR="00A33B54" w:rsidRPr="009C734F" w:rsidTr="00A33B54">
        <w:trPr>
          <w:trHeight w:val="240"/>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proofErr w:type="spellStart"/>
            <w:r w:rsidRPr="009C734F">
              <w:rPr>
                <w:rFonts w:ascii="Times New Roman" w:eastAsia="Times New Roman" w:hAnsi="Times New Roman" w:cs="Times New Roman"/>
                <w:sz w:val="28"/>
                <w:szCs w:val="28"/>
              </w:rPr>
              <w:t>Albumin</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fraction</w:t>
            </w:r>
            <w:proofErr w:type="spellEnd"/>
            <w:r w:rsidR="00A33B54" w:rsidRPr="009C734F">
              <w:rPr>
                <w:rFonts w:ascii="Times New Roman" w:hAnsi="Times New Roman" w:cs="Times New Roman"/>
                <w:sz w:val="28"/>
                <w:szCs w:val="28"/>
                <w:lang w:val="uk-UA"/>
              </w:rPr>
              <w:t>, %</w:t>
            </w:r>
          </w:p>
        </w:tc>
        <w:tc>
          <w:tcPr>
            <w:tcW w:w="1945"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right="48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38,5±2,3*</w:t>
            </w:r>
          </w:p>
        </w:tc>
        <w:tc>
          <w:tcPr>
            <w:tcW w:w="2270"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62,6±2,7*/**</w:t>
            </w:r>
          </w:p>
        </w:tc>
        <w:tc>
          <w:tcPr>
            <w:tcW w:w="2098"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19,5</w:t>
            </w:r>
            <w:r w:rsidR="00414377"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±0,85</w:t>
            </w:r>
          </w:p>
        </w:tc>
      </w:tr>
      <w:tr w:rsidR="00A33B54" w:rsidRPr="009C734F" w:rsidTr="00A33B54">
        <w:trPr>
          <w:trHeight w:val="240"/>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proofErr w:type="spellStart"/>
            <w:r w:rsidRPr="009C734F">
              <w:rPr>
                <w:rFonts w:ascii="Times New Roman" w:eastAsia="Times New Roman" w:hAnsi="Times New Roman" w:cs="Times New Roman"/>
                <w:sz w:val="28"/>
                <w:szCs w:val="28"/>
              </w:rPr>
              <w:t>Globulin</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fraction</w:t>
            </w:r>
            <w:proofErr w:type="spellEnd"/>
            <w:r w:rsidR="00A33B54" w:rsidRPr="009C734F">
              <w:rPr>
                <w:rFonts w:ascii="Times New Roman" w:hAnsi="Times New Roman" w:cs="Times New Roman"/>
                <w:sz w:val="28"/>
                <w:szCs w:val="28"/>
                <w:lang w:val="uk-UA"/>
              </w:rPr>
              <w:t>, %</w:t>
            </w:r>
          </w:p>
        </w:tc>
        <w:tc>
          <w:tcPr>
            <w:tcW w:w="1945"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right="48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52,8±4,2*</w:t>
            </w:r>
          </w:p>
        </w:tc>
        <w:tc>
          <w:tcPr>
            <w:tcW w:w="2270"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68,9±3,4*/**</w:t>
            </w:r>
          </w:p>
        </w:tc>
        <w:tc>
          <w:tcPr>
            <w:tcW w:w="2098"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12,2</w:t>
            </w:r>
            <w:r w:rsidR="00414377"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±0,37</w:t>
            </w:r>
          </w:p>
        </w:tc>
      </w:tr>
      <w:tr w:rsidR="00A33B54" w:rsidRPr="009C734F" w:rsidTr="00A33B54">
        <w:trPr>
          <w:trHeight w:val="254"/>
        </w:trPr>
        <w:tc>
          <w:tcPr>
            <w:tcW w:w="3119" w:type="dxa"/>
            <w:tcBorders>
              <w:top w:val="single" w:sz="4" w:space="0" w:color="auto"/>
              <w:left w:val="nil"/>
              <w:bottom w:val="single" w:sz="4" w:space="0" w:color="auto"/>
              <w:right w:val="nil"/>
            </w:tcBorders>
            <w:shd w:val="clear" w:color="auto" w:fill="FFFFFF"/>
          </w:tcPr>
          <w:p w:rsidR="00A33B54" w:rsidRPr="009C734F" w:rsidRDefault="005B40D0"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eastAsia="Times New Roman" w:hAnsi="Times New Roman" w:cs="Times New Roman"/>
                <w:sz w:val="28"/>
                <w:szCs w:val="28"/>
                <w:lang w:val="en-US"/>
              </w:rPr>
              <w:t>Fraction of medium-size compounds</w:t>
            </w:r>
            <w:r w:rsidR="00A33B54" w:rsidRPr="009C734F">
              <w:rPr>
                <w:rFonts w:ascii="Times New Roman" w:hAnsi="Times New Roman" w:cs="Times New Roman"/>
                <w:sz w:val="28"/>
                <w:szCs w:val="28"/>
                <w:lang w:val="uk-UA"/>
              </w:rPr>
              <w:t>, %</w:t>
            </w:r>
          </w:p>
        </w:tc>
        <w:tc>
          <w:tcPr>
            <w:tcW w:w="1945"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right="48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56,8±2,7*</w:t>
            </w:r>
          </w:p>
        </w:tc>
        <w:tc>
          <w:tcPr>
            <w:tcW w:w="2270"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48,7±2,5*/**</w:t>
            </w:r>
          </w:p>
        </w:tc>
        <w:tc>
          <w:tcPr>
            <w:tcW w:w="2098" w:type="dxa"/>
            <w:tcBorders>
              <w:top w:val="single" w:sz="4" w:space="0" w:color="auto"/>
              <w:left w:val="nil"/>
              <w:bottom w:val="single" w:sz="4" w:space="0" w:color="auto"/>
              <w:right w:val="nil"/>
            </w:tcBorders>
            <w:shd w:val="clear" w:color="auto" w:fill="FFFFFF"/>
          </w:tcPr>
          <w:p w:rsidR="00A33B54" w:rsidRPr="009C734F" w:rsidRDefault="00A33B54"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15,2</w:t>
            </w:r>
            <w:r w:rsidR="00414377"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±0,39</w:t>
            </w:r>
          </w:p>
        </w:tc>
      </w:tr>
    </w:tbl>
    <w:p w:rsidR="00041B46" w:rsidRPr="009C734F" w:rsidRDefault="00041B46" w:rsidP="00F80E0B">
      <w:pPr>
        <w:spacing w:after="0" w:line="240" w:lineRule="auto"/>
        <w:jc w:val="center"/>
        <w:rPr>
          <w:rFonts w:ascii="Times New Roman" w:hAnsi="Times New Roman" w:cs="Times New Roman"/>
          <w:sz w:val="28"/>
          <w:szCs w:val="28"/>
          <w:lang w:val="uk-UA"/>
        </w:rPr>
      </w:pPr>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Increased toxins medium-sized and major factions, transporting toxins in patients with COPD is seen as an indicator of the severity of </w:t>
      </w:r>
      <w:proofErr w:type="spellStart"/>
      <w:r w:rsidRPr="009C734F">
        <w:rPr>
          <w:rFonts w:ascii="Times New Roman" w:eastAsia="Times New Roman" w:hAnsi="Times New Roman" w:cs="Times New Roman"/>
          <w:sz w:val="28"/>
          <w:szCs w:val="28"/>
          <w:lang w:val="en-US"/>
        </w:rPr>
        <w:t>endotoxemia</w:t>
      </w:r>
      <w:proofErr w:type="spellEnd"/>
      <w:r w:rsidRPr="009C734F">
        <w:rPr>
          <w:rFonts w:ascii="Times New Roman" w:eastAsia="Times New Roman" w:hAnsi="Times New Roman" w:cs="Times New Roman"/>
          <w:sz w:val="28"/>
          <w:szCs w:val="28"/>
          <w:lang w:val="en-US"/>
        </w:rPr>
        <w:t xml:space="preserve"> syndrome which has arisen as a result of destabilization of cell membranes. </w:t>
      </w:r>
      <w:proofErr w:type="gramStart"/>
      <w:r w:rsidRPr="009C734F">
        <w:rPr>
          <w:rFonts w:ascii="Times New Roman" w:eastAsia="Times New Roman" w:hAnsi="Times New Roman" w:cs="Times New Roman"/>
          <w:sz w:val="28"/>
          <w:szCs w:val="28"/>
          <w:lang w:val="en-US"/>
        </w:rPr>
        <w:t xml:space="preserve">High activity of these factions, apparently caused by the accumulation of serum </w:t>
      </w:r>
      <w:proofErr w:type="spellStart"/>
      <w:r w:rsidRPr="009C734F">
        <w:rPr>
          <w:rFonts w:ascii="Times New Roman" w:eastAsia="Times New Roman" w:hAnsi="Times New Roman" w:cs="Times New Roman"/>
          <w:sz w:val="28"/>
          <w:szCs w:val="28"/>
          <w:lang w:val="en-US"/>
        </w:rPr>
        <w:t>avtoahresyvnyh</w:t>
      </w:r>
      <w:proofErr w:type="spellEnd"/>
      <w:r w:rsidRPr="009C734F">
        <w:rPr>
          <w:rFonts w:ascii="Times New Roman" w:eastAsia="Times New Roman" w:hAnsi="Times New Roman" w:cs="Times New Roman"/>
          <w:sz w:val="28"/>
          <w:szCs w:val="28"/>
          <w:lang w:val="en-US"/>
        </w:rPr>
        <w:t xml:space="preserve"> damaging substances direct action and MSM.</w:t>
      </w:r>
      <w:proofErr w:type="gramEnd"/>
    </w:p>
    <w:p w:rsidR="005B40D0" w:rsidRPr="009C734F" w:rsidRDefault="005B40D0"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In patients with COPD combined course and </w:t>
      </w:r>
      <w:r w:rsidR="009C734F">
        <w:rPr>
          <w:rFonts w:ascii="Times New Roman" w:eastAsia="Times New Roman" w:hAnsi="Times New Roman" w:cs="Times New Roman"/>
          <w:sz w:val="28"/>
          <w:szCs w:val="28"/>
          <w:lang w:val="en-US"/>
        </w:rPr>
        <w:t>CP</w:t>
      </w:r>
      <w:r w:rsidRPr="009C734F">
        <w:rPr>
          <w:rFonts w:ascii="Times New Roman" w:eastAsia="Times New Roman" w:hAnsi="Times New Roman" w:cs="Times New Roman"/>
          <w:sz w:val="28"/>
          <w:szCs w:val="28"/>
          <w:lang w:val="en-US"/>
        </w:rPr>
        <w:t xml:space="preserve"> also determined performance increase </w:t>
      </w:r>
      <w:proofErr w:type="spellStart"/>
      <w:r w:rsidRPr="009C734F">
        <w:rPr>
          <w:rFonts w:ascii="Times New Roman" w:eastAsia="Times New Roman" w:hAnsi="Times New Roman" w:cs="Times New Roman"/>
          <w:sz w:val="28"/>
          <w:szCs w:val="28"/>
          <w:lang w:val="en-US"/>
        </w:rPr>
        <w:t>cytolytic</w:t>
      </w:r>
      <w:proofErr w:type="spellEnd"/>
      <w:r w:rsidRPr="009C734F">
        <w:rPr>
          <w:rFonts w:ascii="Times New Roman" w:eastAsia="Times New Roman" w:hAnsi="Times New Roman" w:cs="Times New Roman"/>
          <w:sz w:val="28"/>
          <w:szCs w:val="28"/>
          <w:lang w:val="en-US"/>
        </w:rPr>
        <w:t xml:space="preserve"> activity anthological serum for their own white blood cells. Although less intense accumulation of toxins of medium size, they contribute to the syndrome of endogenous intoxication rather significant. The research activity of various substances serum transporting toxins showed the presence of significant damaging action mainly albumin globulin fractions and serum.</w:t>
      </w:r>
      <w:r w:rsidR="009C734F">
        <w:rPr>
          <w:rFonts w:ascii="Times New Roman" w:eastAsia="Times New Roman" w:hAnsi="Times New Roman" w:cs="Times New Roman"/>
          <w:sz w:val="28"/>
          <w:szCs w:val="28"/>
          <w:lang w:val="en-US"/>
        </w:rPr>
        <w:t xml:space="preserve"> </w:t>
      </w:r>
      <w:proofErr w:type="gramStart"/>
      <w:r w:rsidRPr="009C734F">
        <w:rPr>
          <w:rFonts w:ascii="Times New Roman" w:eastAsia="Times New Roman" w:hAnsi="Times New Roman" w:cs="Times New Roman"/>
          <w:sz w:val="28"/>
          <w:szCs w:val="28"/>
          <w:lang w:val="en-US"/>
        </w:rPr>
        <w:t>This redistribution active fractions</w:t>
      </w:r>
      <w:proofErr w:type="gramEnd"/>
      <w:r w:rsidRPr="009C734F">
        <w:rPr>
          <w:rFonts w:ascii="Times New Roman" w:eastAsia="Times New Roman" w:hAnsi="Times New Roman" w:cs="Times New Roman"/>
          <w:sz w:val="28"/>
          <w:szCs w:val="28"/>
          <w:lang w:val="en-US"/>
        </w:rPr>
        <w:t xml:space="preserve">, transporting toxins, as compared to the comparison group suggests significant </w:t>
      </w:r>
      <w:proofErr w:type="spellStart"/>
      <w:r w:rsidRPr="009C734F">
        <w:rPr>
          <w:rFonts w:ascii="Times New Roman" w:eastAsia="Times New Roman" w:hAnsi="Times New Roman" w:cs="Times New Roman"/>
          <w:sz w:val="28"/>
          <w:szCs w:val="28"/>
          <w:lang w:val="en-US"/>
        </w:rPr>
        <w:t>decompensation</w:t>
      </w:r>
      <w:proofErr w:type="spellEnd"/>
      <w:r w:rsidRPr="009C734F">
        <w:rPr>
          <w:rFonts w:ascii="Times New Roman" w:eastAsia="Times New Roman" w:hAnsi="Times New Roman" w:cs="Times New Roman"/>
          <w:sz w:val="28"/>
          <w:szCs w:val="28"/>
          <w:lang w:val="en-US"/>
        </w:rPr>
        <w:t xml:space="preserve"> </w:t>
      </w:r>
      <w:r w:rsidR="009C734F">
        <w:rPr>
          <w:rFonts w:ascii="Times New Roman" w:eastAsia="Times New Roman" w:hAnsi="Times New Roman" w:cs="Times New Roman"/>
          <w:sz w:val="28"/>
          <w:szCs w:val="28"/>
          <w:lang w:val="en-US"/>
        </w:rPr>
        <w:t xml:space="preserve">of toxin-binding </w:t>
      </w:r>
      <w:r w:rsidRPr="009C734F">
        <w:rPr>
          <w:rFonts w:ascii="Times New Roman" w:eastAsia="Times New Roman" w:hAnsi="Times New Roman" w:cs="Times New Roman"/>
          <w:sz w:val="28"/>
          <w:szCs w:val="28"/>
          <w:lang w:val="en-US"/>
        </w:rPr>
        <w:t>ability albumin and accumulation of tissue destruction.</w:t>
      </w:r>
    </w:p>
    <w:p w:rsidR="00612323" w:rsidRPr="009C734F" w:rsidRDefault="005B40D0" w:rsidP="00F80E0B">
      <w:pPr>
        <w:spacing w:after="0" w:line="240" w:lineRule="auto"/>
        <w:ind w:firstLine="709"/>
        <w:jc w:val="both"/>
        <w:rPr>
          <w:rFonts w:ascii="Times New Roman" w:hAnsi="Times New Roman" w:cs="Times New Roman"/>
          <w:sz w:val="28"/>
          <w:szCs w:val="28"/>
          <w:lang w:val="en-US"/>
        </w:rPr>
      </w:pPr>
      <w:r w:rsidRPr="009C734F">
        <w:rPr>
          <w:rFonts w:ascii="Times New Roman" w:eastAsia="Times New Roman" w:hAnsi="Times New Roman" w:cs="Times New Roman"/>
          <w:sz w:val="28"/>
          <w:szCs w:val="28"/>
          <w:lang w:val="en-US"/>
        </w:rPr>
        <w:t>The study found patients with isolated COPD flow increased content of MSM to 0</w:t>
      </w:r>
      <w:proofErr w:type="gramStart"/>
      <w:r w:rsidRPr="009C734F">
        <w:rPr>
          <w:rFonts w:ascii="Times New Roman" w:eastAsia="Times New Roman" w:hAnsi="Times New Roman" w:cs="Times New Roman"/>
          <w:sz w:val="28"/>
          <w:szCs w:val="28"/>
          <w:lang w:val="en-US"/>
        </w:rPr>
        <w:t>,73</w:t>
      </w:r>
      <w:proofErr w:type="gramEnd"/>
      <w:r w:rsid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0,07 units. </w:t>
      </w:r>
      <w:proofErr w:type="gramStart"/>
      <w:r w:rsidRPr="009C734F">
        <w:rPr>
          <w:rFonts w:ascii="Times New Roman" w:eastAsia="Times New Roman" w:hAnsi="Times New Roman" w:cs="Times New Roman"/>
          <w:sz w:val="28"/>
          <w:szCs w:val="28"/>
          <w:lang w:val="en-US"/>
        </w:rPr>
        <w:t>opt</w:t>
      </w:r>
      <w:proofErr w:type="gramEnd"/>
      <w:r w:rsidRPr="009C734F">
        <w:rPr>
          <w:rFonts w:ascii="Times New Roman" w:eastAsia="Times New Roman" w:hAnsi="Times New Roman" w:cs="Times New Roman"/>
          <w:sz w:val="28"/>
          <w:szCs w:val="28"/>
          <w:lang w:val="en-US"/>
        </w:rPr>
        <w:t>. density, which is 1.3 times higher than in controls and confirms the development of endogenous intoxication syndrome. Significant role in its formation played an increasing fraction of hydrophobic MSM figures which 2.8 times higher than control (p &lt;0.05) (Table. 3).</w:t>
      </w:r>
    </w:p>
    <w:p w:rsidR="001816B9" w:rsidRPr="009C734F" w:rsidRDefault="005B40D0" w:rsidP="00F80E0B">
      <w:pPr>
        <w:spacing w:after="0" w:line="240" w:lineRule="auto"/>
        <w:ind w:firstLine="709"/>
        <w:jc w:val="right"/>
        <w:rPr>
          <w:rFonts w:ascii="Times New Roman" w:hAnsi="Times New Roman" w:cs="Times New Roman"/>
          <w:sz w:val="28"/>
          <w:szCs w:val="28"/>
          <w:lang w:val="en-US"/>
        </w:rPr>
      </w:pPr>
      <w:r w:rsidRPr="009C734F">
        <w:rPr>
          <w:rFonts w:ascii="Times New Roman" w:hAnsi="Times New Roman" w:cs="Times New Roman"/>
          <w:sz w:val="28"/>
          <w:szCs w:val="28"/>
          <w:lang w:val="en-US"/>
        </w:rPr>
        <w:t>Table 3</w:t>
      </w:r>
    </w:p>
    <w:p w:rsidR="00D048C7" w:rsidRPr="009C734F" w:rsidRDefault="005B40D0" w:rsidP="00F80E0B">
      <w:pPr>
        <w:spacing w:after="0" w:line="240" w:lineRule="auto"/>
        <w:jc w:val="center"/>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The content of MSM and their factions in the patients examined</w:t>
      </w:r>
    </w:p>
    <w:tbl>
      <w:tblPr>
        <w:tblW w:w="0" w:type="auto"/>
        <w:tblLayout w:type="fixed"/>
        <w:tblCellMar>
          <w:left w:w="0" w:type="dxa"/>
          <w:right w:w="0" w:type="dxa"/>
        </w:tblCellMar>
        <w:tblLook w:val="0000"/>
      </w:tblPr>
      <w:tblGrid>
        <w:gridCol w:w="3019"/>
        <w:gridCol w:w="1925"/>
        <w:gridCol w:w="2347"/>
        <w:gridCol w:w="2122"/>
      </w:tblGrid>
      <w:tr w:rsidR="005B40D0" w:rsidRPr="009C734F" w:rsidTr="00994E0C">
        <w:trPr>
          <w:trHeight w:val="446"/>
        </w:trPr>
        <w:tc>
          <w:tcPr>
            <w:tcW w:w="3019" w:type="dxa"/>
            <w:tcBorders>
              <w:top w:val="single" w:sz="4" w:space="0" w:color="auto"/>
              <w:left w:val="nil"/>
              <w:bottom w:val="single" w:sz="4" w:space="0" w:color="auto"/>
              <w:right w:val="nil"/>
            </w:tcBorders>
            <w:shd w:val="clear" w:color="auto" w:fill="FFFFFF"/>
          </w:tcPr>
          <w:p w:rsidR="005B40D0" w:rsidRPr="009C734F" w:rsidRDefault="005B40D0" w:rsidP="00F80E0B">
            <w:pPr>
              <w:pStyle w:val="100"/>
              <w:shd w:val="clear" w:color="auto" w:fill="auto"/>
              <w:spacing w:line="240" w:lineRule="auto"/>
              <w:ind w:left="10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Studied indicators</w:t>
            </w:r>
          </w:p>
        </w:tc>
        <w:tc>
          <w:tcPr>
            <w:tcW w:w="1925" w:type="dxa"/>
            <w:tcBorders>
              <w:top w:val="single" w:sz="4" w:space="0" w:color="auto"/>
              <w:left w:val="nil"/>
              <w:bottom w:val="single" w:sz="4" w:space="0" w:color="auto"/>
              <w:right w:val="nil"/>
            </w:tcBorders>
            <w:shd w:val="clear" w:color="auto" w:fill="FFFFFF"/>
          </w:tcPr>
          <w:p w:rsidR="005B40D0" w:rsidRPr="009C734F" w:rsidRDefault="005B40D0" w:rsidP="00F80E0B">
            <w:pPr>
              <w:pStyle w:val="100"/>
              <w:shd w:val="clear" w:color="auto" w:fill="auto"/>
              <w:spacing w:line="240" w:lineRule="auto"/>
              <w:ind w:right="48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=32)</w:t>
            </w:r>
          </w:p>
        </w:tc>
        <w:tc>
          <w:tcPr>
            <w:tcW w:w="2347" w:type="dxa"/>
            <w:tcBorders>
              <w:top w:val="single" w:sz="4" w:space="0" w:color="auto"/>
              <w:left w:val="nil"/>
              <w:bottom w:val="single" w:sz="4" w:space="0" w:color="auto"/>
              <w:right w:val="nil"/>
            </w:tcBorders>
            <w:shd w:val="clear" w:color="auto" w:fill="FFFFFF"/>
          </w:tcPr>
          <w:p w:rsidR="005B40D0" w:rsidRPr="009C734F" w:rsidRDefault="005B40D0"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 xml:space="preserve">and CP </w:t>
            </w:r>
            <w:r w:rsidRPr="009C734F">
              <w:rPr>
                <w:rFonts w:ascii="Times New Roman" w:hAnsi="Times New Roman" w:cs="Times New Roman"/>
                <w:sz w:val="28"/>
                <w:szCs w:val="28"/>
                <w:lang w:val="uk-UA"/>
              </w:rPr>
              <w:t>(</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=47)</w:t>
            </w:r>
          </w:p>
        </w:tc>
        <w:tc>
          <w:tcPr>
            <w:tcW w:w="2122" w:type="dxa"/>
            <w:tcBorders>
              <w:top w:val="single" w:sz="4" w:space="0" w:color="auto"/>
              <w:left w:val="nil"/>
              <w:bottom w:val="single" w:sz="4" w:space="0" w:color="auto"/>
              <w:right w:val="nil"/>
            </w:tcBorders>
            <w:shd w:val="clear" w:color="auto" w:fill="FFFFFF"/>
          </w:tcPr>
          <w:p w:rsidR="005B40D0" w:rsidRPr="009C734F" w:rsidRDefault="005B40D0"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Control group</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=20)</w:t>
            </w:r>
          </w:p>
        </w:tc>
      </w:tr>
      <w:tr w:rsidR="00F80E0B" w:rsidRPr="009C734F" w:rsidTr="00994E0C">
        <w:trPr>
          <w:trHeight w:val="245"/>
        </w:trPr>
        <w:tc>
          <w:tcPr>
            <w:tcW w:w="3019" w:type="dxa"/>
            <w:tcBorders>
              <w:top w:val="single" w:sz="4" w:space="0" w:color="auto"/>
              <w:left w:val="nil"/>
              <w:bottom w:val="single" w:sz="4" w:space="0" w:color="auto"/>
              <w:right w:val="nil"/>
            </w:tcBorders>
            <w:shd w:val="clear" w:color="auto" w:fill="FFFFFF"/>
          </w:tcPr>
          <w:p w:rsidR="00F80E0B" w:rsidRPr="009C734F" w:rsidRDefault="00F80E0B" w:rsidP="00F80E0B">
            <w:pPr>
              <w:shd w:val="clear" w:color="auto" w:fill="FFFFFF"/>
              <w:spacing w:after="0" w:line="240" w:lineRule="auto"/>
              <w:ind w:left="100"/>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MSM (common) units.opt. density</w:t>
            </w:r>
          </w:p>
        </w:tc>
        <w:tc>
          <w:tcPr>
            <w:tcW w:w="1925"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right="540"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0,73±0,07*</w:t>
            </w:r>
          </w:p>
        </w:tc>
        <w:tc>
          <w:tcPr>
            <w:tcW w:w="2347"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0,89±0,05*</w:t>
            </w:r>
          </w:p>
        </w:tc>
        <w:tc>
          <w:tcPr>
            <w:tcW w:w="2122"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0,56±0,06</w:t>
            </w:r>
          </w:p>
        </w:tc>
      </w:tr>
      <w:tr w:rsidR="00F80E0B" w:rsidRPr="009C734F" w:rsidTr="00994E0C">
        <w:trPr>
          <w:trHeight w:val="240"/>
        </w:trPr>
        <w:tc>
          <w:tcPr>
            <w:tcW w:w="3019" w:type="dxa"/>
            <w:tcBorders>
              <w:top w:val="single" w:sz="4" w:space="0" w:color="auto"/>
              <w:left w:val="nil"/>
              <w:bottom w:val="single" w:sz="4" w:space="0" w:color="auto"/>
              <w:right w:val="nil"/>
            </w:tcBorders>
            <w:shd w:val="clear" w:color="auto" w:fill="FFFFFF"/>
          </w:tcPr>
          <w:p w:rsidR="00F80E0B" w:rsidRPr="009C734F" w:rsidRDefault="00F80E0B" w:rsidP="00F80E0B">
            <w:pPr>
              <w:shd w:val="clear" w:color="auto" w:fill="FFFFFF"/>
              <w:spacing w:after="0" w:line="240" w:lineRule="auto"/>
              <w:ind w:left="100"/>
              <w:rPr>
                <w:rFonts w:ascii="Times New Roman" w:eastAsia="Times New Roman" w:hAnsi="Times New Roman" w:cs="Times New Roman"/>
                <w:sz w:val="28"/>
                <w:szCs w:val="28"/>
              </w:rPr>
            </w:pPr>
            <w:proofErr w:type="spellStart"/>
            <w:r w:rsidRPr="009C734F">
              <w:rPr>
                <w:rFonts w:ascii="Times New Roman" w:eastAsia="Times New Roman" w:hAnsi="Times New Roman" w:cs="Times New Roman"/>
                <w:sz w:val="28"/>
                <w:szCs w:val="28"/>
              </w:rPr>
              <w:t>Hydrophobic</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units</w:t>
            </w:r>
            <w:proofErr w:type="spellEnd"/>
            <w:r w:rsidRPr="009C734F">
              <w:rPr>
                <w:rFonts w:ascii="Times New Roman" w:eastAsia="Times New Roman" w:hAnsi="Times New Roman" w:cs="Times New Roman"/>
                <w:sz w:val="28"/>
                <w:szCs w:val="28"/>
              </w:rPr>
              <w:t>. </w:t>
            </w:r>
            <w:proofErr w:type="spellStart"/>
            <w:r w:rsidRPr="009C734F">
              <w:rPr>
                <w:rFonts w:ascii="Times New Roman" w:eastAsia="Times New Roman" w:hAnsi="Times New Roman" w:cs="Times New Roman"/>
                <w:sz w:val="28"/>
                <w:szCs w:val="28"/>
              </w:rPr>
              <w:t>opt.density</w:t>
            </w:r>
            <w:proofErr w:type="spellEnd"/>
          </w:p>
        </w:tc>
        <w:tc>
          <w:tcPr>
            <w:tcW w:w="1925"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right="540"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0,39±0,05*</w:t>
            </w:r>
          </w:p>
        </w:tc>
        <w:tc>
          <w:tcPr>
            <w:tcW w:w="2347"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0,57±0,05*</w:t>
            </w:r>
          </w:p>
        </w:tc>
        <w:tc>
          <w:tcPr>
            <w:tcW w:w="2122"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0,14±0,03</w:t>
            </w:r>
          </w:p>
        </w:tc>
      </w:tr>
      <w:tr w:rsidR="00F80E0B" w:rsidRPr="009C734F" w:rsidTr="00994E0C">
        <w:trPr>
          <w:trHeight w:val="235"/>
        </w:trPr>
        <w:tc>
          <w:tcPr>
            <w:tcW w:w="3019" w:type="dxa"/>
            <w:tcBorders>
              <w:top w:val="single" w:sz="4" w:space="0" w:color="auto"/>
              <w:left w:val="nil"/>
              <w:bottom w:val="single" w:sz="4" w:space="0" w:color="auto"/>
              <w:right w:val="nil"/>
            </w:tcBorders>
            <w:shd w:val="clear" w:color="auto" w:fill="FFFFFF"/>
          </w:tcPr>
          <w:p w:rsidR="00F80E0B" w:rsidRPr="009C734F" w:rsidRDefault="00F80E0B" w:rsidP="00F80E0B">
            <w:pPr>
              <w:shd w:val="clear" w:color="auto" w:fill="FFFFFF"/>
              <w:spacing w:after="0" w:line="240" w:lineRule="auto"/>
              <w:ind w:left="100"/>
              <w:rPr>
                <w:rFonts w:ascii="Times New Roman" w:eastAsia="Times New Roman" w:hAnsi="Times New Roman" w:cs="Times New Roman"/>
                <w:sz w:val="28"/>
                <w:szCs w:val="28"/>
              </w:rPr>
            </w:pPr>
            <w:proofErr w:type="spellStart"/>
            <w:r w:rsidRPr="009C734F">
              <w:rPr>
                <w:rFonts w:ascii="Times New Roman" w:eastAsia="Times New Roman" w:hAnsi="Times New Roman" w:cs="Times New Roman"/>
                <w:sz w:val="28"/>
                <w:szCs w:val="28"/>
              </w:rPr>
              <w:t>Hydrophilic</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units</w:t>
            </w:r>
            <w:proofErr w:type="spellEnd"/>
            <w:r w:rsidRPr="009C734F">
              <w:rPr>
                <w:rFonts w:ascii="Times New Roman" w:eastAsia="Times New Roman" w:hAnsi="Times New Roman" w:cs="Times New Roman"/>
                <w:sz w:val="28"/>
                <w:szCs w:val="28"/>
              </w:rPr>
              <w:t>. </w:t>
            </w:r>
            <w:proofErr w:type="spellStart"/>
            <w:r w:rsidRPr="009C734F">
              <w:rPr>
                <w:rFonts w:ascii="Times New Roman" w:eastAsia="Times New Roman" w:hAnsi="Times New Roman" w:cs="Times New Roman"/>
                <w:sz w:val="28"/>
                <w:szCs w:val="28"/>
              </w:rPr>
              <w:t>opt.density</w:t>
            </w:r>
            <w:proofErr w:type="spellEnd"/>
          </w:p>
        </w:tc>
        <w:tc>
          <w:tcPr>
            <w:tcW w:w="1925"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right="540"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0,34±0,04*</w:t>
            </w:r>
          </w:p>
        </w:tc>
        <w:tc>
          <w:tcPr>
            <w:tcW w:w="2347"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0,32±0,03*</w:t>
            </w:r>
          </w:p>
        </w:tc>
        <w:tc>
          <w:tcPr>
            <w:tcW w:w="2122" w:type="dxa"/>
            <w:tcBorders>
              <w:top w:val="single" w:sz="4" w:space="0" w:color="auto"/>
              <w:left w:val="nil"/>
              <w:bottom w:val="single" w:sz="4" w:space="0" w:color="auto"/>
              <w:right w:val="nil"/>
            </w:tcBorders>
            <w:shd w:val="clear" w:color="auto" w:fill="FFFFFF"/>
          </w:tcPr>
          <w:p w:rsidR="00F80E0B" w:rsidRPr="009C734F" w:rsidRDefault="00F80E0B"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0,42±0,04</w:t>
            </w:r>
          </w:p>
        </w:tc>
      </w:tr>
    </w:tbl>
    <w:p w:rsidR="001816B9" w:rsidRPr="009C734F" w:rsidRDefault="001816B9" w:rsidP="00F80E0B">
      <w:pPr>
        <w:spacing w:after="0" w:line="240" w:lineRule="auto"/>
        <w:jc w:val="center"/>
        <w:rPr>
          <w:rFonts w:ascii="Times New Roman" w:hAnsi="Times New Roman" w:cs="Times New Roman"/>
          <w:sz w:val="28"/>
          <w:szCs w:val="28"/>
        </w:rPr>
      </w:pP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Patients with combined COPD and how IMS CP content was 0</w:t>
      </w:r>
      <w:proofErr w:type="gramStart"/>
      <w:r w:rsidRPr="009C734F">
        <w:rPr>
          <w:rFonts w:ascii="Times New Roman" w:eastAsia="Times New Roman" w:hAnsi="Times New Roman" w:cs="Times New Roman"/>
          <w:sz w:val="28"/>
          <w:szCs w:val="28"/>
          <w:lang w:val="en-US"/>
        </w:rPr>
        <w:t>,89</w:t>
      </w:r>
      <w:proofErr w:type="gramEnd"/>
      <w:r w:rsid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0,05 units. </w:t>
      </w:r>
      <w:proofErr w:type="gramStart"/>
      <w:r w:rsidRPr="009C734F">
        <w:rPr>
          <w:rFonts w:ascii="Times New Roman" w:eastAsia="Times New Roman" w:hAnsi="Times New Roman" w:cs="Times New Roman"/>
          <w:sz w:val="28"/>
          <w:szCs w:val="28"/>
          <w:lang w:val="en-US"/>
        </w:rPr>
        <w:t>opt</w:t>
      </w:r>
      <w:proofErr w:type="gramEnd"/>
      <w:r w:rsidRPr="009C734F">
        <w:rPr>
          <w:rFonts w:ascii="Times New Roman" w:eastAsia="Times New Roman" w:hAnsi="Times New Roman" w:cs="Times New Roman"/>
          <w:sz w:val="28"/>
          <w:szCs w:val="28"/>
          <w:lang w:val="en-US"/>
        </w:rPr>
        <w:t>. density, which is 1.6 times higher than the control value (p &lt;0.05). It also determined by increasing the content of MSM hydrophobic nature in 4.1 times compared with the values of healthy individuals.</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The composition of the hydrophobic fraction pool MSM heterogeneous and can be represented phospholipids, cholesterol, free fatty acids, triglycerides and other </w:t>
      </w:r>
      <w:r w:rsidRPr="009C734F">
        <w:rPr>
          <w:rFonts w:ascii="Times New Roman" w:eastAsia="Times New Roman" w:hAnsi="Times New Roman" w:cs="Times New Roman"/>
          <w:sz w:val="28"/>
          <w:szCs w:val="28"/>
          <w:lang w:val="en-US"/>
        </w:rPr>
        <w:lastRenderedPageBreak/>
        <w:t xml:space="preserve">molecules that blood plasma circulates mainly in the form of complexes with albumin and low-density lipoprotein </w:t>
      </w:r>
      <w:r w:rsidR="00C53B99" w:rsidRPr="009C734F">
        <w:rPr>
          <w:rFonts w:ascii="Times New Roman" w:eastAsia="Times New Roman" w:hAnsi="Times New Roman" w:cs="Times New Roman"/>
          <w:sz w:val="28"/>
          <w:szCs w:val="28"/>
          <w:lang w:val="en-US"/>
        </w:rPr>
        <w:t>[</w:t>
      </w:r>
      <w:hyperlink r:id="rId20" w:anchor="_Ref459720377" w:tooltip="_Ref459720377" w:history="1">
        <w:r w:rsidRPr="009C734F">
          <w:rPr>
            <w:rFonts w:ascii="Times New Roman" w:eastAsia="Times New Roman" w:hAnsi="Times New Roman" w:cs="Times New Roman"/>
            <w:sz w:val="28"/>
            <w:szCs w:val="28"/>
            <w:lang w:val="en-US"/>
          </w:rPr>
          <w:t>1</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w:t>
      </w:r>
      <w:hyperlink r:id="rId21" w:anchor="_Ref459720752" w:tooltip="_Ref459720752" w:history="1">
        <w:r w:rsidRPr="009C734F">
          <w:rPr>
            <w:rFonts w:ascii="Times New Roman" w:eastAsia="Times New Roman" w:hAnsi="Times New Roman" w:cs="Times New Roman"/>
            <w:sz w:val="28"/>
            <w:szCs w:val="28"/>
            <w:lang w:val="en-US"/>
          </w:rPr>
          <w:t>3</w:t>
        </w:r>
      </w:hyperlink>
      <w:r w:rsidR="00C53B99" w:rsidRPr="009C734F">
        <w:rPr>
          <w:rFonts w:ascii="Times New Roman" w:eastAsia="Times New Roman" w:hAnsi="Times New Roman" w:cs="Times New Roman"/>
          <w:sz w:val="28"/>
          <w:szCs w:val="28"/>
          <w:lang w:val="en-US"/>
        </w:rPr>
        <w:t>]</w:t>
      </w:r>
      <w:r w:rsidRPr="009C734F">
        <w:rPr>
          <w:rFonts w:ascii="Times New Roman" w:eastAsia="Times New Roman" w:hAnsi="Times New Roman" w:cs="Times New Roman"/>
          <w:sz w:val="28"/>
          <w:szCs w:val="28"/>
          <w:lang w:val="en-US"/>
        </w:rPr>
        <w:t xml:space="preserve">. The binding of MCM proteins gives them properties </w:t>
      </w:r>
      <w:r w:rsidR="009C734F">
        <w:rPr>
          <w:rFonts w:ascii="Times New Roman" w:eastAsia="Times New Roman" w:hAnsi="Times New Roman" w:cs="Times New Roman"/>
          <w:sz w:val="28"/>
          <w:szCs w:val="28"/>
          <w:lang w:val="en-US"/>
        </w:rPr>
        <w:t>of</w:t>
      </w:r>
      <w:r w:rsidRPr="009C734F">
        <w:rPr>
          <w:rFonts w:ascii="Times New Roman" w:eastAsia="Times New Roman" w:hAnsi="Times New Roman" w:cs="Times New Roman"/>
          <w:sz w:val="28"/>
          <w:szCs w:val="28"/>
          <w:lang w:val="en-US"/>
        </w:rPr>
        <w:t xml:space="preserve"> initiating absorption of immune cells, which, in the end, makes </w:t>
      </w:r>
      <w:r w:rsidR="009C734F">
        <w:rPr>
          <w:rFonts w:ascii="Times New Roman" w:eastAsia="Times New Roman" w:hAnsi="Times New Roman" w:cs="Times New Roman"/>
          <w:sz w:val="28"/>
          <w:szCs w:val="28"/>
          <w:lang w:val="en-US"/>
        </w:rPr>
        <w:t>modeling</w:t>
      </w:r>
      <w:r w:rsidRPr="009C734F">
        <w:rPr>
          <w:rFonts w:ascii="Times New Roman" w:eastAsia="Times New Roman" w:hAnsi="Times New Roman" w:cs="Times New Roman"/>
          <w:sz w:val="28"/>
          <w:szCs w:val="28"/>
          <w:lang w:val="en-US"/>
        </w:rPr>
        <w:t xml:space="preserve"> effect on the immune system.</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Of the pool of MSM </w:t>
      </w:r>
      <w:proofErr w:type="gramStart"/>
      <w:r w:rsidRPr="009C734F">
        <w:rPr>
          <w:rFonts w:ascii="Times New Roman" w:eastAsia="Times New Roman" w:hAnsi="Times New Roman" w:cs="Times New Roman"/>
          <w:sz w:val="28"/>
          <w:szCs w:val="28"/>
          <w:lang w:val="en-US"/>
        </w:rPr>
        <w:t>is hydrophobic protein degradation products</w:t>
      </w:r>
      <w:proofErr w:type="gramEnd"/>
      <w:r w:rsidRPr="009C734F">
        <w:rPr>
          <w:rFonts w:ascii="Times New Roman" w:eastAsia="Times New Roman" w:hAnsi="Times New Roman" w:cs="Times New Roman"/>
          <w:sz w:val="28"/>
          <w:szCs w:val="28"/>
          <w:lang w:val="en-US"/>
        </w:rPr>
        <w:t xml:space="preserve"> with the most significant damaging effect of: contacting blood cells membranes and intracellular proteins, they lead to changes in their structure, increasing membrane permeability, inhibit enzyme activity. Have a significant impact on functional activity of </w:t>
      </w:r>
      <w:proofErr w:type="spellStart"/>
      <w:r w:rsidRPr="009C734F">
        <w:rPr>
          <w:rFonts w:ascii="Times New Roman" w:eastAsia="Times New Roman" w:hAnsi="Times New Roman" w:cs="Times New Roman"/>
          <w:sz w:val="28"/>
          <w:szCs w:val="28"/>
          <w:lang w:val="en-US"/>
        </w:rPr>
        <w:t>phagocytic</w:t>
      </w:r>
      <w:proofErr w:type="spellEnd"/>
      <w:r w:rsidRPr="009C734F">
        <w:rPr>
          <w:rFonts w:ascii="Times New Roman" w:eastAsia="Times New Roman" w:hAnsi="Times New Roman" w:cs="Times New Roman"/>
          <w:sz w:val="28"/>
          <w:szCs w:val="28"/>
          <w:lang w:val="en-US"/>
        </w:rPr>
        <w:t xml:space="preserve"> cells, leading to </w:t>
      </w:r>
      <w:proofErr w:type="spellStart"/>
      <w:r w:rsidRPr="009C734F">
        <w:rPr>
          <w:rFonts w:ascii="Times New Roman" w:eastAsia="Times New Roman" w:hAnsi="Times New Roman" w:cs="Times New Roman"/>
          <w:sz w:val="28"/>
          <w:szCs w:val="28"/>
          <w:lang w:val="en-US"/>
        </w:rPr>
        <w:t>decompensation</w:t>
      </w:r>
      <w:proofErr w:type="spellEnd"/>
      <w:r w:rsidRPr="009C734F">
        <w:rPr>
          <w:rFonts w:ascii="Times New Roman" w:eastAsia="Times New Roman" w:hAnsi="Times New Roman" w:cs="Times New Roman"/>
          <w:sz w:val="28"/>
          <w:szCs w:val="28"/>
          <w:lang w:val="en-US"/>
        </w:rPr>
        <w:t xml:space="preserve"> of function, inability to form adequate functional response to microbial antigens. Change of activity of intracellular enzymes </w:t>
      </w:r>
      <w:proofErr w:type="spellStart"/>
      <w:r w:rsidR="009C734F">
        <w:rPr>
          <w:rFonts w:ascii="Times New Roman" w:eastAsia="Times New Roman" w:hAnsi="Times New Roman" w:cs="Times New Roman"/>
          <w:sz w:val="28"/>
          <w:szCs w:val="28"/>
          <w:lang w:val="en-US"/>
        </w:rPr>
        <w:t>microbicyde</w:t>
      </w:r>
      <w:proofErr w:type="spellEnd"/>
      <w:r w:rsidRPr="009C734F">
        <w:rPr>
          <w:rFonts w:ascii="Times New Roman" w:eastAsia="Times New Roman" w:hAnsi="Times New Roman" w:cs="Times New Roman"/>
          <w:sz w:val="28"/>
          <w:szCs w:val="28"/>
          <w:lang w:val="en-US"/>
        </w:rPr>
        <w:t xml:space="preserve"> in these cells leads to disruption of </w:t>
      </w:r>
      <w:proofErr w:type="spellStart"/>
      <w:r w:rsidRPr="009C734F">
        <w:rPr>
          <w:rFonts w:ascii="Times New Roman" w:eastAsia="Times New Roman" w:hAnsi="Times New Roman" w:cs="Times New Roman"/>
          <w:sz w:val="28"/>
          <w:szCs w:val="28"/>
          <w:lang w:val="en-US"/>
        </w:rPr>
        <w:t>phagocytosis</w:t>
      </w:r>
      <w:proofErr w:type="spellEnd"/>
      <w:r w:rsidRPr="009C734F">
        <w:rPr>
          <w:rFonts w:ascii="Times New Roman" w:eastAsia="Times New Roman" w:hAnsi="Times New Roman" w:cs="Times New Roman"/>
          <w:sz w:val="28"/>
          <w:szCs w:val="28"/>
          <w:lang w:val="en-US"/>
        </w:rPr>
        <w:t xml:space="preserve"> that the later </w:t>
      </w:r>
      <w:proofErr w:type="gramStart"/>
      <w:r w:rsidRPr="009C734F">
        <w:rPr>
          <w:rFonts w:ascii="Times New Roman" w:eastAsia="Times New Roman" w:hAnsi="Times New Roman" w:cs="Times New Roman"/>
          <w:sz w:val="28"/>
          <w:szCs w:val="28"/>
          <w:lang w:val="en-US"/>
        </w:rPr>
        <w:t>stages of the disease leads</w:t>
      </w:r>
      <w:proofErr w:type="gramEnd"/>
      <w:r w:rsidRPr="009C734F">
        <w:rPr>
          <w:rFonts w:ascii="Times New Roman" w:eastAsia="Times New Roman" w:hAnsi="Times New Roman" w:cs="Times New Roman"/>
          <w:sz w:val="28"/>
          <w:szCs w:val="28"/>
          <w:lang w:val="en-US"/>
        </w:rPr>
        <w:t xml:space="preserve"> to deepening endogenous intoxication. This develops </w:t>
      </w:r>
      <w:proofErr w:type="spellStart"/>
      <w:r w:rsidRPr="009C734F">
        <w:rPr>
          <w:rFonts w:ascii="Times New Roman" w:eastAsia="Times New Roman" w:hAnsi="Times New Roman" w:cs="Times New Roman"/>
          <w:sz w:val="28"/>
          <w:szCs w:val="28"/>
          <w:lang w:val="en-US"/>
        </w:rPr>
        <w:t>monocyte</w:t>
      </w:r>
      <w:proofErr w:type="spellEnd"/>
      <w:r w:rsidRPr="009C734F">
        <w:rPr>
          <w:rFonts w:ascii="Times New Roman" w:eastAsia="Times New Roman" w:hAnsi="Times New Roman" w:cs="Times New Roman"/>
          <w:sz w:val="28"/>
          <w:szCs w:val="28"/>
          <w:lang w:val="en-US"/>
        </w:rPr>
        <w:t xml:space="preserve"> dysfunction, which causes disturbances in the system of antigen presentation to immune cells, thus ensuring the formation of autoimmune reactions in these patients.</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High activity of lymphocytes in the spontaneous reaction reflects the significant level </w:t>
      </w:r>
      <w:proofErr w:type="spellStart"/>
      <w:r w:rsidRPr="009C734F">
        <w:rPr>
          <w:rFonts w:ascii="Times New Roman" w:eastAsia="Times New Roman" w:hAnsi="Times New Roman" w:cs="Times New Roman"/>
          <w:sz w:val="28"/>
          <w:szCs w:val="28"/>
          <w:lang w:val="en-US"/>
        </w:rPr>
        <w:t>avtosensybilizatsiyi</w:t>
      </w:r>
      <w:proofErr w:type="spellEnd"/>
      <w:r w:rsidRPr="009C734F">
        <w:rPr>
          <w:rFonts w:ascii="Times New Roman" w:eastAsia="Times New Roman" w:hAnsi="Times New Roman" w:cs="Times New Roman"/>
          <w:sz w:val="28"/>
          <w:szCs w:val="28"/>
          <w:lang w:val="en-US"/>
        </w:rPr>
        <w:t xml:space="preserve"> lymphocytes to own antigens, which was confirmed in the study of proliferative activity in the presence of tissue antigens of the lungs, liver and myocardium (Table. 4).</w:t>
      </w:r>
    </w:p>
    <w:p w:rsidR="00612323" w:rsidRPr="009C734F" w:rsidRDefault="00612323" w:rsidP="00F80E0B">
      <w:pPr>
        <w:spacing w:after="0" w:line="240" w:lineRule="auto"/>
        <w:ind w:firstLine="709"/>
        <w:jc w:val="both"/>
        <w:rPr>
          <w:rFonts w:ascii="Times New Roman" w:hAnsi="Times New Roman" w:cs="Times New Roman"/>
          <w:sz w:val="28"/>
          <w:szCs w:val="28"/>
          <w:lang w:val="en-US"/>
        </w:rPr>
      </w:pPr>
    </w:p>
    <w:p w:rsidR="009F4417" w:rsidRPr="009C734F" w:rsidRDefault="00F80E0B" w:rsidP="00F80E0B">
      <w:pPr>
        <w:spacing w:after="0" w:line="240" w:lineRule="auto"/>
        <w:ind w:firstLine="709"/>
        <w:jc w:val="right"/>
        <w:rPr>
          <w:rFonts w:ascii="Times New Roman" w:hAnsi="Times New Roman" w:cs="Times New Roman"/>
          <w:sz w:val="28"/>
          <w:szCs w:val="28"/>
          <w:lang w:val="en-US"/>
        </w:rPr>
      </w:pPr>
      <w:r w:rsidRPr="009C734F">
        <w:rPr>
          <w:rFonts w:ascii="Times New Roman" w:hAnsi="Times New Roman" w:cs="Times New Roman"/>
          <w:sz w:val="28"/>
          <w:szCs w:val="28"/>
          <w:lang w:val="en-US"/>
        </w:rPr>
        <w:t>Table 4</w:t>
      </w:r>
    </w:p>
    <w:p w:rsidR="00622933" w:rsidRPr="009C734F" w:rsidRDefault="00F80E0B" w:rsidP="00F80E0B">
      <w:pPr>
        <w:spacing w:after="0" w:line="240" w:lineRule="auto"/>
        <w:jc w:val="center"/>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Indicators of proliferative activity of lymphocytes in the presence of certain tissue antigens in examined patients</w:t>
      </w:r>
    </w:p>
    <w:tbl>
      <w:tblPr>
        <w:tblW w:w="0" w:type="auto"/>
        <w:tblLayout w:type="fixed"/>
        <w:tblCellMar>
          <w:left w:w="0" w:type="dxa"/>
          <w:right w:w="0" w:type="dxa"/>
        </w:tblCellMar>
        <w:tblLook w:val="0000"/>
      </w:tblPr>
      <w:tblGrid>
        <w:gridCol w:w="3019"/>
        <w:gridCol w:w="1925"/>
        <w:gridCol w:w="2347"/>
        <w:gridCol w:w="2122"/>
      </w:tblGrid>
      <w:tr w:rsidR="00F80E0B" w:rsidRPr="009C734F" w:rsidTr="00646EE2">
        <w:trPr>
          <w:trHeight w:val="442"/>
        </w:trPr>
        <w:tc>
          <w:tcPr>
            <w:tcW w:w="3019" w:type="dxa"/>
            <w:tcBorders>
              <w:top w:val="single" w:sz="4" w:space="0" w:color="auto"/>
              <w:left w:val="nil"/>
              <w:bottom w:val="single" w:sz="4" w:space="0" w:color="auto"/>
              <w:right w:val="nil"/>
            </w:tcBorders>
            <w:shd w:val="clear" w:color="auto" w:fill="FFFFFF"/>
          </w:tcPr>
          <w:p w:rsidR="00F80E0B" w:rsidRPr="009C734F" w:rsidRDefault="00F80E0B" w:rsidP="00F80E0B">
            <w:pPr>
              <w:pStyle w:val="100"/>
              <w:shd w:val="clear" w:color="auto" w:fill="auto"/>
              <w:spacing w:line="240" w:lineRule="auto"/>
              <w:ind w:left="100"/>
              <w:jc w:val="center"/>
              <w:rPr>
                <w:rFonts w:ascii="Times New Roman" w:hAnsi="Times New Roman" w:cs="Times New Roman"/>
                <w:sz w:val="28"/>
                <w:szCs w:val="28"/>
                <w:lang w:val="uk-UA"/>
              </w:rPr>
            </w:pPr>
            <w:proofErr w:type="spellStart"/>
            <w:r w:rsidRPr="009C734F">
              <w:rPr>
                <w:rFonts w:ascii="Times New Roman" w:eastAsia="Times New Roman" w:hAnsi="Times New Roman" w:cs="Times New Roman"/>
                <w:sz w:val="28"/>
                <w:szCs w:val="28"/>
              </w:rPr>
              <w:t>Tissue</w:t>
            </w:r>
            <w:proofErr w:type="spellEnd"/>
            <w:r w:rsidRPr="009C734F">
              <w:rPr>
                <w:rFonts w:ascii="Times New Roman" w:eastAsia="Times New Roman" w:hAnsi="Times New Roman" w:cs="Times New Roman"/>
                <w:sz w:val="28"/>
                <w:szCs w:val="28"/>
              </w:rPr>
              <w:t xml:space="preserve"> </w:t>
            </w:r>
            <w:proofErr w:type="spellStart"/>
            <w:r w:rsidRPr="009C734F">
              <w:rPr>
                <w:rFonts w:ascii="Times New Roman" w:eastAsia="Times New Roman" w:hAnsi="Times New Roman" w:cs="Times New Roman"/>
                <w:sz w:val="28"/>
                <w:szCs w:val="28"/>
              </w:rPr>
              <w:t>antigens</w:t>
            </w:r>
            <w:proofErr w:type="spellEnd"/>
          </w:p>
        </w:tc>
        <w:tc>
          <w:tcPr>
            <w:tcW w:w="1925" w:type="dxa"/>
            <w:tcBorders>
              <w:top w:val="single" w:sz="4" w:space="0" w:color="auto"/>
              <w:left w:val="nil"/>
              <w:bottom w:val="single" w:sz="4" w:space="0" w:color="auto"/>
              <w:right w:val="nil"/>
            </w:tcBorders>
            <w:shd w:val="clear" w:color="auto" w:fill="FFFFFF"/>
          </w:tcPr>
          <w:p w:rsidR="00F80E0B" w:rsidRPr="009C734F" w:rsidRDefault="00F80E0B" w:rsidP="00F80E0B">
            <w:pPr>
              <w:pStyle w:val="100"/>
              <w:shd w:val="clear" w:color="auto" w:fill="auto"/>
              <w:spacing w:line="240" w:lineRule="auto"/>
              <w:ind w:right="480"/>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=32)</w:t>
            </w:r>
          </w:p>
        </w:tc>
        <w:tc>
          <w:tcPr>
            <w:tcW w:w="2347" w:type="dxa"/>
            <w:tcBorders>
              <w:top w:val="single" w:sz="4" w:space="0" w:color="auto"/>
              <w:left w:val="nil"/>
              <w:bottom w:val="single" w:sz="4" w:space="0" w:color="auto"/>
              <w:right w:val="nil"/>
            </w:tcBorders>
            <w:shd w:val="clear" w:color="auto" w:fill="FFFFFF"/>
          </w:tcPr>
          <w:p w:rsidR="00F80E0B" w:rsidRPr="009C734F" w:rsidRDefault="00F80E0B"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Patients with COPD</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 xml:space="preserve">and CP </w:t>
            </w:r>
            <w:r w:rsidRPr="009C734F">
              <w:rPr>
                <w:rFonts w:ascii="Times New Roman" w:hAnsi="Times New Roman" w:cs="Times New Roman"/>
                <w:sz w:val="28"/>
                <w:szCs w:val="28"/>
                <w:lang w:val="uk-UA"/>
              </w:rPr>
              <w:t>(</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=47)</w:t>
            </w:r>
          </w:p>
        </w:tc>
        <w:tc>
          <w:tcPr>
            <w:tcW w:w="2122" w:type="dxa"/>
            <w:tcBorders>
              <w:top w:val="single" w:sz="4" w:space="0" w:color="auto"/>
              <w:left w:val="nil"/>
              <w:bottom w:val="single" w:sz="4" w:space="0" w:color="auto"/>
              <w:right w:val="nil"/>
            </w:tcBorders>
            <w:shd w:val="clear" w:color="auto" w:fill="FFFFFF"/>
          </w:tcPr>
          <w:p w:rsidR="00F80E0B" w:rsidRPr="009C734F" w:rsidRDefault="00F80E0B" w:rsidP="00F80E0B">
            <w:pPr>
              <w:pStyle w:val="100"/>
              <w:shd w:val="clear" w:color="auto" w:fill="auto"/>
              <w:spacing w:line="240" w:lineRule="auto"/>
              <w:jc w:val="center"/>
              <w:rPr>
                <w:rFonts w:ascii="Times New Roman" w:hAnsi="Times New Roman" w:cs="Times New Roman"/>
                <w:sz w:val="28"/>
                <w:szCs w:val="28"/>
                <w:lang w:val="uk-UA"/>
              </w:rPr>
            </w:pPr>
            <w:r w:rsidRPr="009C734F">
              <w:rPr>
                <w:rFonts w:ascii="Times New Roman" w:hAnsi="Times New Roman" w:cs="Times New Roman"/>
                <w:sz w:val="28"/>
                <w:szCs w:val="28"/>
                <w:lang w:val="en-US"/>
              </w:rPr>
              <w:t>Control group</w:t>
            </w:r>
            <w:r w:rsidRPr="009C734F">
              <w:rPr>
                <w:rFonts w:ascii="Times New Roman" w:hAnsi="Times New Roman" w:cs="Times New Roman"/>
                <w:sz w:val="28"/>
                <w:szCs w:val="28"/>
                <w:lang w:val="uk-UA"/>
              </w:rPr>
              <w:t xml:space="preserve"> (</w:t>
            </w:r>
            <w:r w:rsidRPr="009C734F">
              <w:rPr>
                <w:rFonts w:ascii="Times New Roman" w:hAnsi="Times New Roman" w:cs="Times New Roman"/>
                <w:sz w:val="28"/>
                <w:szCs w:val="28"/>
                <w:lang w:val="en-US"/>
              </w:rPr>
              <w:t>n</w:t>
            </w:r>
            <w:r w:rsidRPr="009C734F">
              <w:rPr>
                <w:rFonts w:ascii="Times New Roman" w:hAnsi="Times New Roman" w:cs="Times New Roman"/>
                <w:sz w:val="28"/>
                <w:szCs w:val="28"/>
                <w:lang w:val="uk-UA"/>
              </w:rPr>
              <w:t>=20)</w:t>
            </w:r>
          </w:p>
        </w:tc>
      </w:tr>
      <w:tr w:rsidR="00646EE2" w:rsidRPr="009C734F" w:rsidTr="00646EE2">
        <w:trPr>
          <w:trHeight w:val="235"/>
        </w:trPr>
        <w:tc>
          <w:tcPr>
            <w:tcW w:w="3019" w:type="dxa"/>
            <w:tcBorders>
              <w:top w:val="single" w:sz="4" w:space="0" w:color="auto"/>
              <w:left w:val="nil"/>
              <w:bottom w:val="single" w:sz="4" w:space="0" w:color="auto"/>
              <w:right w:val="nil"/>
            </w:tcBorders>
            <w:shd w:val="clear" w:color="auto" w:fill="FFFFFF"/>
          </w:tcPr>
          <w:p w:rsidR="00646EE2" w:rsidRPr="009C734F" w:rsidRDefault="00F80E0B"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hAnsi="Times New Roman" w:cs="Times New Roman"/>
                <w:sz w:val="28"/>
                <w:szCs w:val="28"/>
                <w:lang w:val="en-US"/>
              </w:rPr>
              <w:t>Liver</w:t>
            </w:r>
            <w:r w:rsidR="00646EE2" w:rsidRPr="009C734F">
              <w:rPr>
                <w:rFonts w:ascii="Times New Roman" w:hAnsi="Times New Roman" w:cs="Times New Roman"/>
                <w:sz w:val="28"/>
                <w:szCs w:val="28"/>
                <w:lang w:val="uk-UA"/>
              </w:rPr>
              <w:t>, %</w:t>
            </w:r>
          </w:p>
        </w:tc>
        <w:tc>
          <w:tcPr>
            <w:tcW w:w="1925"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right="54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2,8</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±0,35*</w:t>
            </w:r>
          </w:p>
        </w:tc>
        <w:tc>
          <w:tcPr>
            <w:tcW w:w="2347"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4,7</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±0,37*»</w:t>
            </w:r>
          </w:p>
        </w:tc>
        <w:tc>
          <w:tcPr>
            <w:tcW w:w="2122"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1,34±0,22</w:t>
            </w:r>
          </w:p>
        </w:tc>
      </w:tr>
      <w:tr w:rsidR="00646EE2" w:rsidRPr="009C734F" w:rsidTr="00646EE2">
        <w:trPr>
          <w:trHeight w:val="240"/>
        </w:trPr>
        <w:tc>
          <w:tcPr>
            <w:tcW w:w="3019" w:type="dxa"/>
            <w:tcBorders>
              <w:top w:val="single" w:sz="4" w:space="0" w:color="auto"/>
              <w:left w:val="nil"/>
              <w:bottom w:val="single" w:sz="4" w:space="0" w:color="auto"/>
              <w:right w:val="nil"/>
            </w:tcBorders>
            <w:shd w:val="clear" w:color="auto" w:fill="FFFFFF"/>
          </w:tcPr>
          <w:p w:rsidR="00646EE2" w:rsidRPr="009C734F" w:rsidRDefault="00F80E0B"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hAnsi="Times New Roman" w:cs="Times New Roman"/>
                <w:sz w:val="28"/>
                <w:szCs w:val="28"/>
                <w:lang w:val="en-US"/>
              </w:rPr>
              <w:t>Lungs</w:t>
            </w:r>
            <w:r w:rsidR="00646EE2" w:rsidRPr="009C734F">
              <w:rPr>
                <w:rFonts w:ascii="Times New Roman" w:hAnsi="Times New Roman" w:cs="Times New Roman"/>
                <w:sz w:val="28"/>
                <w:szCs w:val="28"/>
                <w:lang w:val="uk-UA"/>
              </w:rPr>
              <w:t>, %</w:t>
            </w:r>
          </w:p>
        </w:tc>
        <w:tc>
          <w:tcPr>
            <w:tcW w:w="1925"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right="54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5,5</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±0,39*</w:t>
            </w:r>
          </w:p>
        </w:tc>
        <w:tc>
          <w:tcPr>
            <w:tcW w:w="2347"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4,2</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±0,43*»</w:t>
            </w:r>
          </w:p>
        </w:tc>
        <w:tc>
          <w:tcPr>
            <w:tcW w:w="2122"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1,67±0,45</w:t>
            </w:r>
          </w:p>
        </w:tc>
      </w:tr>
      <w:tr w:rsidR="00646EE2" w:rsidRPr="009C734F" w:rsidTr="00646EE2">
        <w:trPr>
          <w:trHeight w:val="240"/>
        </w:trPr>
        <w:tc>
          <w:tcPr>
            <w:tcW w:w="3019" w:type="dxa"/>
            <w:tcBorders>
              <w:top w:val="single" w:sz="4" w:space="0" w:color="auto"/>
              <w:left w:val="nil"/>
              <w:bottom w:val="single" w:sz="4" w:space="0" w:color="auto"/>
              <w:right w:val="nil"/>
            </w:tcBorders>
            <w:shd w:val="clear" w:color="auto" w:fill="FFFFFF"/>
          </w:tcPr>
          <w:p w:rsidR="00646EE2" w:rsidRPr="009C734F" w:rsidRDefault="00F80E0B" w:rsidP="00F80E0B">
            <w:pPr>
              <w:pStyle w:val="90"/>
              <w:shd w:val="clear" w:color="auto" w:fill="auto"/>
              <w:spacing w:line="240" w:lineRule="auto"/>
              <w:ind w:left="100" w:firstLine="0"/>
              <w:rPr>
                <w:rFonts w:ascii="Times New Roman" w:hAnsi="Times New Roman" w:cs="Times New Roman"/>
                <w:sz w:val="28"/>
                <w:szCs w:val="28"/>
                <w:lang w:val="uk-UA"/>
              </w:rPr>
            </w:pPr>
            <w:r w:rsidRPr="009C734F">
              <w:rPr>
                <w:rFonts w:ascii="Times New Roman" w:hAnsi="Times New Roman" w:cs="Times New Roman"/>
                <w:sz w:val="28"/>
                <w:szCs w:val="28"/>
                <w:lang w:val="en-US"/>
              </w:rPr>
              <w:t>M</w:t>
            </w:r>
            <w:proofErr w:type="spellStart"/>
            <w:r w:rsidRPr="009C734F">
              <w:rPr>
                <w:rFonts w:ascii="Times New Roman" w:hAnsi="Times New Roman" w:cs="Times New Roman"/>
                <w:sz w:val="28"/>
                <w:szCs w:val="28"/>
                <w:lang w:val="uk-UA"/>
              </w:rPr>
              <w:t>yocardium</w:t>
            </w:r>
            <w:proofErr w:type="spellEnd"/>
            <w:r w:rsidR="00646EE2" w:rsidRPr="009C734F">
              <w:rPr>
                <w:rFonts w:ascii="Times New Roman" w:hAnsi="Times New Roman" w:cs="Times New Roman"/>
                <w:sz w:val="28"/>
                <w:szCs w:val="28"/>
                <w:lang w:val="uk-UA"/>
              </w:rPr>
              <w:t>, %</w:t>
            </w:r>
          </w:p>
        </w:tc>
        <w:tc>
          <w:tcPr>
            <w:tcW w:w="1925"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right="540" w:firstLine="0"/>
              <w:jc w:val="right"/>
              <w:rPr>
                <w:rFonts w:ascii="Times New Roman" w:hAnsi="Times New Roman" w:cs="Times New Roman"/>
                <w:sz w:val="28"/>
                <w:szCs w:val="28"/>
                <w:lang w:val="uk-UA"/>
              </w:rPr>
            </w:pPr>
            <w:r w:rsidRPr="009C734F">
              <w:rPr>
                <w:rFonts w:ascii="Times New Roman" w:hAnsi="Times New Roman" w:cs="Times New Roman"/>
                <w:sz w:val="28"/>
                <w:szCs w:val="28"/>
                <w:lang w:val="uk-UA"/>
              </w:rPr>
              <w:t>5,9</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±0,31*</w:t>
            </w:r>
          </w:p>
        </w:tc>
        <w:tc>
          <w:tcPr>
            <w:tcW w:w="2347"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6,8</w:t>
            </w:r>
            <w:r w:rsidRPr="009C734F">
              <w:rPr>
                <w:rFonts w:ascii="Times New Roman" w:hAnsi="Times New Roman" w:cs="Times New Roman"/>
                <w:sz w:val="28"/>
                <w:szCs w:val="28"/>
                <w:lang w:val="en-US"/>
              </w:rPr>
              <w:t>0</w:t>
            </w:r>
            <w:r w:rsidRPr="009C734F">
              <w:rPr>
                <w:rFonts w:ascii="Times New Roman" w:hAnsi="Times New Roman" w:cs="Times New Roman"/>
                <w:sz w:val="28"/>
                <w:szCs w:val="28"/>
                <w:lang w:val="uk-UA"/>
              </w:rPr>
              <w:t>±0,34**</w:t>
            </w:r>
          </w:p>
        </w:tc>
        <w:tc>
          <w:tcPr>
            <w:tcW w:w="2122" w:type="dxa"/>
            <w:tcBorders>
              <w:top w:val="single" w:sz="4" w:space="0" w:color="auto"/>
              <w:left w:val="nil"/>
              <w:bottom w:val="single" w:sz="4" w:space="0" w:color="auto"/>
              <w:right w:val="nil"/>
            </w:tcBorders>
            <w:shd w:val="clear" w:color="auto" w:fill="FFFFFF"/>
          </w:tcPr>
          <w:p w:rsidR="00646EE2" w:rsidRPr="009C734F" w:rsidRDefault="00646EE2" w:rsidP="00F80E0B">
            <w:pPr>
              <w:pStyle w:val="90"/>
              <w:shd w:val="clear" w:color="auto" w:fill="auto"/>
              <w:spacing w:line="240" w:lineRule="auto"/>
              <w:ind w:firstLine="0"/>
              <w:jc w:val="center"/>
              <w:rPr>
                <w:rFonts w:ascii="Times New Roman" w:hAnsi="Times New Roman" w:cs="Times New Roman"/>
                <w:sz w:val="28"/>
                <w:szCs w:val="28"/>
                <w:lang w:val="uk-UA"/>
              </w:rPr>
            </w:pPr>
            <w:r w:rsidRPr="009C734F">
              <w:rPr>
                <w:rFonts w:ascii="Times New Roman" w:hAnsi="Times New Roman" w:cs="Times New Roman"/>
                <w:sz w:val="28"/>
                <w:szCs w:val="28"/>
                <w:lang w:val="uk-UA"/>
              </w:rPr>
              <w:t>2,45±</w:t>
            </w:r>
            <w:bookmarkStart w:id="0" w:name="_GoBack"/>
            <w:bookmarkEnd w:id="0"/>
            <w:r w:rsidRPr="009C734F">
              <w:rPr>
                <w:rFonts w:ascii="Times New Roman" w:hAnsi="Times New Roman" w:cs="Times New Roman"/>
                <w:sz w:val="28"/>
                <w:szCs w:val="28"/>
                <w:lang w:val="uk-UA"/>
              </w:rPr>
              <w:t>0,22</w:t>
            </w:r>
          </w:p>
        </w:tc>
      </w:tr>
    </w:tbl>
    <w:p w:rsidR="009F4417" w:rsidRPr="009C734F" w:rsidRDefault="009F4417" w:rsidP="00F80E0B">
      <w:pPr>
        <w:spacing w:after="0" w:line="240" w:lineRule="auto"/>
        <w:jc w:val="center"/>
        <w:rPr>
          <w:rFonts w:ascii="Times New Roman" w:hAnsi="Times New Roman" w:cs="Times New Roman"/>
          <w:sz w:val="28"/>
          <w:szCs w:val="28"/>
          <w:lang w:val="uk-UA"/>
        </w:rPr>
      </w:pP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However, if patients with COPD more immunogenicity revealed the presence of antigens and attack the lungs, then the </w:t>
      </w:r>
      <w:proofErr w:type="spellStart"/>
      <w:r w:rsidRPr="009C734F">
        <w:rPr>
          <w:rFonts w:ascii="Times New Roman" w:eastAsia="Times New Roman" w:hAnsi="Times New Roman" w:cs="Times New Roman"/>
          <w:sz w:val="28"/>
          <w:szCs w:val="28"/>
          <w:lang w:val="en-US"/>
        </w:rPr>
        <w:t>comorbidity</w:t>
      </w:r>
      <w:proofErr w:type="spellEnd"/>
      <w:r w:rsidRPr="009C734F">
        <w:rPr>
          <w:rFonts w:ascii="Times New Roman" w:eastAsia="Times New Roman" w:hAnsi="Times New Roman" w:cs="Times New Roman"/>
          <w:sz w:val="28"/>
          <w:szCs w:val="28"/>
          <w:lang w:val="en-US"/>
        </w:rPr>
        <w:t xml:space="preserve"> of COPD and the most important indicators of XP installed on myocardial antigens and liver.</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proofErr w:type="gramStart"/>
      <w:r w:rsidRPr="009C734F">
        <w:rPr>
          <w:rFonts w:ascii="Times New Roman" w:eastAsia="Times New Roman" w:hAnsi="Times New Roman" w:cs="Times New Roman"/>
          <w:b/>
          <w:bCs/>
          <w:sz w:val="28"/>
          <w:szCs w:val="28"/>
          <w:lang w:val="en-US"/>
        </w:rPr>
        <w:t>Conclusions.</w:t>
      </w:r>
      <w:proofErr w:type="gramEnd"/>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In patients with COPD exacerbation of the pathological process in </w:t>
      </w:r>
      <w:proofErr w:type="spellStart"/>
      <w:r w:rsidRPr="009C734F">
        <w:rPr>
          <w:rFonts w:ascii="Times New Roman" w:eastAsia="Times New Roman" w:hAnsi="Times New Roman" w:cs="Times New Roman"/>
          <w:sz w:val="28"/>
          <w:szCs w:val="28"/>
          <w:lang w:val="en-US"/>
        </w:rPr>
        <w:t>bronchopulmonary</w:t>
      </w:r>
      <w:proofErr w:type="spellEnd"/>
      <w:r w:rsidRPr="009C734F">
        <w:rPr>
          <w:rFonts w:ascii="Times New Roman" w:eastAsia="Times New Roman" w:hAnsi="Times New Roman" w:cs="Times New Roman"/>
          <w:sz w:val="28"/>
          <w:szCs w:val="28"/>
          <w:lang w:val="en-US"/>
        </w:rPr>
        <w:t xml:space="preserve"> system led to a pronounced deficiency of T cells, reducing their functional activity and lack of suppressor function, which initiated the breach of regulatory mechanisms of cellular and </w:t>
      </w:r>
      <w:proofErr w:type="spellStart"/>
      <w:r w:rsidRPr="009C734F">
        <w:rPr>
          <w:rFonts w:ascii="Times New Roman" w:eastAsia="Times New Roman" w:hAnsi="Times New Roman" w:cs="Times New Roman"/>
          <w:sz w:val="28"/>
          <w:szCs w:val="28"/>
          <w:lang w:val="en-US"/>
        </w:rPr>
        <w:t>humoral</w:t>
      </w:r>
      <w:proofErr w:type="spellEnd"/>
      <w:r w:rsidRPr="009C734F">
        <w:rPr>
          <w:rFonts w:ascii="Times New Roman" w:eastAsia="Times New Roman" w:hAnsi="Times New Roman" w:cs="Times New Roman"/>
          <w:sz w:val="28"/>
          <w:szCs w:val="28"/>
          <w:lang w:val="en-US"/>
        </w:rPr>
        <w:t xml:space="preserve"> immunity. The result was a loss of tolerance deviations of B-lymphocytes to </w:t>
      </w:r>
      <w:proofErr w:type="spellStart"/>
      <w:r w:rsidRPr="009C734F">
        <w:rPr>
          <w:rFonts w:ascii="Times New Roman" w:eastAsia="Times New Roman" w:hAnsi="Times New Roman" w:cs="Times New Roman"/>
          <w:sz w:val="28"/>
          <w:szCs w:val="28"/>
          <w:lang w:val="en-US"/>
        </w:rPr>
        <w:t>avtoantyheniv</w:t>
      </w:r>
      <w:proofErr w:type="spellEnd"/>
      <w:r w:rsidRPr="009C734F">
        <w:rPr>
          <w:rFonts w:ascii="Times New Roman" w:eastAsia="Times New Roman" w:hAnsi="Times New Roman" w:cs="Times New Roman"/>
          <w:sz w:val="28"/>
          <w:szCs w:val="28"/>
          <w:lang w:val="en-US"/>
        </w:rPr>
        <w:t xml:space="preserve">, and as a result, the development of autoimmune reactions in patients in both groups. However, in the </w:t>
      </w:r>
      <w:proofErr w:type="spellStart"/>
      <w:r w:rsidRPr="009C734F">
        <w:rPr>
          <w:rFonts w:ascii="Times New Roman" w:eastAsia="Times New Roman" w:hAnsi="Times New Roman" w:cs="Times New Roman"/>
          <w:sz w:val="28"/>
          <w:szCs w:val="28"/>
          <w:lang w:val="en-US"/>
        </w:rPr>
        <w:t>comorbidity</w:t>
      </w:r>
      <w:proofErr w:type="spellEnd"/>
      <w:r w:rsidRPr="009C734F">
        <w:rPr>
          <w:rFonts w:ascii="Times New Roman" w:eastAsia="Times New Roman" w:hAnsi="Times New Roman" w:cs="Times New Roman"/>
          <w:sz w:val="28"/>
          <w:szCs w:val="28"/>
          <w:lang w:val="en-US"/>
        </w:rPr>
        <w:t xml:space="preserve"> severity of these changes significantly increased, which can be regarded as one of the additional factors of progression of disease.</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r w:rsidRPr="009C734F">
        <w:rPr>
          <w:rFonts w:ascii="Times New Roman" w:eastAsia="Times New Roman" w:hAnsi="Times New Roman" w:cs="Times New Roman"/>
          <w:sz w:val="28"/>
          <w:szCs w:val="28"/>
          <w:lang w:val="en-US"/>
        </w:rPr>
        <w:t xml:space="preserve">Chronic recurrent nature of the pathological process in the bronchial tubes led to the formation of endogenous intoxication syndrome, the severity of which significantly intensified in the conditions of accession </w:t>
      </w:r>
      <w:r w:rsidR="009C734F">
        <w:rPr>
          <w:rFonts w:ascii="Times New Roman" w:eastAsia="Times New Roman" w:hAnsi="Times New Roman" w:cs="Times New Roman"/>
          <w:sz w:val="28"/>
          <w:szCs w:val="28"/>
          <w:lang w:val="en-US"/>
        </w:rPr>
        <w:t>CP</w:t>
      </w:r>
      <w:r w:rsidRPr="009C734F">
        <w:rPr>
          <w:rFonts w:ascii="Times New Roman" w:eastAsia="Times New Roman" w:hAnsi="Times New Roman" w:cs="Times New Roman"/>
          <w:sz w:val="28"/>
          <w:szCs w:val="28"/>
          <w:lang w:val="en-US"/>
        </w:rPr>
        <w:t xml:space="preserve">. This damaging effect of fractions of blood serum, transporting toxins in patients with COPD are more isolated </w:t>
      </w:r>
      <w:r w:rsidRPr="009C734F">
        <w:rPr>
          <w:rFonts w:ascii="Times New Roman" w:eastAsia="Times New Roman" w:hAnsi="Times New Roman" w:cs="Times New Roman"/>
          <w:sz w:val="28"/>
          <w:szCs w:val="28"/>
          <w:lang w:val="en-US"/>
        </w:rPr>
        <w:lastRenderedPageBreak/>
        <w:t xml:space="preserve">was caused by toxins pool of medium size and globulin fraction, increasing the overall level of MSM and redistribution of their </w:t>
      </w:r>
      <w:proofErr w:type="gramStart"/>
      <w:r w:rsidRPr="009C734F">
        <w:rPr>
          <w:rFonts w:ascii="Times New Roman" w:eastAsia="Times New Roman" w:hAnsi="Times New Roman" w:cs="Times New Roman"/>
          <w:sz w:val="28"/>
          <w:szCs w:val="28"/>
          <w:lang w:val="en-US"/>
        </w:rPr>
        <w:t>constituents</w:t>
      </w:r>
      <w:proofErr w:type="gramEnd"/>
      <w:r w:rsidRPr="009C734F">
        <w:rPr>
          <w:rFonts w:ascii="Times New Roman" w:eastAsia="Times New Roman" w:hAnsi="Times New Roman" w:cs="Times New Roman"/>
          <w:sz w:val="28"/>
          <w:szCs w:val="28"/>
          <w:lang w:val="en-US"/>
        </w:rPr>
        <w:t xml:space="preserve"> upward hydrophobic fraction. This, in turn, resulted in direct destruction of immune cells and may have been the cause of systemic inflammation.</w:t>
      </w:r>
    </w:p>
    <w:p w:rsidR="00F80E0B" w:rsidRPr="009C734F" w:rsidRDefault="00F80E0B" w:rsidP="00F80E0B">
      <w:pPr>
        <w:spacing w:after="0" w:line="240" w:lineRule="auto"/>
        <w:ind w:firstLine="700"/>
        <w:jc w:val="both"/>
        <w:rPr>
          <w:rFonts w:ascii="Times New Roman" w:eastAsia="Times New Roman" w:hAnsi="Times New Roman" w:cs="Times New Roman"/>
          <w:sz w:val="28"/>
          <w:szCs w:val="28"/>
          <w:lang w:val="en-US"/>
        </w:rPr>
      </w:pPr>
      <w:proofErr w:type="gramStart"/>
      <w:r w:rsidRPr="009C734F">
        <w:rPr>
          <w:rFonts w:ascii="Times New Roman" w:eastAsia="Times New Roman" w:hAnsi="Times New Roman" w:cs="Times New Roman"/>
          <w:sz w:val="28"/>
          <w:szCs w:val="28"/>
          <w:lang w:val="en-US"/>
        </w:rPr>
        <w:t xml:space="preserve">When combined COPD and </w:t>
      </w:r>
      <w:r w:rsidR="009C734F">
        <w:rPr>
          <w:rFonts w:ascii="Times New Roman" w:eastAsia="Times New Roman" w:hAnsi="Times New Roman" w:cs="Times New Roman"/>
          <w:sz w:val="28"/>
          <w:szCs w:val="28"/>
          <w:lang w:val="en-US"/>
        </w:rPr>
        <w:t>CP</w:t>
      </w:r>
      <w:r w:rsidRPr="009C734F">
        <w:rPr>
          <w:rFonts w:ascii="Times New Roman" w:eastAsia="Times New Roman" w:hAnsi="Times New Roman" w:cs="Times New Roman"/>
          <w:sz w:val="28"/>
          <w:szCs w:val="28"/>
          <w:lang w:val="en-US"/>
        </w:rPr>
        <w:t xml:space="preserve"> leading role in the formation of </w:t>
      </w:r>
      <w:proofErr w:type="spellStart"/>
      <w:r w:rsidRPr="009C734F">
        <w:rPr>
          <w:rFonts w:ascii="Times New Roman" w:eastAsia="Times New Roman" w:hAnsi="Times New Roman" w:cs="Times New Roman"/>
          <w:sz w:val="28"/>
          <w:szCs w:val="28"/>
          <w:lang w:val="en-US"/>
        </w:rPr>
        <w:t>endotoxemia</w:t>
      </w:r>
      <w:proofErr w:type="spellEnd"/>
      <w:r w:rsidRPr="009C734F">
        <w:rPr>
          <w:rFonts w:ascii="Times New Roman" w:eastAsia="Times New Roman" w:hAnsi="Times New Roman" w:cs="Times New Roman"/>
          <w:sz w:val="28"/>
          <w:szCs w:val="28"/>
          <w:lang w:val="en-US"/>
        </w:rPr>
        <w:t xml:space="preserve"> syndrome </w:t>
      </w:r>
      <w:proofErr w:type="spellStart"/>
      <w:r w:rsidRPr="009C734F">
        <w:rPr>
          <w:rFonts w:ascii="Times New Roman" w:eastAsia="Times New Roman" w:hAnsi="Times New Roman" w:cs="Times New Roman"/>
          <w:sz w:val="28"/>
          <w:szCs w:val="28"/>
          <w:lang w:val="en-US"/>
        </w:rPr>
        <w:t>albuminoviy</w:t>
      </w:r>
      <w:proofErr w:type="spellEnd"/>
      <w:r w:rsidRPr="009C734F">
        <w:rPr>
          <w:rFonts w:ascii="Times New Roman" w:eastAsia="Times New Roman" w:hAnsi="Times New Roman" w:cs="Times New Roman"/>
          <w:sz w:val="28"/>
          <w:szCs w:val="28"/>
          <w:lang w:val="en-US"/>
        </w:rPr>
        <w:t xml:space="preserve"> assigned globulin fractions and serum substances that transport toxins and significant strengthening of deviations in the composition of MSM.</w:t>
      </w:r>
      <w:proofErr w:type="gramEnd"/>
      <w:r w:rsidRPr="009C734F">
        <w:rPr>
          <w:rFonts w:ascii="Times New Roman" w:eastAsia="Times New Roman" w:hAnsi="Times New Roman" w:cs="Times New Roman"/>
          <w:sz w:val="28"/>
          <w:szCs w:val="28"/>
          <w:lang w:val="en-US"/>
        </w:rPr>
        <w:t xml:space="preserve"> These changes were apparently associated with </w:t>
      </w:r>
      <w:proofErr w:type="spellStart"/>
      <w:r w:rsidRPr="009C734F">
        <w:rPr>
          <w:rFonts w:ascii="Times New Roman" w:eastAsia="Times New Roman" w:hAnsi="Times New Roman" w:cs="Times New Roman"/>
          <w:sz w:val="28"/>
          <w:szCs w:val="28"/>
          <w:lang w:val="en-US"/>
        </w:rPr>
        <w:t>decompensation</w:t>
      </w:r>
      <w:proofErr w:type="spellEnd"/>
      <w:r w:rsidRPr="009C734F">
        <w:rPr>
          <w:rFonts w:ascii="Times New Roman" w:eastAsia="Times New Roman" w:hAnsi="Times New Roman" w:cs="Times New Roman"/>
          <w:sz w:val="28"/>
          <w:szCs w:val="28"/>
          <w:lang w:val="en-US"/>
        </w:rPr>
        <w:t xml:space="preserve"> </w:t>
      </w:r>
      <w:r w:rsidR="009C734F">
        <w:rPr>
          <w:rFonts w:ascii="Times New Roman" w:eastAsia="Times New Roman" w:hAnsi="Times New Roman" w:cs="Times New Roman"/>
          <w:sz w:val="28"/>
          <w:szCs w:val="28"/>
          <w:lang w:val="en-US"/>
        </w:rPr>
        <w:t xml:space="preserve">toxin-binding </w:t>
      </w:r>
      <w:r w:rsidRPr="009C734F">
        <w:rPr>
          <w:rFonts w:ascii="Times New Roman" w:eastAsia="Times New Roman" w:hAnsi="Times New Roman" w:cs="Times New Roman"/>
          <w:sz w:val="28"/>
          <w:szCs w:val="28"/>
          <w:lang w:val="en-US"/>
        </w:rPr>
        <w:t xml:space="preserve">ability albumin </w:t>
      </w:r>
      <w:proofErr w:type="spellStart"/>
      <w:r w:rsidR="009C734F">
        <w:rPr>
          <w:rFonts w:ascii="Times New Roman" w:eastAsia="Times New Roman" w:hAnsi="Times New Roman" w:cs="Times New Roman"/>
          <w:sz w:val="28"/>
          <w:szCs w:val="28"/>
          <w:lang w:val="en-US"/>
        </w:rPr>
        <w:t>autoagressive</w:t>
      </w:r>
      <w:proofErr w:type="spellEnd"/>
      <w:r w:rsidRPr="009C734F">
        <w:rPr>
          <w:rFonts w:ascii="Times New Roman" w:eastAsia="Times New Roman" w:hAnsi="Times New Roman" w:cs="Times New Roman"/>
          <w:sz w:val="28"/>
          <w:szCs w:val="28"/>
          <w:lang w:val="en-US"/>
        </w:rPr>
        <w:t xml:space="preserve"> accumulation of substances and products of tissue destruction, which significantly increased the risk of autoimmune complications in patients with </w:t>
      </w:r>
      <w:proofErr w:type="spellStart"/>
      <w:r w:rsidRPr="009C734F">
        <w:rPr>
          <w:rFonts w:ascii="Times New Roman" w:eastAsia="Times New Roman" w:hAnsi="Times New Roman" w:cs="Times New Roman"/>
          <w:sz w:val="28"/>
          <w:szCs w:val="28"/>
          <w:lang w:val="en-US"/>
        </w:rPr>
        <w:t>comorbid</w:t>
      </w:r>
      <w:proofErr w:type="spellEnd"/>
      <w:r w:rsidRPr="009C734F">
        <w:rPr>
          <w:rFonts w:ascii="Times New Roman" w:eastAsia="Times New Roman" w:hAnsi="Times New Roman" w:cs="Times New Roman"/>
          <w:sz w:val="28"/>
          <w:szCs w:val="28"/>
          <w:lang w:val="en-US"/>
        </w:rPr>
        <w:t xml:space="preserve"> disorders. This thesis is confirmed by the survey proliferative activity of lymphocytes in the presence of tissue antigens: in </w:t>
      </w:r>
      <w:proofErr w:type="spellStart"/>
      <w:r w:rsidRPr="009C734F">
        <w:rPr>
          <w:rFonts w:ascii="Times New Roman" w:eastAsia="Times New Roman" w:hAnsi="Times New Roman" w:cs="Times New Roman"/>
          <w:sz w:val="28"/>
          <w:szCs w:val="28"/>
          <w:lang w:val="en-US"/>
        </w:rPr>
        <w:t>comorbidity</w:t>
      </w:r>
      <w:proofErr w:type="spellEnd"/>
      <w:r w:rsidRPr="009C734F">
        <w:rPr>
          <w:rFonts w:ascii="Times New Roman" w:eastAsia="Times New Roman" w:hAnsi="Times New Roman" w:cs="Times New Roman"/>
          <w:sz w:val="28"/>
          <w:szCs w:val="28"/>
          <w:lang w:val="en-US"/>
        </w:rPr>
        <w:t xml:space="preserve"> observed significantly higher immunogenicity lymphocyte antigen to your liver and myocardium that can be seen as a predictor of target organ damage.</w:t>
      </w:r>
    </w:p>
    <w:p w:rsidR="00042C95" w:rsidRPr="009C734F" w:rsidRDefault="00F80E0B" w:rsidP="00F80E0B">
      <w:pPr>
        <w:spacing w:after="0" w:line="240" w:lineRule="auto"/>
        <w:ind w:firstLine="709"/>
        <w:jc w:val="both"/>
        <w:rPr>
          <w:rFonts w:ascii="Times New Roman" w:hAnsi="Times New Roman" w:cs="Times New Roman"/>
          <w:sz w:val="28"/>
          <w:szCs w:val="28"/>
          <w:lang w:val="en-US"/>
        </w:rPr>
      </w:pPr>
      <w:proofErr w:type="gramStart"/>
      <w:r w:rsidRPr="009C734F">
        <w:rPr>
          <w:rFonts w:ascii="Times New Roman" w:eastAsia="Times New Roman" w:hAnsi="Times New Roman" w:cs="Times New Roman"/>
          <w:b/>
          <w:bCs/>
          <w:sz w:val="28"/>
          <w:szCs w:val="28"/>
          <w:lang w:val="en-US"/>
        </w:rPr>
        <w:t>Prospects for further research.</w:t>
      </w:r>
      <w:proofErr w:type="gramEnd"/>
      <w:r w:rsidRPr="009C734F">
        <w:rPr>
          <w:rFonts w:ascii="Times New Roman" w:eastAsia="Times New Roman" w:hAnsi="Times New Roman" w:cs="Times New Roman"/>
          <w:sz w:val="28"/>
          <w:szCs w:val="28"/>
          <w:lang w:val="en-US"/>
        </w:rPr>
        <w:t xml:space="preserve"> One promising avenue is to study other immunological deviations in patients with COPD and </w:t>
      </w:r>
      <w:proofErr w:type="spellStart"/>
      <w:r w:rsidR="009C734F">
        <w:rPr>
          <w:rFonts w:ascii="Times New Roman" w:eastAsia="Times New Roman" w:hAnsi="Times New Roman" w:cs="Times New Roman"/>
          <w:sz w:val="28"/>
          <w:szCs w:val="28"/>
          <w:lang w:val="en-US"/>
        </w:rPr>
        <w:t>comorbidity</w:t>
      </w:r>
      <w:proofErr w:type="spellEnd"/>
      <w:r w:rsidR="009C734F">
        <w:rPr>
          <w:rFonts w:ascii="Times New Roman" w:eastAsia="Times New Roman" w:hAnsi="Times New Roman" w:cs="Times New Roman"/>
          <w:sz w:val="28"/>
          <w:szCs w:val="28"/>
          <w:lang w:val="en-US"/>
        </w:rPr>
        <w:t xml:space="preserve"> of</w:t>
      </w:r>
      <w:r w:rsidRPr="009C734F">
        <w:rPr>
          <w:rFonts w:ascii="Times New Roman" w:eastAsia="Times New Roman" w:hAnsi="Times New Roman" w:cs="Times New Roman"/>
          <w:sz w:val="28"/>
          <w:szCs w:val="28"/>
          <w:lang w:val="en-US"/>
        </w:rPr>
        <w:t xml:space="preserve"> </w:t>
      </w:r>
      <w:r w:rsidR="009C734F">
        <w:rPr>
          <w:rFonts w:ascii="Times New Roman" w:eastAsia="Times New Roman" w:hAnsi="Times New Roman" w:cs="Times New Roman"/>
          <w:sz w:val="28"/>
          <w:szCs w:val="28"/>
          <w:lang w:val="en-US"/>
        </w:rPr>
        <w:t>CP</w:t>
      </w:r>
      <w:r w:rsidRPr="009C734F">
        <w:rPr>
          <w:rFonts w:ascii="Times New Roman" w:eastAsia="Times New Roman" w:hAnsi="Times New Roman" w:cs="Times New Roman"/>
          <w:sz w:val="28"/>
          <w:szCs w:val="28"/>
          <w:lang w:val="en-US"/>
        </w:rPr>
        <w:t xml:space="preserve"> and comparing the results obtained with the presented data.</w:t>
      </w:r>
    </w:p>
    <w:p w:rsidR="00042C95" w:rsidRPr="009C734F" w:rsidRDefault="00042C95" w:rsidP="00F80E0B">
      <w:pPr>
        <w:spacing w:after="0" w:line="240" w:lineRule="auto"/>
        <w:ind w:firstLine="709"/>
        <w:jc w:val="both"/>
        <w:rPr>
          <w:rFonts w:ascii="Times New Roman" w:hAnsi="Times New Roman" w:cs="Times New Roman"/>
          <w:sz w:val="28"/>
          <w:szCs w:val="28"/>
          <w:lang w:val="en-US"/>
        </w:rPr>
      </w:pPr>
    </w:p>
    <w:p w:rsidR="00042C95" w:rsidRPr="009C734F" w:rsidRDefault="005B40D0" w:rsidP="009C734F">
      <w:pPr>
        <w:spacing w:after="0" w:line="240" w:lineRule="auto"/>
        <w:ind w:firstLine="708"/>
        <w:rPr>
          <w:rFonts w:ascii="Times New Roman" w:hAnsi="Times New Roman" w:cs="Times New Roman"/>
          <w:b/>
          <w:sz w:val="28"/>
          <w:szCs w:val="28"/>
          <w:lang w:val="uk-UA"/>
        </w:rPr>
      </w:pPr>
      <w:r w:rsidRPr="009C734F">
        <w:rPr>
          <w:rFonts w:ascii="Times New Roman" w:hAnsi="Times New Roman" w:cs="Times New Roman"/>
          <w:b/>
          <w:sz w:val="28"/>
          <w:szCs w:val="28"/>
          <w:lang w:val="en-US"/>
        </w:rPr>
        <w:t>References</w:t>
      </w:r>
      <w:r w:rsidR="00E05A4B" w:rsidRPr="009C734F">
        <w:rPr>
          <w:rFonts w:ascii="Times New Roman" w:hAnsi="Times New Roman" w:cs="Times New Roman"/>
          <w:b/>
          <w:sz w:val="28"/>
          <w:szCs w:val="28"/>
          <w:lang w:val="uk-UA"/>
        </w:rPr>
        <w:t>:</w:t>
      </w:r>
    </w:p>
    <w:p w:rsidR="00042C95" w:rsidRPr="009C734F" w:rsidRDefault="00042C95" w:rsidP="00F80E0B">
      <w:pPr>
        <w:pStyle w:val="a3"/>
        <w:numPr>
          <w:ilvl w:val="0"/>
          <w:numId w:val="2"/>
        </w:numPr>
        <w:tabs>
          <w:tab w:val="left" w:pos="1134"/>
        </w:tabs>
        <w:spacing w:after="0" w:line="240" w:lineRule="auto"/>
        <w:ind w:left="0" w:firstLine="709"/>
        <w:jc w:val="both"/>
        <w:rPr>
          <w:rFonts w:ascii="Times New Roman" w:hAnsi="Times New Roman" w:cs="Times New Roman"/>
          <w:sz w:val="28"/>
          <w:szCs w:val="28"/>
        </w:rPr>
      </w:pPr>
      <w:bookmarkStart w:id="1" w:name="_Ref459720377"/>
      <w:proofErr w:type="spellStart"/>
      <w:r w:rsidRPr="009C734F">
        <w:rPr>
          <w:rFonts w:ascii="Times New Roman" w:hAnsi="Times New Roman" w:cs="Times New Roman"/>
          <w:sz w:val="28"/>
          <w:szCs w:val="28"/>
        </w:rPr>
        <w:t>Дранник</w:t>
      </w:r>
      <w:proofErr w:type="spellEnd"/>
      <w:r w:rsidRPr="009C734F">
        <w:rPr>
          <w:rFonts w:ascii="Times New Roman" w:hAnsi="Times New Roman" w:cs="Times New Roman"/>
          <w:sz w:val="28"/>
          <w:szCs w:val="28"/>
        </w:rPr>
        <w:t xml:space="preserve"> Г.</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Н. Клиническая имму</w:t>
      </w:r>
      <w:r w:rsidR="00452803" w:rsidRPr="009C734F">
        <w:rPr>
          <w:rFonts w:ascii="Times New Roman" w:hAnsi="Times New Roman" w:cs="Times New Roman"/>
          <w:sz w:val="28"/>
          <w:szCs w:val="28"/>
        </w:rPr>
        <w:t>нология и аллергология</w:t>
      </w:r>
      <w:proofErr w:type="gramStart"/>
      <w:r w:rsidR="00452803" w:rsidRPr="009C734F">
        <w:rPr>
          <w:rFonts w:ascii="Times New Roman" w:hAnsi="Times New Roman" w:cs="Times New Roman"/>
          <w:sz w:val="28"/>
          <w:szCs w:val="28"/>
        </w:rPr>
        <w:t xml:space="preserve"> :</w:t>
      </w:r>
      <w:proofErr w:type="gramEnd"/>
      <w:r w:rsidR="00452803" w:rsidRPr="009C734F">
        <w:rPr>
          <w:rFonts w:ascii="Times New Roman" w:hAnsi="Times New Roman" w:cs="Times New Roman"/>
          <w:sz w:val="28"/>
          <w:szCs w:val="28"/>
        </w:rPr>
        <w:t xml:space="preserve"> пособие / Г. Н. </w:t>
      </w:r>
      <w:proofErr w:type="spellStart"/>
      <w:r w:rsidR="00452803" w:rsidRPr="009C734F">
        <w:rPr>
          <w:rFonts w:ascii="Times New Roman" w:hAnsi="Times New Roman" w:cs="Times New Roman"/>
          <w:sz w:val="28"/>
          <w:szCs w:val="28"/>
        </w:rPr>
        <w:t>Дранник</w:t>
      </w:r>
      <w:proofErr w:type="spellEnd"/>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4-е изд.</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xml:space="preserve"> доп.</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К.</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Полиграф плюс, 2010.</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552 с.</w:t>
      </w:r>
      <w:bookmarkEnd w:id="1"/>
    </w:p>
    <w:p w:rsidR="00042C95" w:rsidRPr="009C734F" w:rsidRDefault="00042C95" w:rsidP="00F80E0B">
      <w:pPr>
        <w:pStyle w:val="a3"/>
        <w:numPr>
          <w:ilvl w:val="0"/>
          <w:numId w:val="2"/>
        </w:numPr>
        <w:tabs>
          <w:tab w:val="left" w:pos="1134"/>
        </w:tabs>
        <w:spacing w:after="0" w:line="240" w:lineRule="auto"/>
        <w:ind w:left="0" w:firstLine="709"/>
        <w:jc w:val="both"/>
        <w:rPr>
          <w:rFonts w:ascii="Times New Roman" w:hAnsi="Times New Roman" w:cs="Times New Roman"/>
          <w:sz w:val="28"/>
          <w:szCs w:val="28"/>
        </w:rPr>
      </w:pPr>
      <w:bookmarkStart w:id="2" w:name="_Ref459720388"/>
      <w:proofErr w:type="gramStart"/>
      <w:r w:rsidRPr="009C734F">
        <w:rPr>
          <w:rFonts w:ascii="Times New Roman" w:hAnsi="Times New Roman" w:cs="Times New Roman"/>
          <w:sz w:val="28"/>
          <w:szCs w:val="28"/>
        </w:rPr>
        <w:t>Черный</w:t>
      </w:r>
      <w:proofErr w:type="gramEnd"/>
      <w:r w:rsidRPr="009C734F">
        <w:rPr>
          <w:rFonts w:ascii="Times New Roman" w:hAnsi="Times New Roman" w:cs="Times New Roman"/>
          <w:sz w:val="28"/>
          <w:szCs w:val="28"/>
        </w:rPr>
        <w:t xml:space="preserve"> В.</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И.</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xml:space="preserve">Нарушения иммунитета при критических состояниях. Особенности диагностики </w:t>
      </w:r>
      <w:r w:rsidR="00452803" w:rsidRPr="009C734F">
        <w:rPr>
          <w:rFonts w:ascii="Times New Roman" w:hAnsi="Times New Roman" w:cs="Times New Roman"/>
          <w:sz w:val="28"/>
          <w:szCs w:val="28"/>
        </w:rPr>
        <w:t xml:space="preserve">/ В. И. Черный, А. Н. Нестеренко </w:t>
      </w:r>
      <w:r w:rsidRPr="009C734F">
        <w:rPr>
          <w:rFonts w:ascii="Times New Roman" w:hAnsi="Times New Roman" w:cs="Times New Roman"/>
          <w:sz w:val="28"/>
          <w:szCs w:val="28"/>
        </w:rPr>
        <w:t xml:space="preserve">// </w:t>
      </w:r>
      <w:proofErr w:type="spellStart"/>
      <w:r w:rsidRPr="009C734F">
        <w:rPr>
          <w:rFonts w:ascii="Times New Roman" w:hAnsi="Times New Roman" w:cs="Times New Roman"/>
          <w:sz w:val="28"/>
          <w:szCs w:val="28"/>
        </w:rPr>
        <w:t>Внутр</w:t>
      </w:r>
      <w:proofErr w:type="spellEnd"/>
      <w:r w:rsidRPr="009C734F">
        <w:rPr>
          <w:rFonts w:ascii="Times New Roman" w:hAnsi="Times New Roman" w:cs="Times New Roman"/>
          <w:sz w:val="28"/>
          <w:szCs w:val="28"/>
        </w:rPr>
        <w:t>. мед.</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2007</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 3</w:t>
      </w:r>
      <w:r w:rsidR="00452803" w:rsidRPr="009C734F">
        <w:rPr>
          <w:rFonts w:ascii="Times New Roman" w:hAnsi="Times New Roman" w:cs="Times New Roman"/>
          <w:sz w:val="28"/>
          <w:szCs w:val="28"/>
        </w:rPr>
        <w:t xml:space="preserve">. </w:t>
      </w:r>
      <w:r w:rsidRPr="009C734F">
        <w:rPr>
          <w:rFonts w:ascii="Times New Roman" w:hAnsi="Times New Roman" w:cs="Times New Roman"/>
          <w:sz w:val="28"/>
          <w:szCs w:val="28"/>
        </w:rPr>
        <w:t>— С. 25</w:t>
      </w:r>
      <w:r w:rsidR="00452803" w:rsidRPr="009C734F">
        <w:rPr>
          <w:rFonts w:ascii="Times New Roman" w:hAnsi="Times New Roman" w:cs="Times New Roman"/>
          <w:sz w:val="28"/>
          <w:szCs w:val="28"/>
        </w:rPr>
        <w:t>–</w:t>
      </w:r>
      <w:r w:rsidRPr="009C734F">
        <w:rPr>
          <w:rFonts w:ascii="Times New Roman" w:hAnsi="Times New Roman" w:cs="Times New Roman"/>
          <w:sz w:val="28"/>
          <w:szCs w:val="28"/>
        </w:rPr>
        <w:t>38.</w:t>
      </w:r>
      <w:bookmarkEnd w:id="2"/>
    </w:p>
    <w:p w:rsidR="00042C95" w:rsidRPr="009C734F" w:rsidRDefault="00042C95" w:rsidP="00F80E0B">
      <w:pPr>
        <w:pStyle w:val="a3"/>
        <w:numPr>
          <w:ilvl w:val="0"/>
          <w:numId w:val="2"/>
        </w:numPr>
        <w:tabs>
          <w:tab w:val="left" w:pos="1134"/>
        </w:tabs>
        <w:spacing w:after="0" w:line="240" w:lineRule="auto"/>
        <w:ind w:left="0" w:firstLine="709"/>
        <w:jc w:val="both"/>
        <w:rPr>
          <w:rFonts w:ascii="Times New Roman" w:hAnsi="Times New Roman" w:cs="Times New Roman"/>
          <w:sz w:val="28"/>
          <w:szCs w:val="28"/>
        </w:rPr>
      </w:pPr>
      <w:bookmarkStart w:id="3" w:name="_Ref459720752"/>
      <w:proofErr w:type="spellStart"/>
      <w:r w:rsidRPr="009C734F">
        <w:rPr>
          <w:rFonts w:ascii="Times New Roman" w:hAnsi="Times New Roman" w:cs="Times New Roman"/>
          <w:sz w:val="28"/>
          <w:szCs w:val="28"/>
        </w:rPr>
        <w:t>Шано</w:t>
      </w:r>
      <w:proofErr w:type="spellEnd"/>
      <w:r w:rsidRPr="009C734F">
        <w:rPr>
          <w:rFonts w:ascii="Times New Roman" w:hAnsi="Times New Roman" w:cs="Times New Roman"/>
          <w:sz w:val="28"/>
          <w:szCs w:val="28"/>
        </w:rPr>
        <w:t xml:space="preserve"> В.</w:t>
      </w:r>
      <w:r w:rsidR="00B3148F" w:rsidRPr="009C734F">
        <w:rPr>
          <w:rFonts w:ascii="Times New Roman" w:hAnsi="Times New Roman" w:cs="Times New Roman"/>
          <w:sz w:val="28"/>
          <w:szCs w:val="28"/>
        </w:rPr>
        <w:t xml:space="preserve"> </w:t>
      </w:r>
      <w:r w:rsidRPr="009C734F">
        <w:rPr>
          <w:rFonts w:ascii="Times New Roman" w:hAnsi="Times New Roman" w:cs="Times New Roman"/>
          <w:sz w:val="28"/>
          <w:szCs w:val="28"/>
        </w:rPr>
        <w:t>П.</w:t>
      </w:r>
      <w:r w:rsidR="00B3148F" w:rsidRPr="009C734F">
        <w:rPr>
          <w:rFonts w:ascii="Times New Roman" w:hAnsi="Times New Roman" w:cs="Times New Roman"/>
          <w:sz w:val="28"/>
          <w:szCs w:val="28"/>
        </w:rPr>
        <w:t xml:space="preserve"> </w:t>
      </w:r>
      <w:r w:rsidRPr="009C734F">
        <w:rPr>
          <w:rFonts w:ascii="Times New Roman" w:hAnsi="Times New Roman" w:cs="Times New Roman"/>
          <w:sz w:val="28"/>
          <w:szCs w:val="28"/>
        </w:rPr>
        <w:t xml:space="preserve">Синдром эндогенной интоксикации </w:t>
      </w:r>
      <w:r w:rsidR="00B3148F" w:rsidRPr="009C734F">
        <w:rPr>
          <w:rFonts w:ascii="Times New Roman" w:hAnsi="Times New Roman" w:cs="Times New Roman"/>
          <w:sz w:val="28"/>
          <w:szCs w:val="28"/>
        </w:rPr>
        <w:t xml:space="preserve">/ В. П. </w:t>
      </w:r>
      <w:proofErr w:type="spellStart"/>
      <w:r w:rsidR="00B3148F" w:rsidRPr="009C734F">
        <w:rPr>
          <w:rFonts w:ascii="Times New Roman" w:hAnsi="Times New Roman" w:cs="Times New Roman"/>
          <w:sz w:val="28"/>
          <w:szCs w:val="28"/>
        </w:rPr>
        <w:t>Шано</w:t>
      </w:r>
      <w:proofErr w:type="spellEnd"/>
      <w:r w:rsidR="00B3148F" w:rsidRPr="009C734F">
        <w:rPr>
          <w:rFonts w:ascii="Times New Roman" w:hAnsi="Times New Roman" w:cs="Times New Roman"/>
          <w:sz w:val="28"/>
          <w:szCs w:val="28"/>
        </w:rPr>
        <w:t xml:space="preserve">, Е. А. Кучер </w:t>
      </w:r>
      <w:r w:rsidRPr="009C734F">
        <w:rPr>
          <w:rFonts w:ascii="Times New Roman" w:hAnsi="Times New Roman" w:cs="Times New Roman"/>
          <w:sz w:val="28"/>
          <w:szCs w:val="28"/>
        </w:rPr>
        <w:t>// Острые и неотложные состояния в практике врача.</w:t>
      </w:r>
      <w:r w:rsidR="00B3148F" w:rsidRPr="009C734F">
        <w:rPr>
          <w:rFonts w:ascii="Times New Roman" w:hAnsi="Times New Roman" w:cs="Times New Roman"/>
          <w:sz w:val="28"/>
          <w:szCs w:val="28"/>
        </w:rPr>
        <w:t xml:space="preserve"> </w:t>
      </w:r>
      <w:r w:rsidRPr="009C734F">
        <w:rPr>
          <w:rFonts w:ascii="Times New Roman" w:hAnsi="Times New Roman" w:cs="Times New Roman"/>
          <w:sz w:val="28"/>
          <w:szCs w:val="28"/>
        </w:rPr>
        <w:t>— 2011.</w:t>
      </w:r>
      <w:r w:rsidR="00B3148F" w:rsidRPr="009C734F">
        <w:rPr>
          <w:rFonts w:ascii="Times New Roman" w:hAnsi="Times New Roman" w:cs="Times New Roman"/>
          <w:sz w:val="28"/>
          <w:szCs w:val="28"/>
        </w:rPr>
        <w:t xml:space="preserve"> </w:t>
      </w:r>
      <w:r w:rsidRPr="009C734F">
        <w:rPr>
          <w:rFonts w:ascii="Times New Roman" w:hAnsi="Times New Roman" w:cs="Times New Roman"/>
          <w:sz w:val="28"/>
          <w:szCs w:val="28"/>
        </w:rPr>
        <w:t>— № 1.</w:t>
      </w:r>
      <w:r w:rsidR="00B3148F" w:rsidRPr="009C734F">
        <w:rPr>
          <w:rFonts w:ascii="Times New Roman" w:hAnsi="Times New Roman" w:cs="Times New Roman"/>
          <w:sz w:val="28"/>
          <w:szCs w:val="28"/>
        </w:rPr>
        <w:t xml:space="preserve"> </w:t>
      </w:r>
      <w:r w:rsidRPr="009C734F">
        <w:rPr>
          <w:rFonts w:ascii="Times New Roman" w:hAnsi="Times New Roman" w:cs="Times New Roman"/>
          <w:sz w:val="28"/>
          <w:szCs w:val="28"/>
        </w:rPr>
        <w:t>—С. 35</w:t>
      </w:r>
      <w:r w:rsidR="00B3148F" w:rsidRPr="009C734F">
        <w:rPr>
          <w:rFonts w:ascii="Times New Roman" w:hAnsi="Times New Roman" w:cs="Times New Roman"/>
          <w:sz w:val="28"/>
          <w:szCs w:val="28"/>
        </w:rPr>
        <w:t>–</w:t>
      </w:r>
      <w:r w:rsidRPr="009C734F">
        <w:rPr>
          <w:rFonts w:ascii="Times New Roman" w:hAnsi="Times New Roman" w:cs="Times New Roman"/>
          <w:sz w:val="28"/>
          <w:szCs w:val="28"/>
        </w:rPr>
        <w:t>41.</w:t>
      </w:r>
      <w:bookmarkEnd w:id="3"/>
    </w:p>
    <w:p w:rsidR="00042C95" w:rsidRPr="009C734F" w:rsidRDefault="00042C95" w:rsidP="00F80E0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bookmarkStart w:id="4" w:name="_Ref459720393"/>
      <w:r w:rsidRPr="009C734F">
        <w:rPr>
          <w:rFonts w:ascii="Times New Roman" w:hAnsi="Times New Roman" w:cs="Times New Roman"/>
          <w:sz w:val="28"/>
          <w:szCs w:val="28"/>
          <w:lang w:val="en-US"/>
        </w:rPr>
        <w:t xml:space="preserve">Danilova N. The evolution of adaptive immunity </w:t>
      </w:r>
      <w:r w:rsidR="009A0533" w:rsidRPr="009C734F">
        <w:rPr>
          <w:rFonts w:ascii="Times New Roman" w:hAnsi="Times New Roman" w:cs="Times New Roman"/>
          <w:sz w:val="28"/>
          <w:szCs w:val="28"/>
          <w:lang w:val="en-US"/>
        </w:rPr>
        <w:t xml:space="preserve">/ N. Danilova </w:t>
      </w:r>
      <w:r w:rsidRPr="009C734F">
        <w:rPr>
          <w:rFonts w:ascii="Times New Roman" w:hAnsi="Times New Roman" w:cs="Times New Roman"/>
          <w:sz w:val="28"/>
          <w:szCs w:val="28"/>
          <w:lang w:val="en-US"/>
        </w:rPr>
        <w:t>// Adv. Exp. Med. Biol</w:t>
      </w:r>
      <w:r w:rsidR="009A0533" w:rsidRPr="009C734F">
        <w:rPr>
          <w:rFonts w:ascii="Times New Roman" w:hAnsi="Times New Roman" w:cs="Times New Roman"/>
          <w:sz w:val="28"/>
          <w:szCs w:val="28"/>
          <w:lang w:val="en-US"/>
        </w:rPr>
        <w:t>.</w:t>
      </w:r>
      <w:r w:rsidRPr="009C734F">
        <w:rPr>
          <w:rFonts w:ascii="Times New Roman" w:hAnsi="Times New Roman" w:cs="Times New Roman"/>
          <w:sz w:val="28"/>
          <w:szCs w:val="28"/>
          <w:lang w:val="en-US"/>
        </w:rPr>
        <w:t xml:space="preserve"> — 2012.</w:t>
      </w:r>
      <w:r w:rsidR="009A053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Vol. 738</w:t>
      </w:r>
      <w:r w:rsidR="009A053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P. 218</w:t>
      </w:r>
      <w:r w:rsidR="009A0533" w:rsidRPr="009C734F">
        <w:rPr>
          <w:rFonts w:ascii="Times New Roman" w:hAnsi="Times New Roman" w:cs="Times New Roman"/>
          <w:sz w:val="28"/>
          <w:szCs w:val="28"/>
          <w:lang w:val="en-US"/>
        </w:rPr>
        <w:t>–</w:t>
      </w:r>
      <w:r w:rsidRPr="009C734F">
        <w:rPr>
          <w:rFonts w:ascii="Times New Roman" w:hAnsi="Times New Roman" w:cs="Times New Roman"/>
          <w:sz w:val="28"/>
          <w:szCs w:val="28"/>
          <w:lang w:val="en-US"/>
        </w:rPr>
        <w:t>235.</w:t>
      </w:r>
      <w:bookmarkEnd w:id="4"/>
    </w:p>
    <w:p w:rsidR="00042C95" w:rsidRPr="009C734F" w:rsidRDefault="00042C95" w:rsidP="00F80E0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en-US"/>
        </w:rPr>
      </w:pPr>
      <w:bookmarkStart w:id="5" w:name="_Ref459720398"/>
      <w:proofErr w:type="spellStart"/>
      <w:r w:rsidRPr="009C734F">
        <w:rPr>
          <w:rFonts w:ascii="Times New Roman" w:hAnsi="Times New Roman" w:cs="Times New Roman"/>
          <w:sz w:val="28"/>
          <w:szCs w:val="28"/>
          <w:lang w:val="en-US"/>
        </w:rPr>
        <w:t>Humoral</w:t>
      </w:r>
      <w:proofErr w:type="spellEnd"/>
      <w:r w:rsidRPr="009C734F">
        <w:rPr>
          <w:rFonts w:ascii="Times New Roman" w:hAnsi="Times New Roman" w:cs="Times New Roman"/>
          <w:sz w:val="28"/>
          <w:szCs w:val="28"/>
          <w:lang w:val="en-US"/>
        </w:rPr>
        <w:t xml:space="preserve"> innate immune response and disease</w:t>
      </w:r>
      <w:r w:rsidR="00074B6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xml:space="preserve"> </w:t>
      </w:r>
      <w:r w:rsidR="00074B63" w:rsidRPr="009C734F">
        <w:rPr>
          <w:rFonts w:ascii="Times New Roman" w:hAnsi="Times New Roman" w:cs="Times New Roman"/>
          <w:sz w:val="28"/>
          <w:szCs w:val="28"/>
          <w:lang w:val="en-US"/>
        </w:rPr>
        <w:t xml:space="preserve">S. N. </w:t>
      </w:r>
      <w:proofErr w:type="spellStart"/>
      <w:r w:rsidR="00074B63" w:rsidRPr="009C734F">
        <w:rPr>
          <w:rFonts w:ascii="Times New Roman" w:hAnsi="Times New Roman" w:cs="Times New Roman"/>
          <w:sz w:val="28"/>
          <w:szCs w:val="28"/>
          <w:lang w:val="en-US"/>
        </w:rPr>
        <w:t>Shishido</w:t>
      </w:r>
      <w:proofErr w:type="spellEnd"/>
      <w:r w:rsidR="00074B63" w:rsidRPr="009C734F">
        <w:rPr>
          <w:rFonts w:ascii="Times New Roman" w:hAnsi="Times New Roman" w:cs="Times New Roman"/>
          <w:sz w:val="28"/>
          <w:szCs w:val="28"/>
          <w:lang w:val="en-US"/>
        </w:rPr>
        <w:t xml:space="preserve">, S. </w:t>
      </w:r>
      <w:proofErr w:type="spellStart"/>
      <w:r w:rsidR="00074B63" w:rsidRPr="009C734F">
        <w:rPr>
          <w:rFonts w:ascii="Times New Roman" w:hAnsi="Times New Roman" w:cs="Times New Roman"/>
          <w:sz w:val="28"/>
          <w:szCs w:val="28"/>
          <w:lang w:val="en-US"/>
        </w:rPr>
        <w:t>Varahan</w:t>
      </w:r>
      <w:proofErr w:type="spellEnd"/>
      <w:r w:rsidR="00074B63" w:rsidRPr="009C734F">
        <w:rPr>
          <w:rFonts w:ascii="Times New Roman" w:hAnsi="Times New Roman" w:cs="Times New Roman"/>
          <w:sz w:val="28"/>
          <w:szCs w:val="28"/>
          <w:lang w:val="en-US"/>
        </w:rPr>
        <w:t xml:space="preserve">, K. Yuan [et al.] </w:t>
      </w:r>
      <w:r w:rsidRPr="009C734F">
        <w:rPr>
          <w:rFonts w:ascii="Times New Roman" w:hAnsi="Times New Roman" w:cs="Times New Roman"/>
          <w:sz w:val="28"/>
          <w:szCs w:val="28"/>
          <w:lang w:val="en-US"/>
        </w:rPr>
        <w:t xml:space="preserve">// </w:t>
      </w:r>
      <w:proofErr w:type="spellStart"/>
      <w:r w:rsidRPr="009C734F">
        <w:rPr>
          <w:rFonts w:ascii="Times New Roman" w:hAnsi="Times New Roman" w:cs="Times New Roman"/>
          <w:sz w:val="28"/>
          <w:szCs w:val="28"/>
          <w:lang w:val="en-US"/>
        </w:rPr>
        <w:t>Clin</w:t>
      </w:r>
      <w:proofErr w:type="spellEnd"/>
      <w:r w:rsidRPr="009C734F">
        <w:rPr>
          <w:rFonts w:ascii="Times New Roman" w:hAnsi="Times New Roman" w:cs="Times New Roman"/>
          <w:sz w:val="28"/>
          <w:szCs w:val="28"/>
          <w:lang w:val="en-US"/>
        </w:rPr>
        <w:t xml:space="preserve">. </w:t>
      </w:r>
      <w:proofErr w:type="spellStart"/>
      <w:r w:rsidRPr="009C734F">
        <w:rPr>
          <w:rFonts w:ascii="Times New Roman" w:hAnsi="Times New Roman" w:cs="Times New Roman"/>
          <w:sz w:val="28"/>
          <w:szCs w:val="28"/>
          <w:lang w:val="en-US"/>
        </w:rPr>
        <w:t>Immunol</w:t>
      </w:r>
      <w:proofErr w:type="spellEnd"/>
      <w:r w:rsidRPr="009C734F">
        <w:rPr>
          <w:rFonts w:ascii="Times New Roman" w:hAnsi="Times New Roman" w:cs="Times New Roman"/>
          <w:sz w:val="28"/>
          <w:szCs w:val="28"/>
          <w:lang w:val="en-US"/>
        </w:rPr>
        <w:t>.</w:t>
      </w:r>
      <w:r w:rsidR="00074B6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2012.</w:t>
      </w:r>
      <w:r w:rsidR="00074B6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xml:space="preserve">— </w:t>
      </w:r>
      <w:r w:rsidR="00074B63" w:rsidRPr="009C734F">
        <w:rPr>
          <w:rFonts w:ascii="Times New Roman" w:hAnsi="Times New Roman" w:cs="Times New Roman"/>
          <w:sz w:val="28"/>
          <w:szCs w:val="28"/>
          <w:lang w:val="en-US"/>
        </w:rPr>
        <w:t>Vol.</w:t>
      </w:r>
      <w:r w:rsidRPr="009C734F">
        <w:rPr>
          <w:rFonts w:ascii="Times New Roman" w:hAnsi="Times New Roman" w:cs="Times New Roman"/>
          <w:sz w:val="28"/>
          <w:szCs w:val="28"/>
          <w:lang w:val="en-US"/>
        </w:rPr>
        <w:t xml:space="preserve"> 144</w:t>
      </w:r>
      <w:r w:rsidR="00074B63" w:rsidRPr="009C734F">
        <w:rPr>
          <w:rFonts w:ascii="Times New Roman" w:hAnsi="Times New Roman" w:cs="Times New Roman"/>
          <w:sz w:val="28"/>
          <w:szCs w:val="28"/>
          <w:lang w:val="en-US"/>
        </w:rPr>
        <w:t xml:space="preserve">, No </w:t>
      </w:r>
      <w:r w:rsidRPr="009C734F">
        <w:rPr>
          <w:rFonts w:ascii="Times New Roman" w:hAnsi="Times New Roman" w:cs="Times New Roman"/>
          <w:sz w:val="28"/>
          <w:szCs w:val="28"/>
          <w:lang w:val="en-US"/>
        </w:rPr>
        <w:t>2.</w:t>
      </w:r>
      <w:r w:rsidR="00074B63"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w:t>
      </w:r>
      <w:r w:rsidR="00074B63" w:rsidRPr="009C734F">
        <w:rPr>
          <w:rFonts w:ascii="Times New Roman" w:hAnsi="Times New Roman" w:cs="Times New Roman"/>
          <w:sz w:val="28"/>
          <w:szCs w:val="28"/>
          <w:lang w:val="en-US"/>
        </w:rPr>
        <w:t xml:space="preserve"> P.</w:t>
      </w:r>
      <w:r w:rsidRPr="009C734F">
        <w:rPr>
          <w:rFonts w:ascii="Times New Roman" w:hAnsi="Times New Roman" w:cs="Times New Roman"/>
          <w:sz w:val="28"/>
          <w:szCs w:val="28"/>
          <w:lang w:val="en-US"/>
        </w:rPr>
        <w:t xml:space="preserve"> 142</w:t>
      </w:r>
      <w:r w:rsidR="00074B63" w:rsidRPr="009C734F">
        <w:rPr>
          <w:rFonts w:ascii="Times New Roman" w:hAnsi="Times New Roman" w:cs="Times New Roman"/>
          <w:sz w:val="28"/>
          <w:szCs w:val="28"/>
          <w:lang w:val="en-US"/>
        </w:rPr>
        <w:t>–</w:t>
      </w:r>
      <w:r w:rsidRPr="009C734F">
        <w:rPr>
          <w:rFonts w:ascii="Times New Roman" w:hAnsi="Times New Roman" w:cs="Times New Roman"/>
          <w:sz w:val="28"/>
          <w:szCs w:val="28"/>
          <w:lang w:val="en-US"/>
        </w:rPr>
        <w:t>158.</w:t>
      </w:r>
      <w:bookmarkEnd w:id="5"/>
    </w:p>
    <w:p w:rsidR="00EA5C38" w:rsidRPr="009C734F" w:rsidRDefault="00EA5C38" w:rsidP="00F80E0B">
      <w:pPr>
        <w:tabs>
          <w:tab w:val="left" w:pos="1134"/>
        </w:tabs>
        <w:spacing w:after="0" w:line="240" w:lineRule="auto"/>
        <w:ind w:firstLine="709"/>
        <w:jc w:val="both"/>
        <w:rPr>
          <w:rFonts w:ascii="Times New Roman" w:hAnsi="Times New Roman" w:cs="Times New Roman"/>
          <w:sz w:val="28"/>
          <w:szCs w:val="28"/>
          <w:lang w:val="en-US"/>
        </w:rPr>
      </w:pPr>
    </w:p>
    <w:p w:rsidR="00835CAB" w:rsidRPr="009C734F" w:rsidRDefault="00835CAB" w:rsidP="00F80E0B">
      <w:pPr>
        <w:spacing w:after="0" w:line="240" w:lineRule="auto"/>
        <w:jc w:val="center"/>
        <w:rPr>
          <w:rFonts w:ascii="Times New Roman" w:hAnsi="Times New Roman" w:cs="Times New Roman"/>
          <w:b/>
          <w:sz w:val="28"/>
          <w:szCs w:val="28"/>
          <w:lang w:val="en-US"/>
        </w:rPr>
      </w:pPr>
      <w:r w:rsidRPr="009C734F">
        <w:rPr>
          <w:rFonts w:ascii="Times New Roman" w:hAnsi="Times New Roman" w:cs="Times New Roman"/>
          <w:b/>
          <w:sz w:val="28"/>
          <w:szCs w:val="28"/>
          <w:lang w:val="en-US"/>
        </w:rPr>
        <w:t xml:space="preserve">Immunological aspects of </w:t>
      </w:r>
      <w:proofErr w:type="spellStart"/>
      <w:r w:rsidRPr="009C734F">
        <w:rPr>
          <w:rFonts w:ascii="Times New Roman" w:hAnsi="Times New Roman" w:cs="Times New Roman"/>
          <w:b/>
          <w:sz w:val="28"/>
          <w:szCs w:val="28"/>
          <w:lang w:val="en-US"/>
        </w:rPr>
        <w:t>comorbid</w:t>
      </w:r>
      <w:proofErr w:type="spellEnd"/>
      <w:r w:rsidRPr="009C734F">
        <w:rPr>
          <w:rFonts w:ascii="Times New Roman" w:hAnsi="Times New Roman" w:cs="Times New Roman"/>
          <w:b/>
          <w:sz w:val="28"/>
          <w:szCs w:val="28"/>
          <w:lang w:val="en-US"/>
        </w:rPr>
        <w:t xml:space="preserve"> course of chronic obstructive pulmonary disease and chronic pancreatitis</w:t>
      </w:r>
    </w:p>
    <w:p w:rsidR="00835CAB" w:rsidRPr="009C734F" w:rsidRDefault="00835CAB" w:rsidP="00F80E0B">
      <w:pPr>
        <w:spacing w:after="0" w:line="240" w:lineRule="auto"/>
        <w:jc w:val="center"/>
        <w:rPr>
          <w:rFonts w:ascii="Times New Roman" w:hAnsi="Times New Roman" w:cs="Times New Roman"/>
          <w:sz w:val="28"/>
          <w:szCs w:val="28"/>
          <w:lang w:val="en-US"/>
        </w:rPr>
      </w:pPr>
      <w:r w:rsidRPr="009C734F">
        <w:rPr>
          <w:rFonts w:ascii="Times New Roman" w:hAnsi="Times New Roman" w:cs="Times New Roman"/>
          <w:sz w:val="28"/>
          <w:szCs w:val="28"/>
          <w:lang w:val="en-US"/>
        </w:rPr>
        <w:t>N.</w:t>
      </w:r>
      <w:r w:rsidR="00F66DC7" w:rsidRPr="009C734F">
        <w:rPr>
          <w:rFonts w:ascii="Times New Roman" w:hAnsi="Times New Roman" w:cs="Times New Roman"/>
          <w:sz w:val="28"/>
          <w:szCs w:val="28"/>
          <w:lang w:val="en-US"/>
        </w:rPr>
        <w:t xml:space="preserve"> </w:t>
      </w:r>
      <w:r w:rsidRPr="009C734F">
        <w:rPr>
          <w:rFonts w:ascii="Times New Roman" w:hAnsi="Times New Roman" w:cs="Times New Roman"/>
          <w:sz w:val="28"/>
          <w:szCs w:val="28"/>
          <w:lang w:val="en-US"/>
        </w:rPr>
        <w:t xml:space="preserve">M. </w:t>
      </w:r>
      <w:proofErr w:type="spellStart"/>
      <w:r w:rsidRPr="009C734F">
        <w:rPr>
          <w:rFonts w:ascii="Times New Roman" w:hAnsi="Times New Roman" w:cs="Times New Roman"/>
          <w:sz w:val="28"/>
          <w:szCs w:val="28"/>
          <w:lang w:val="en-US"/>
        </w:rPr>
        <w:t>Zhelezniakova</w:t>
      </w:r>
      <w:proofErr w:type="spellEnd"/>
    </w:p>
    <w:p w:rsidR="00835CAB" w:rsidRPr="009C734F" w:rsidRDefault="00835CAB" w:rsidP="00F80E0B">
      <w:pPr>
        <w:spacing w:after="0" w:line="240" w:lineRule="auto"/>
        <w:jc w:val="center"/>
        <w:rPr>
          <w:rFonts w:ascii="Times New Roman" w:hAnsi="Times New Roman" w:cs="Times New Roman"/>
          <w:sz w:val="28"/>
          <w:szCs w:val="28"/>
          <w:lang w:val="en-US"/>
        </w:rPr>
      </w:pPr>
      <w:proofErr w:type="spellStart"/>
      <w:r w:rsidRPr="009C734F">
        <w:rPr>
          <w:rFonts w:ascii="Times New Roman" w:hAnsi="Times New Roman" w:cs="Times New Roman"/>
          <w:sz w:val="28"/>
          <w:szCs w:val="28"/>
          <w:lang w:val="en-US"/>
        </w:rPr>
        <w:t>Kharkiv</w:t>
      </w:r>
      <w:proofErr w:type="spellEnd"/>
      <w:r w:rsidRPr="009C734F">
        <w:rPr>
          <w:rFonts w:ascii="Times New Roman" w:hAnsi="Times New Roman" w:cs="Times New Roman"/>
          <w:sz w:val="28"/>
          <w:szCs w:val="28"/>
          <w:lang w:val="en-US"/>
        </w:rPr>
        <w:t xml:space="preserve"> National Medical University</w:t>
      </w:r>
      <w:r w:rsidR="00516373" w:rsidRPr="009C734F">
        <w:rPr>
          <w:rFonts w:ascii="Times New Roman" w:hAnsi="Times New Roman" w:cs="Times New Roman"/>
          <w:sz w:val="28"/>
          <w:szCs w:val="28"/>
          <w:lang w:val="en-US"/>
        </w:rPr>
        <w:t>, Ukraine</w:t>
      </w:r>
    </w:p>
    <w:p w:rsidR="00835CAB" w:rsidRPr="009C734F" w:rsidRDefault="00835CAB" w:rsidP="00F80E0B">
      <w:pPr>
        <w:spacing w:after="0" w:line="240" w:lineRule="auto"/>
        <w:jc w:val="center"/>
        <w:rPr>
          <w:rFonts w:ascii="Times New Roman" w:hAnsi="Times New Roman" w:cs="Times New Roman"/>
          <w:sz w:val="28"/>
          <w:szCs w:val="28"/>
          <w:lang w:val="en-US"/>
        </w:rPr>
      </w:pPr>
    </w:p>
    <w:p w:rsidR="00835CAB" w:rsidRPr="009C734F" w:rsidRDefault="00835CAB" w:rsidP="00F80E0B">
      <w:pPr>
        <w:spacing w:after="0" w:line="240" w:lineRule="auto"/>
        <w:ind w:firstLine="709"/>
        <w:jc w:val="both"/>
        <w:rPr>
          <w:rFonts w:ascii="Times New Roman" w:hAnsi="Times New Roman" w:cs="Times New Roman"/>
          <w:sz w:val="28"/>
          <w:szCs w:val="28"/>
          <w:lang w:val="en-US"/>
        </w:rPr>
      </w:pPr>
      <w:r w:rsidRPr="009C734F">
        <w:rPr>
          <w:rFonts w:ascii="Times New Roman" w:hAnsi="Times New Roman" w:cs="Times New Roman"/>
          <w:b/>
          <w:sz w:val="28"/>
          <w:szCs w:val="28"/>
          <w:lang w:val="en-US"/>
        </w:rPr>
        <w:t>Key words:</w:t>
      </w:r>
      <w:r w:rsidRPr="009C734F">
        <w:rPr>
          <w:rFonts w:ascii="Times New Roman" w:hAnsi="Times New Roman" w:cs="Times New Roman"/>
          <w:sz w:val="28"/>
          <w:szCs w:val="28"/>
          <w:lang w:val="en-US"/>
        </w:rPr>
        <w:t xml:space="preserve"> </w:t>
      </w:r>
      <w:r w:rsidR="00F66DC7" w:rsidRPr="009C734F">
        <w:rPr>
          <w:rFonts w:ascii="Times New Roman" w:hAnsi="Times New Roman" w:cs="Times New Roman"/>
          <w:sz w:val="28"/>
          <w:szCs w:val="28"/>
          <w:lang w:val="en-US"/>
        </w:rPr>
        <w:t>chronic obstructive pulmonary disease</w:t>
      </w:r>
      <w:r w:rsidRPr="009C734F">
        <w:rPr>
          <w:rFonts w:ascii="Times New Roman" w:hAnsi="Times New Roman" w:cs="Times New Roman"/>
          <w:sz w:val="28"/>
          <w:szCs w:val="28"/>
          <w:lang w:val="en-US"/>
        </w:rPr>
        <w:t xml:space="preserve">, chronic pancreatitis, </w:t>
      </w:r>
      <w:proofErr w:type="spellStart"/>
      <w:r w:rsidR="00F66DC7" w:rsidRPr="009C734F">
        <w:rPr>
          <w:rFonts w:ascii="Times New Roman" w:hAnsi="Times New Roman" w:cs="Times New Roman"/>
          <w:sz w:val="28"/>
          <w:szCs w:val="28"/>
          <w:lang w:val="en-US"/>
        </w:rPr>
        <w:t>e</w:t>
      </w:r>
      <w:r w:rsidRPr="009C734F">
        <w:rPr>
          <w:rFonts w:ascii="Times New Roman" w:hAnsi="Times New Roman" w:cs="Times New Roman"/>
          <w:sz w:val="28"/>
          <w:szCs w:val="28"/>
          <w:lang w:val="en-US"/>
        </w:rPr>
        <w:t>ndotoxicosis</w:t>
      </w:r>
      <w:proofErr w:type="spellEnd"/>
      <w:r w:rsidRPr="009C734F">
        <w:rPr>
          <w:rFonts w:ascii="Times New Roman" w:hAnsi="Times New Roman" w:cs="Times New Roman"/>
          <w:sz w:val="28"/>
          <w:szCs w:val="28"/>
          <w:lang w:val="en-US"/>
        </w:rPr>
        <w:t xml:space="preserve">, immunity, </w:t>
      </w:r>
      <w:proofErr w:type="spellStart"/>
      <w:r w:rsidRPr="009C734F">
        <w:rPr>
          <w:rFonts w:ascii="Times New Roman" w:hAnsi="Times New Roman" w:cs="Times New Roman"/>
          <w:sz w:val="28"/>
          <w:szCs w:val="28"/>
          <w:lang w:val="en-US"/>
        </w:rPr>
        <w:t>comorbidity</w:t>
      </w:r>
      <w:proofErr w:type="spellEnd"/>
    </w:p>
    <w:p w:rsidR="00835CAB" w:rsidRPr="009C734F" w:rsidRDefault="00835CAB" w:rsidP="00F80E0B">
      <w:pPr>
        <w:spacing w:after="0" w:line="240" w:lineRule="auto"/>
        <w:ind w:firstLine="709"/>
        <w:jc w:val="both"/>
        <w:rPr>
          <w:rFonts w:ascii="Times New Roman" w:hAnsi="Times New Roman" w:cs="Times New Roman"/>
          <w:sz w:val="28"/>
          <w:szCs w:val="28"/>
          <w:lang w:val="en-US"/>
        </w:rPr>
      </w:pPr>
      <w:proofErr w:type="gramStart"/>
      <w:r w:rsidRPr="009C734F">
        <w:rPr>
          <w:rFonts w:ascii="Times New Roman" w:hAnsi="Times New Roman" w:cs="Times New Roman"/>
          <w:sz w:val="28"/>
          <w:szCs w:val="28"/>
          <w:lang w:val="en-US"/>
        </w:rPr>
        <w:t>Objective.</w:t>
      </w:r>
      <w:proofErr w:type="gramEnd"/>
      <w:r w:rsidRPr="009C734F">
        <w:rPr>
          <w:rFonts w:ascii="Times New Roman" w:hAnsi="Times New Roman" w:cs="Times New Roman"/>
          <w:sz w:val="28"/>
          <w:szCs w:val="28"/>
          <w:lang w:val="en-US"/>
        </w:rPr>
        <w:t xml:space="preserve"> To identify ways to implement the autoimmune process in patients with combined course of chronic obstructive pulmonary disease (COPD) and chronic pancreatitis (CP).</w:t>
      </w:r>
    </w:p>
    <w:p w:rsidR="00835CAB" w:rsidRPr="009C734F" w:rsidRDefault="00835CAB" w:rsidP="00F80E0B">
      <w:pPr>
        <w:spacing w:after="0" w:line="240" w:lineRule="auto"/>
        <w:ind w:firstLine="709"/>
        <w:jc w:val="both"/>
        <w:rPr>
          <w:rFonts w:ascii="Times New Roman" w:hAnsi="Times New Roman" w:cs="Times New Roman"/>
          <w:sz w:val="28"/>
          <w:szCs w:val="28"/>
          <w:lang w:val="en-US"/>
        </w:rPr>
      </w:pPr>
      <w:proofErr w:type="gramStart"/>
      <w:r w:rsidRPr="009C734F">
        <w:rPr>
          <w:rFonts w:ascii="Times New Roman" w:hAnsi="Times New Roman" w:cs="Times New Roman"/>
          <w:sz w:val="28"/>
          <w:szCs w:val="28"/>
          <w:lang w:val="en-US"/>
        </w:rPr>
        <w:t>Materials and methods.</w:t>
      </w:r>
      <w:proofErr w:type="gramEnd"/>
      <w:r w:rsidRPr="009C734F">
        <w:rPr>
          <w:rFonts w:ascii="Times New Roman" w:hAnsi="Times New Roman" w:cs="Times New Roman"/>
          <w:sz w:val="28"/>
          <w:szCs w:val="28"/>
          <w:lang w:val="en-US"/>
        </w:rPr>
        <w:t xml:space="preserve"> The study has been held for the peculiarities of the development of metabolic intoxication and formation of auto immune reactions in 79 patients with COPD and with combined course of COPD and CP.</w:t>
      </w:r>
    </w:p>
    <w:p w:rsidR="00835CAB" w:rsidRPr="009C734F" w:rsidRDefault="00835CAB" w:rsidP="00F80E0B">
      <w:pPr>
        <w:spacing w:after="0" w:line="240" w:lineRule="auto"/>
        <w:ind w:firstLine="709"/>
        <w:jc w:val="both"/>
        <w:rPr>
          <w:rFonts w:ascii="Times New Roman" w:hAnsi="Times New Roman" w:cs="Times New Roman"/>
          <w:sz w:val="28"/>
          <w:szCs w:val="28"/>
          <w:lang w:val="en-US"/>
        </w:rPr>
      </w:pPr>
      <w:proofErr w:type="gramStart"/>
      <w:r w:rsidRPr="009C734F">
        <w:rPr>
          <w:rFonts w:ascii="Times New Roman" w:hAnsi="Times New Roman" w:cs="Times New Roman"/>
          <w:sz w:val="28"/>
          <w:szCs w:val="28"/>
          <w:lang w:val="en-US"/>
        </w:rPr>
        <w:lastRenderedPageBreak/>
        <w:t>Results and discussion.</w:t>
      </w:r>
      <w:proofErr w:type="gramEnd"/>
      <w:r w:rsidRPr="009C734F">
        <w:rPr>
          <w:rFonts w:ascii="Times New Roman" w:hAnsi="Times New Roman" w:cs="Times New Roman"/>
          <w:sz w:val="28"/>
          <w:szCs w:val="28"/>
          <w:lang w:val="en-US"/>
        </w:rPr>
        <w:t xml:space="preserve"> The presence of concomitant CP exacerbates the syndrome of endogenous intoxication and the imbalance </w:t>
      </w:r>
      <w:proofErr w:type="spellStart"/>
      <w:r w:rsidRPr="009C734F">
        <w:rPr>
          <w:rFonts w:ascii="Times New Roman" w:hAnsi="Times New Roman" w:cs="Times New Roman"/>
          <w:sz w:val="28"/>
          <w:szCs w:val="28"/>
          <w:lang w:val="en-US"/>
        </w:rPr>
        <w:t>oi</w:t>
      </w:r>
      <w:proofErr w:type="spellEnd"/>
      <w:r w:rsidRPr="009C734F">
        <w:rPr>
          <w:rFonts w:ascii="Times New Roman" w:hAnsi="Times New Roman" w:cs="Times New Roman"/>
          <w:sz w:val="28"/>
          <w:szCs w:val="28"/>
          <w:lang w:val="en-US"/>
        </w:rPr>
        <w:t xml:space="preserve"> regulatory mechanisms of both cellular and </w:t>
      </w:r>
      <w:proofErr w:type="spellStart"/>
      <w:r w:rsidRPr="009C734F">
        <w:rPr>
          <w:rFonts w:ascii="Times New Roman" w:hAnsi="Times New Roman" w:cs="Times New Roman"/>
          <w:sz w:val="28"/>
          <w:szCs w:val="28"/>
          <w:lang w:val="en-US"/>
        </w:rPr>
        <w:t>humoral</w:t>
      </w:r>
      <w:proofErr w:type="spellEnd"/>
      <w:r w:rsidRPr="009C734F">
        <w:rPr>
          <w:rFonts w:ascii="Times New Roman" w:hAnsi="Times New Roman" w:cs="Times New Roman"/>
          <w:sz w:val="28"/>
          <w:szCs w:val="28"/>
          <w:lang w:val="en-US"/>
        </w:rPr>
        <w:t xml:space="preserve"> immunity, which significantly increases the risk of autoimmune complications.</w:t>
      </w:r>
    </w:p>
    <w:p w:rsidR="0018750A" w:rsidRPr="009C734F" w:rsidRDefault="00835CAB" w:rsidP="00F80E0B">
      <w:pPr>
        <w:spacing w:after="0" w:line="240" w:lineRule="auto"/>
        <w:ind w:firstLine="709"/>
        <w:jc w:val="both"/>
        <w:rPr>
          <w:rFonts w:ascii="Times New Roman" w:hAnsi="Times New Roman" w:cs="Times New Roman"/>
          <w:sz w:val="28"/>
          <w:szCs w:val="28"/>
          <w:lang w:val="en-US"/>
        </w:rPr>
      </w:pPr>
      <w:proofErr w:type="gramStart"/>
      <w:r w:rsidRPr="009C734F">
        <w:rPr>
          <w:rFonts w:ascii="Times New Roman" w:hAnsi="Times New Roman" w:cs="Times New Roman"/>
          <w:sz w:val="28"/>
          <w:szCs w:val="28"/>
          <w:lang w:val="en-US"/>
        </w:rPr>
        <w:t>Conclusions.</w:t>
      </w:r>
      <w:proofErr w:type="gramEnd"/>
      <w:r w:rsidRPr="009C734F">
        <w:rPr>
          <w:rFonts w:ascii="Times New Roman" w:hAnsi="Times New Roman" w:cs="Times New Roman"/>
          <w:sz w:val="28"/>
          <w:szCs w:val="28"/>
          <w:lang w:val="en-US"/>
        </w:rPr>
        <w:t xml:space="preserve"> This fact allows us to consider the presence of concomitant CP in patients with COPD as unfavorable prognostic factor.</w:t>
      </w:r>
    </w:p>
    <w:sectPr w:rsidR="0018750A" w:rsidRPr="009C734F" w:rsidSect="00D9077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BF7"/>
    <w:multiLevelType w:val="hybridMultilevel"/>
    <w:tmpl w:val="64F458F8"/>
    <w:lvl w:ilvl="0" w:tplc="762040B8">
      <w:start w:val="1"/>
      <w:numFmt w:val="decimal"/>
      <w:lvlText w:val="%1."/>
      <w:lvlJc w:val="left"/>
      <w:pPr>
        <w:ind w:left="1140" w:hanging="11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C8679E5"/>
    <w:multiLevelType w:val="hybridMultilevel"/>
    <w:tmpl w:val="3E803D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90779"/>
    <w:rsid w:val="00041B46"/>
    <w:rsid w:val="00042C95"/>
    <w:rsid w:val="00074B63"/>
    <w:rsid w:val="00077E23"/>
    <w:rsid w:val="001816B9"/>
    <w:rsid w:val="0018750A"/>
    <w:rsid w:val="00193ED6"/>
    <w:rsid w:val="001D6AC9"/>
    <w:rsid w:val="00263ECB"/>
    <w:rsid w:val="002B50AB"/>
    <w:rsid w:val="00321A86"/>
    <w:rsid w:val="003224B2"/>
    <w:rsid w:val="00391C86"/>
    <w:rsid w:val="003966CE"/>
    <w:rsid w:val="003B4F3D"/>
    <w:rsid w:val="003D63A0"/>
    <w:rsid w:val="00414377"/>
    <w:rsid w:val="00452803"/>
    <w:rsid w:val="0046524A"/>
    <w:rsid w:val="00472DED"/>
    <w:rsid w:val="00516373"/>
    <w:rsid w:val="005220A7"/>
    <w:rsid w:val="005979CD"/>
    <w:rsid w:val="005A1884"/>
    <w:rsid w:val="005B40D0"/>
    <w:rsid w:val="00612323"/>
    <w:rsid w:val="00622933"/>
    <w:rsid w:val="00646EE2"/>
    <w:rsid w:val="00735E12"/>
    <w:rsid w:val="0075669C"/>
    <w:rsid w:val="007A6DF9"/>
    <w:rsid w:val="00835CAB"/>
    <w:rsid w:val="009850DD"/>
    <w:rsid w:val="00994E0C"/>
    <w:rsid w:val="009A0533"/>
    <w:rsid w:val="009C734F"/>
    <w:rsid w:val="009F4417"/>
    <w:rsid w:val="00A33B54"/>
    <w:rsid w:val="00A3526B"/>
    <w:rsid w:val="00A57049"/>
    <w:rsid w:val="00A907B7"/>
    <w:rsid w:val="00AD22D5"/>
    <w:rsid w:val="00B1110F"/>
    <w:rsid w:val="00B3148F"/>
    <w:rsid w:val="00B3481C"/>
    <w:rsid w:val="00B7299A"/>
    <w:rsid w:val="00B84F22"/>
    <w:rsid w:val="00BC1248"/>
    <w:rsid w:val="00C53B99"/>
    <w:rsid w:val="00C62583"/>
    <w:rsid w:val="00CE4BD5"/>
    <w:rsid w:val="00D048C7"/>
    <w:rsid w:val="00D20039"/>
    <w:rsid w:val="00D413CA"/>
    <w:rsid w:val="00D90779"/>
    <w:rsid w:val="00D93361"/>
    <w:rsid w:val="00E05A4B"/>
    <w:rsid w:val="00E33482"/>
    <w:rsid w:val="00E606E5"/>
    <w:rsid w:val="00EA5C38"/>
    <w:rsid w:val="00F66DC7"/>
    <w:rsid w:val="00F80E0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CD"/>
    <w:pPr>
      <w:ind w:left="720"/>
      <w:contextualSpacing/>
    </w:pPr>
  </w:style>
  <w:style w:type="character" w:customStyle="1" w:styleId="10">
    <w:name w:val="Основной текст (10)_"/>
    <w:basedOn w:val="a0"/>
    <w:link w:val="100"/>
    <w:rsid w:val="00A907B7"/>
    <w:rPr>
      <w:rFonts w:ascii="Arial" w:hAnsi="Arial" w:cs="Arial"/>
      <w:b/>
      <w:bCs/>
      <w:sz w:val="15"/>
      <w:szCs w:val="15"/>
      <w:shd w:val="clear" w:color="auto" w:fill="FFFFFF"/>
    </w:rPr>
  </w:style>
  <w:style w:type="character" w:customStyle="1" w:styleId="9">
    <w:name w:val="Основной текст (9)_"/>
    <w:basedOn w:val="a0"/>
    <w:link w:val="90"/>
    <w:rsid w:val="00A907B7"/>
    <w:rPr>
      <w:rFonts w:ascii="Arial" w:hAnsi="Arial" w:cs="Arial"/>
      <w:sz w:val="14"/>
      <w:szCs w:val="14"/>
      <w:shd w:val="clear" w:color="auto" w:fill="FFFFFF"/>
    </w:rPr>
  </w:style>
  <w:style w:type="character" w:customStyle="1" w:styleId="2">
    <w:name w:val="Подпись к таблице (2)_"/>
    <w:basedOn w:val="a0"/>
    <w:link w:val="20"/>
    <w:rsid w:val="00A907B7"/>
    <w:rPr>
      <w:rFonts w:ascii="Arial" w:hAnsi="Arial" w:cs="Arial"/>
      <w:sz w:val="14"/>
      <w:szCs w:val="14"/>
      <w:shd w:val="clear" w:color="auto" w:fill="FFFFFF"/>
    </w:rPr>
  </w:style>
  <w:style w:type="paragraph" w:customStyle="1" w:styleId="100">
    <w:name w:val="Основной текст (10)"/>
    <w:basedOn w:val="a"/>
    <w:link w:val="10"/>
    <w:rsid w:val="00A907B7"/>
    <w:pPr>
      <w:shd w:val="clear" w:color="auto" w:fill="FFFFFF"/>
      <w:spacing w:after="0" w:line="240" w:lineRule="atLeast"/>
    </w:pPr>
    <w:rPr>
      <w:rFonts w:ascii="Arial" w:hAnsi="Arial" w:cs="Arial"/>
      <w:b/>
      <w:bCs/>
      <w:sz w:val="15"/>
      <w:szCs w:val="15"/>
    </w:rPr>
  </w:style>
  <w:style w:type="paragraph" w:customStyle="1" w:styleId="90">
    <w:name w:val="Основной текст (9)"/>
    <w:basedOn w:val="a"/>
    <w:link w:val="9"/>
    <w:rsid w:val="00A907B7"/>
    <w:pPr>
      <w:shd w:val="clear" w:color="auto" w:fill="FFFFFF"/>
      <w:spacing w:after="0" w:line="240" w:lineRule="atLeast"/>
      <w:ind w:hanging="280"/>
    </w:pPr>
    <w:rPr>
      <w:rFonts w:ascii="Arial" w:hAnsi="Arial" w:cs="Arial"/>
      <w:sz w:val="14"/>
      <w:szCs w:val="14"/>
    </w:rPr>
  </w:style>
  <w:style w:type="paragraph" w:customStyle="1" w:styleId="20">
    <w:name w:val="Подпись к таблице (2)"/>
    <w:basedOn w:val="a"/>
    <w:link w:val="2"/>
    <w:rsid w:val="00A907B7"/>
    <w:pPr>
      <w:shd w:val="clear" w:color="auto" w:fill="FFFFFF"/>
      <w:spacing w:after="0" w:line="178" w:lineRule="exact"/>
      <w:jc w:val="both"/>
    </w:pPr>
    <w:rPr>
      <w:rFonts w:ascii="Arial"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CD"/>
    <w:pPr>
      <w:ind w:left="720"/>
      <w:contextualSpacing/>
    </w:pPr>
  </w:style>
  <w:style w:type="character" w:customStyle="1" w:styleId="10">
    <w:name w:val="Основной текст (10)_"/>
    <w:basedOn w:val="a0"/>
    <w:link w:val="100"/>
    <w:rsid w:val="00A907B7"/>
    <w:rPr>
      <w:rFonts w:ascii="Arial" w:hAnsi="Arial" w:cs="Arial"/>
      <w:b/>
      <w:bCs/>
      <w:sz w:val="15"/>
      <w:szCs w:val="15"/>
      <w:shd w:val="clear" w:color="auto" w:fill="FFFFFF"/>
    </w:rPr>
  </w:style>
  <w:style w:type="character" w:customStyle="1" w:styleId="9">
    <w:name w:val="Основной текст (9)_"/>
    <w:basedOn w:val="a0"/>
    <w:link w:val="90"/>
    <w:rsid w:val="00A907B7"/>
    <w:rPr>
      <w:rFonts w:ascii="Arial" w:hAnsi="Arial" w:cs="Arial"/>
      <w:sz w:val="14"/>
      <w:szCs w:val="14"/>
      <w:shd w:val="clear" w:color="auto" w:fill="FFFFFF"/>
    </w:rPr>
  </w:style>
  <w:style w:type="character" w:customStyle="1" w:styleId="2">
    <w:name w:val="Подпись к таблице (2)_"/>
    <w:basedOn w:val="a0"/>
    <w:link w:val="20"/>
    <w:rsid w:val="00A907B7"/>
    <w:rPr>
      <w:rFonts w:ascii="Arial" w:hAnsi="Arial" w:cs="Arial"/>
      <w:sz w:val="14"/>
      <w:szCs w:val="14"/>
      <w:shd w:val="clear" w:color="auto" w:fill="FFFFFF"/>
    </w:rPr>
  </w:style>
  <w:style w:type="paragraph" w:customStyle="1" w:styleId="100">
    <w:name w:val="Основной текст (10)"/>
    <w:basedOn w:val="a"/>
    <w:link w:val="10"/>
    <w:rsid w:val="00A907B7"/>
    <w:pPr>
      <w:shd w:val="clear" w:color="auto" w:fill="FFFFFF"/>
      <w:spacing w:after="0" w:line="240" w:lineRule="atLeast"/>
    </w:pPr>
    <w:rPr>
      <w:rFonts w:ascii="Arial" w:hAnsi="Arial" w:cs="Arial"/>
      <w:b/>
      <w:bCs/>
      <w:sz w:val="15"/>
      <w:szCs w:val="15"/>
    </w:rPr>
  </w:style>
  <w:style w:type="paragraph" w:customStyle="1" w:styleId="90">
    <w:name w:val="Основной текст (9)"/>
    <w:basedOn w:val="a"/>
    <w:link w:val="9"/>
    <w:rsid w:val="00A907B7"/>
    <w:pPr>
      <w:shd w:val="clear" w:color="auto" w:fill="FFFFFF"/>
      <w:spacing w:after="0" w:line="240" w:lineRule="atLeast"/>
      <w:ind w:hanging="280"/>
    </w:pPr>
    <w:rPr>
      <w:rFonts w:ascii="Arial" w:hAnsi="Arial" w:cs="Arial"/>
      <w:sz w:val="14"/>
      <w:szCs w:val="14"/>
    </w:rPr>
  </w:style>
  <w:style w:type="paragraph" w:customStyle="1" w:styleId="20">
    <w:name w:val="Подпись к таблице (2)"/>
    <w:basedOn w:val="a"/>
    <w:link w:val="2"/>
    <w:rsid w:val="00A907B7"/>
    <w:pPr>
      <w:shd w:val="clear" w:color="auto" w:fill="FFFFFF"/>
      <w:spacing w:after="0" w:line="178" w:lineRule="exact"/>
      <w:jc w:val="both"/>
    </w:pPr>
    <w:rPr>
      <w:rFonts w:ascii="Arial" w:hAnsi="Arial" w:cs="Arial"/>
      <w:sz w:val="14"/>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 Type="http://schemas.openxmlformats.org/officeDocument/2006/relationships/settings" Target="settings.xml"/><Relationship Id="rId21"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microsoft.com/office/2007/relationships/stylesWithEffects" Target="stylesWithEffects.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theme" Target="theme/theme1.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2393</Words>
  <Characters>13642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16003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cp:lastModifiedBy>
  <cp:revision>62</cp:revision>
  <dcterms:created xsi:type="dcterms:W3CDTF">2016-08-23T07:34:00Z</dcterms:created>
  <dcterms:modified xsi:type="dcterms:W3CDTF">2016-12-22T15:51:00Z</dcterms:modified>
</cp:coreProperties>
</file>