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09E" w:rsidRPr="003B6FE7" w:rsidRDefault="0039009E" w:rsidP="0039009E">
      <w:pPr>
        <w:pStyle w:val="1"/>
        <w:spacing w:after="0" w:line="360" w:lineRule="auto"/>
        <w:ind w:left="0"/>
        <w:jc w:val="center"/>
        <w:rPr>
          <w:rFonts w:ascii="Times New Roman" w:hAnsi="Times New Roman"/>
          <w:b/>
          <w:sz w:val="28"/>
          <w:szCs w:val="28"/>
          <w:lang w:val="en-US"/>
        </w:rPr>
      </w:pPr>
      <w:bookmarkStart w:id="0" w:name="_GoBack"/>
      <w:r w:rsidRPr="003B6FE7">
        <w:rPr>
          <w:rFonts w:ascii="Times New Roman" w:hAnsi="Times New Roman"/>
          <w:b/>
          <w:sz w:val="28"/>
          <w:szCs w:val="28"/>
          <w:lang w:val="en-US"/>
        </w:rPr>
        <w:t>Clinical features and surgical treatment of chronic pancreatitis</w:t>
      </w:r>
    </w:p>
    <w:p w:rsidR="0039009E" w:rsidRPr="003B6FE7" w:rsidRDefault="0039009E" w:rsidP="0039009E">
      <w:pPr>
        <w:pStyle w:val="1"/>
        <w:spacing w:after="0" w:line="360" w:lineRule="auto"/>
        <w:ind w:left="0"/>
        <w:jc w:val="center"/>
        <w:rPr>
          <w:rFonts w:ascii="Times New Roman" w:hAnsi="Times New Roman"/>
          <w:b/>
          <w:sz w:val="28"/>
          <w:szCs w:val="28"/>
          <w:lang w:val="en-US"/>
        </w:rPr>
      </w:pPr>
      <w:proofErr w:type="gramStart"/>
      <w:r w:rsidRPr="003B6FE7">
        <w:rPr>
          <w:rFonts w:ascii="Times New Roman" w:hAnsi="Times New Roman"/>
          <w:b/>
          <w:sz w:val="28"/>
          <w:szCs w:val="28"/>
          <w:lang w:val="en-US"/>
        </w:rPr>
        <w:t>with</w:t>
      </w:r>
      <w:proofErr w:type="gramEnd"/>
      <w:r w:rsidRPr="003B6FE7">
        <w:rPr>
          <w:rFonts w:ascii="Times New Roman" w:hAnsi="Times New Roman"/>
          <w:b/>
          <w:sz w:val="28"/>
          <w:szCs w:val="28"/>
          <w:lang w:val="en-US"/>
        </w:rPr>
        <w:t xml:space="preserve"> symptoms of </w:t>
      </w:r>
      <w:proofErr w:type="spellStart"/>
      <w:r w:rsidRPr="003B6FE7">
        <w:rPr>
          <w:rFonts w:ascii="Times New Roman" w:hAnsi="Times New Roman"/>
          <w:b/>
          <w:sz w:val="28"/>
          <w:szCs w:val="28"/>
          <w:lang w:val="en-US"/>
        </w:rPr>
        <w:t>biliary</w:t>
      </w:r>
      <w:proofErr w:type="spellEnd"/>
      <w:r w:rsidRPr="003B6FE7">
        <w:rPr>
          <w:rFonts w:ascii="Times New Roman" w:hAnsi="Times New Roman"/>
          <w:b/>
          <w:sz w:val="28"/>
          <w:szCs w:val="28"/>
          <w:lang w:val="en-US"/>
        </w:rPr>
        <w:t xml:space="preserve"> hypertension</w:t>
      </w:r>
    </w:p>
    <w:p w:rsidR="0039009E" w:rsidRPr="003B6FE7" w:rsidRDefault="0039009E" w:rsidP="0039009E">
      <w:pPr>
        <w:pStyle w:val="1"/>
        <w:spacing w:after="0" w:line="360" w:lineRule="auto"/>
        <w:ind w:left="0"/>
        <w:jc w:val="center"/>
        <w:rPr>
          <w:rFonts w:ascii="Times New Roman" w:hAnsi="Times New Roman"/>
          <w:sz w:val="28"/>
          <w:szCs w:val="28"/>
          <w:lang w:val="en-US"/>
        </w:rPr>
      </w:pPr>
      <w:r w:rsidRPr="003B6FE7">
        <w:rPr>
          <w:rFonts w:ascii="Times New Roman" w:hAnsi="Times New Roman"/>
          <w:sz w:val="28"/>
          <w:szCs w:val="28"/>
          <w:lang w:val="en-US"/>
        </w:rPr>
        <w:t xml:space="preserve">V. I. </w:t>
      </w:r>
      <w:proofErr w:type="spellStart"/>
      <w:r w:rsidRPr="003B6FE7">
        <w:rPr>
          <w:rFonts w:ascii="Times New Roman" w:hAnsi="Times New Roman"/>
          <w:sz w:val="28"/>
          <w:szCs w:val="28"/>
          <w:lang w:val="en-US"/>
        </w:rPr>
        <w:t>Pylypchuk</w:t>
      </w:r>
      <w:proofErr w:type="spellEnd"/>
    </w:p>
    <w:p w:rsidR="00CC4DD4" w:rsidRPr="006C3C9A" w:rsidRDefault="0039009E" w:rsidP="0039009E">
      <w:pPr>
        <w:spacing w:after="0" w:line="240" w:lineRule="auto"/>
        <w:jc w:val="center"/>
        <w:rPr>
          <w:rFonts w:ascii="Times New Roman" w:hAnsi="Times New Roman"/>
          <w:i/>
          <w:sz w:val="28"/>
          <w:szCs w:val="28"/>
        </w:rPr>
      </w:pPr>
      <w:proofErr w:type="spellStart"/>
      <w:r w:rsidRPr="003B6FE7">
        <w:rPr>
          <w:rFonts w:ascii="Times New Roman" w:hAnsi="Times New Roman"/>
          <w:i/>
          <w:sz w:val="28"/>
          <w:szCs w:val="28"/>
          <w:lang w:val="en-US"/>
        </w:rPr>
        <w:t>Ivano-Frankivsk</w:t>
      </w:r>
      <w:proofErr w:type="spellEnd"/>
      <w:r w:rsidRPr="003B6FE7">
        <w:rPr>
          <w:rFonts w:ascii="Times New Roman" w:hAnsi="Times New Roman"/>
          <w:i/>
          <w:sz w:val="28"/>
          <w:szCs w:val="28"/>
          <w:lang w:val="en-US"/>
        </w:rPr>
        <w:t xml:space="preserve"> National Medical University, Ukraine</w:t>
      </w:r>
    </w:p>
    <w:p w:rsidR="0039009E" w:rsidRDefault="0039009E" w:rsidP="00E35879">
      <w:pPr>
        <w:pStyle w:val="1"/>
        <w:spacing w:before="240" w:after="0" w:line="360" w:lineRule="auto"/>
        <w:ind w:left="0" w:firstLine="709"/>
        <w:jc w:val="both"/>
        <w:rPr>
          <w:rFonts w:ascii="Times New Roman" w:hAnsi="Times New Roman"/>
          <w:b/>
          <w:sz w:val="28"/>
          <w:szCs w:val="28"/>
          <w:lang w:val="ru-RU"/>
        </w:rPr>
      </w:pPr>
    </w:p>
    <w:p w:rsidR="009B6184" w:rsidRPr="006C3C9A" w:rsidRDefault="0039009E" w:rsidP="00E35879">
      <w:pPr>
        <w:pStyle w:val="1"/>
        <w:spacing w:before="240" w:after="0" w:line="360" w:lineRule="auto"/>
        <w:ind w:left="0" w:firstLine="709"/>
        <w:jc w:val="both"/>
        <w:rPr>
          <w:rFonts w:ascii="Times New Roman" w:hAnsi="Times New Roman"/>
          <w:sz w:val="28"/>
          <w:szCs w:val="28"/>
        </w:rPr>
      </w:pPr>
      <w:r w:rsidRPr="003B6FE7">
        <w:rPr>
          <w:rFonts w:ascii="Times New Roman" w:hAnsi="Times New Roman"/>
          <w:b/>
          <w:sz w:val="28"/>
          <w:szCs w:val="28"/>
          <w:lang w:val="en-US"/>
        </w:rPr>
        <w:t>Key words:</w:t>
      </w:r>
      <w:r w:rsidRPr="003B6FE7">
        <w:rPr>
          <w:rFonts w:ascii="Times New Roman" w:hAnsi="Times New Roman"/>
          <w:sz w:val="28"/>
          <w:szCs w:val="28"/>
          <w:lang w:val="en-US"/>
        </w:rPr>
        <w:t xml:space="preserve"> chronic pancreatitis,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hypertension,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pressure, magnetic resonance </w:t>
      </w:r>
      <w:proofErr w:type="spellStart"/>
      <w:r w:rsidRPr="003B6FE7">
        <w:rPr>
          <w:rFonts w:ascii="Times New Roman" w:hAnsi="Times New Roman"/>
          <w:sz w:val="28"/>
          <w:szCs w:val="28"/>
          <w:lang w:val="en-US"/>
        </w:rPr>
        <w:t>cholangiopancreatography</w:t>
      </w:r>
      <w:proofErr w:type="spellEnd"/>
      <w:r w:rsidRPr="003B6FE7">
        <w:rPr>
          <w:rFonts w:ascii="Times New Roman" w:hAnsi="Times New Roman"/>
          <w:sz w:val="28"/>
          <w:szCs w:val="28"/>
          <w:lang w:val="en-US"/>
        </w:rPr>
        <w:t>, duodenum-preserving resection</w:t>
      </w:r>
    </w:p>
    <w:p w:rsidR="005E3820" w:rsidRPr="006C3C9A" w:rsidRDefault="005E3820" w:rsidP="005E3820">
      <w:pPr>
        <w:spacing w:after="0" w:line="360" w:lineRule="auto"/>
        <w:ind w:firstLine="851"/>
        <w:jc w:val="both"/>
        <w:rPr>
          <w:rFonts w:ascii="Times New Roman" w:hAnsi="Times New Roman"/>
          <w:sz w:val="28"/>
          <w:szCs w:val="28"/>
          <w:shd w:val="clear" w:color="auto" w:fill="FFFFFF"/>
          <w:lang w:val="en-US"/>
        </w:rPr>
      </w:pPr>
      <w:r w:rsidRPr="006C3C9A">
        <w:rPr>
          <w:rFonts w:ascii="Times New Roman" w:hAnsi="Times New Roman"/>
          <w:sz w:val="28"/>
          <w:szCs w:val="28"/>
          <w:shd w:val="clear" w:color="auto" w:fill="FFFFFF"/>
          <w:lang w:val="en-US"/>
        </w:rPr>
        <w:t xml:space="preserve">Chronic pancreatitis (CP) is a progressing disease with repeated aggravations of chronic inflammations, development of sclerosis and fibrosis leading to the replacement of the </w:t>
      </w:r>
      <w:proofErr w:type="spellStart"/>
      <w:r w:rsidRPr="006C3C9A">
        <w:rPr>
          <w:rFonts w:ascii="Times New Roman" w:hAnsi="Times New Roman"/>
          <w:sz w:val="28"/>
          <w:szCs w:val="28"/>
          <w:shd w:val="clear" w:color="auto" w:fill="FFFFFF"/>
          <w:lang w:val="en-US"/>
        </w:rPr>
        <w:t>secretory</w:t>
      </w:r>
      <w:proofErr w:type="spellEnd"/>
      <w:r w:rsidRPr="006C3C9A">
        <w:rPr>
          <w:rFonts w:ascii="Times New Roman" w:hAnsi="Times New Roman"/>
          <w:sz w:val="28"/>
          <w:szCs w:val="28"/>
          <w:shd w:val="clear" w:color="auto" w:fill="FFFFFF"/>
          <w:lang w:val="en-US"/>
        </w:rPr>
        <w:t xml:space="preserve"> tissue of the gland by connective tissue and decrease of the exocrine function of the pancreas [1]. </w:t>
      </w:r>
    </w:p>
    <w:p w:rsidR="005E3820" w:rsidRPr="006C3C9A" w:rsidRDefault="005E3820" w:rsidP="005E3820">
      <w:pPr>
        <w:spacing w:after="0" w:line="360" w:lineRule="auto"/>
        <w:ind w:firstLine="851"/>
        <w:jc w:val="both"/>
        <w:rPr>
          <w:rFonts w:ascii="Times New Roman" w:hAnsi="Times New Roman"/>
          <w:sz w:val="28"/>
          <w:szCs w:val="28"/>
          <w:shd w:val="clear" w:color="auto" w:fill="FFFFFF"/>
          <w:lang w:val="en-US"/>
        </w:rPr>
      </w:pPr>
      <w:r w:rsidRPr="006C3C9A">
        <w:rPr>
          <w:rFonts w:ascii="Times New Roman" w:hAnsi="Times New Roman"/>
          <w:sz w:val="28"/>
          <w:szCs w:val="28"/>
          <w:shd w:val="clear" w:color="auto" w:fill="FFFFFF"/>
          <w:lang w:val="en-US"/>
        </w:rPr>
        <w:t xml:space="preserve">In cases of CP, anatomical contact of the pancreas with adjacent organs facilitated the development of </w:t>
      </w:r>
      <w:proofErr w:type="spellStart"/>
      <w:r w:rsidRPr="006C3C9A">
        <w:rPr>
          <w:rFonts w:ascii="Times New Roman" w:hAnsi="Times New Roman"/>
          <w:sz w:val="28"/>
          <w:szCs w:val="28"/>
          <w:shd w:val="clear" w:color="auto" w:fill="FFFFFF"/>
          <w:lang w:val="en-US"/>
        </w:rPr>
        <w:t>extrapancreatic</w:t>
      </w:r>
      <w:proofErr w:type="spellEnd"/>
      <w:r w:rsidRPr="006C3C9A">
        <w:rPr>
          <w:rFonts w:ascii="Times New Roman" w:hAnsi="Times New Roman"/>
          <w:sz w:val="28"/>
          <w:szCs w:val="28"/>
          <w:shd w:val="clear" w:color="auto" w:fill="FFFFFF"/>
          <w:lang w:val="en-US"/>
        </w:rPr>
        <w:t xml:space="preserve"> complications, like duodenal </w:t>
      </w:r>
      <w:proofErr w:type="spellStart"/>
      <w:r w:rsidRPr="006C3C9A">
        <w:rPr>
          <w:rFonts w:ascii="Times New Roman" w:hAnsi="Times New Roman"/>
          <w:sz w:val="28"/>
          <w:szCs w:val="28"/>
          <w:shd w:val="clear" w:color="auto" w:fill="FFFFFF"/>
          <w:lang w:val="en-US"/>
        </w:rPr>
        <w:t>abevacuation</w:t>
      </w:r>
      <w:proofErr w:type="spellEnd"/>
      <w:r w:rsidRPr="006C3C9A">
        <w:rPr>
          <w:rFonts w:ascii="Times New Roman" w:hAnsi="Times New Roman"/>
          <w:sz w:val="28"/>
          <w:szCs w:val="28"/>
          <w:shd w:val="clear" w:color="auto" w:fill="FFFFFF"/>
          <w:lang w:val="en-US"/>
        </w:rPr>
        <w:t xml:space="preserve">, </w:t>
      </w:r>
      <w:proofErr w:type="spellStart"/>
      <w:r w:rsidRPr="006C3C9A">
        <w:rPr>
          <w:rFonts w:ascii="Times New Roman" w:hAnsi="Times New Roman"/>
          <w:sz w:val="28"/>
          <w:szCs w:val="28"/>
          <w:shd w:val="clear" w:color="auto" w:fill="FFFFFF"/>
          <w:lang w:val="en-US"/>
        </w:rPr>
        <w:t>biliary</w:t>
      </w:r>
      <w:proofErr w:type="spellEnd"/>
      <w:r w:rsidRPr="006C3C9A">
        <w:rPr>
          <w:rFonts w:ascii="Times New Roman" w:hAnsi="Times New Roman"/>
          <w:sz w:val="28"/>
          <w:szCs w:val="28"/>
          <w:shd w:val="clear" w:color="auto" w:fill="FFFFFF"/>
          <w:lang w:val="en-US"/>
        </w:rPr>
        <w:t xml:space="preserve"> hypertension (BH), thrombosis or </w:t>
      </w:r>
      <w:proofErr w:type="spellStart"/>
      <w:r w:rsidRPr="006C3C9A">
        <w:rPr>
          <w:rFonts w:ascii="Times New Roman" w:hAnsi="Times New Roman"/>
          <w:sz w:val="28"/>
          <w:szCs w:val="28"/>
          <w:shd w:val="clear" w:color="auto" w:fill="FFFFFF"/>
          <w:lang w:val="en-US"/>
        </w:rPr>
        <w:t>extravascular</w:t>
      </w:r>
      <w:proofErr w:type="spellEnd"/>
      <w:r w:rsidRPr="006C3C9A">
        <w:rPr>
          <w:rFonts w:ascii="Times New Roman" w:hAnsi="Times New Roman"/>
          <w:sz w:val="28"/>
          <w:szCs w:val="28"/>
          <w:shd w:val="clear" w:color="auto" w:fill="FFFFFF"/>
          <w:lang w:val="en-US"/>
        </w:rPr>
        <w:t xml:space="preserve"> compression of </w:t>
      </w:r>
      <w:proofErr w:type="spellStart"/>
      <w:r w:rsidRPr="006C3C9A">
        <w:rPr>
          <w:rFonts w:ascii="Times New Roman" w:hAnsi="Times New Roman"/>
          <w:sz w:val="28"/>
          <w:szCs w:val="28"/>
          <w:shd w:val="clear" w:color="auto" w:fill="FFFFFF"/>
          <w:lang w:val="en-US"/>
        </w:rPr>
        <w:t>splenoportomesenteric</w:t>
      </w:r>
      <w:proofErr w:type="spellEnd"/>
      <w:r w:rsidRPr="006C3C9A">
        <w:rPr>
          <w:rFonts w:ascii="Times New Roman" w:hAnsi="Times New Roman"/>
          <w:sz w:val="28"/>
          <w:szCs w:val="28"/>
          <w:shd w:val="clear" w:color="auto" w:fill="FFFFFF"/>
          <w:lang w:val="en-US"/>
        </w:rPr>
        <w:t xml:space="preserve"> confluence [5].</w:t>
      </w:r>
    </w:p>
    <w:p w:rsidR="005E3820" w:rsidRPr="006C3C9A" w:rsidRDefault="005E3820" w:rsidP="005E3820">
      <w:pPr>
        <w:spacing w:after="0" w:line="360" w:lineRule="auto"/>
        <w:ind w:firstLine="851"/>
        <w:jc w:val="both"/>
        <w:rPr>
          <w:rFonts w:ascii="Times New Roman" w:hAnsi="Times New Roman"/>
          <w:sz w:val="28"/>
          <w:szCs w:val="28"/>
          <w:shd w:val="clear" w:color="auto" w:fill="FFFFFF"/>
          <w:lang w:val="en-US"/>
        </w:rPr>
      </w:pPr>
      <w:r w:rsidRPr="006C3C9A">
        <w:rPr>
          <w:rFonts w:ascii="Times New Roman" w:hAnsi="Times New Roman"/>
          <w:sz w:val="28"/>
          <w:szCs w:val="28"/>
          <w:shd w:val="clear" w:color="auto" w:fill="FFFFFF"/>
          <w:lang w:val="en-US"/>
        </w:rPr>
        <w:t xml:space="preserve">Surgical treatment is required by 4 to 9% of patients with CP [2]. The performance of surgical intervention is justified when there are clinical signs of CP and morphological changes in the pancreas where conservative therapy is inefficient and there is a threat of CP complications or if these complications have already occurred [2]. The tasks of surgical treatment of CP include elimination of pain and local complications, preservation and improvement of exocrine and endocrine functions of the pancreas, and improvement of the patients’ quality of life [10]. </w:t>
      </w:r>
    </w:p>
    <w:p w:rsidR="00433924" w:rsidRPr="006C3C9A" w:rsidRDefault="005E3820" w:rsidP="005E3820">
      <w:pPr>
        <w:spacing w:after="0" w:line="360" w:lineRule="auto"/>
        <w:ind w:firstLine="851"/>
        <w:jc w:val="both"/>
        <w:rPr>
          <w:rFonts w:ascii="Times New Roman" w:hAnsi="Times New Roman"/>
          <w:sz w:val="28"/>
          <w:szCs w:val="28"/>
        </w:rPr>
      </w:pPr>
      <w:r w:rsidRPr="006C3C9A">
        <w:rPr>
          <w:rFonts w:ascii="Times New Roman" w:hAnsi="Times New Roman"/>
          <w:sz w:val="28"/>
          <w:szCs w:val="28"/>
          <w:shd w:val="clear" w:color="auto" w:fill="FFFFFF"/>
          <w:lang w:val="en-US"/>
        </w:rPr>
        <w:t xml:space="preserve">According to H. </w:t>
      </w:r>
      <w:proofErr w:type="spellStart"/>
      <w:r w:rsidRPr="006C3C9A">
        <w:rPr>
          <w:rFonts w:ascii="Times New Roman" w:hAnsi="Times New Roman"/>
          <w:sz w:val="28"/>
          <w:szCs w:val="28"/>
          <w:shd w:val="clear" w:color="auto" w:fill="FFFFFF"/>
          <w:lang w:val="en-US"/>
        </w:rPr>
        <w:t>Beger</w:t>
      </w:r>
      <w:proofErr w:type="spellEnd"/>
      <w:r w:rsidRPr="006C3C9A">
        <w:rPr>
          <w:rFonts w:ascii="Times New Roman" w:hAnsi="Times New Roman"/>
          <w:sz w:val="28"/>
          <w:szCs w:val="28"/>
          <w:shd w:val="clear" w:color="auto" w:fill="FFFFFF"/>
          <w:lang w:val="en-US"/>
        </w:rPr>
        <w:t xml:space="preserve"> and M. </w:t>
      </w:r>
      <w:proofErr w:type="spellStart"/>
      <w:r w:rsidRPr="006C3C9A">
        <w:rPr>
          <w:rFonts w:ascii="Times New Roman" w:hAnsi="Times New Roman"/>
          <w:sz w:val="28"/>
          <w:szCs w:val="28"/>
          <w:shd w:val="clear" w:color="auto" w:fill="FFFFFF"/>
          <w:lang w:val="en-US"/>
        </w:rPr>
        <w:t>Buchler</w:t>
      </w:r>
      <w:proofErr w:type="spellEnd"/>
      <w:r w:rsidRPr="006C3C9A">
        <w:rPr>
          <w:rFonts w:ascii="Times New Roman" w:hAnsi="Times New Roman"/>
          <w:sz w:val="28"/>
          <w:szCs w:val="28"/>
          <w:shd w:val="clear" w:color="auto" w:fill="FFFFFF"/>
          <w:lang w:val="en-US"/>
        </w:rPr>
        <w:t xml:space="preserve"> [6], occurrence of such CP complications as </w:t>
      </w:r>
      <w:proofErr w:type="spellStart"/>
      <w:r w:rsidRPr="006C3C9A">
        <w:rPr>
          <w:rFonts w:ascii="Times New Roman" w:hAnsi="Times New Roman"/>
          <w:sz w:val="28"/>
          <w:szCs w:val="28"/>
          <w:shd w:val="clear" w:color="auto" w:fill="FFFFFF"/>
          <w:lang w:val="en-US"/>
        </w:rPr>
        <w:t>stenosis</w:t>
      </w:r>
      <w:proofErr w:type="spellEnd"/>
      <w:r w:rsidRPr="006C3C9A">
        <w:rPr>
          <w:rFonts w:ascii="Times New Roman" w:hAnsi="Times New Roman"/>
          <w:sz w:val="28"/>
          <w:szCs w:val="28"/>
          <w:shd w:val="clear" w:color="auto" w:fill="FFFFFF"/>
          <w:lang w:val="en-US"/>
        </w:rPr>
        <w:t xml:space="preserve"> of the common bile duct (CBD) (59.6%) and duodenum (36.4%), and portal hypertension (17.7%) are indications to apply the isolated resection of the pancreas head (</w:t>
      </w:r>
      <w:proofErr w:type="spellStart"/>
      <w:r w:rsidRPr="006C3C9A">
        <w:rPr>
          <w:rFonts w:ascii="Times New Roman" w:hAnsi="Times New Roman"/>
          <w:sz w:val="28"/>
          <w:szCs w:val="28"/>
          <w:shd w:val="clear" w:color="auto" w:fill="FFFFFF"/>
          <w:lang w:val="en-US"/>
        </w:rPr>
        <w:t>Beger’s</w:t>
      </w:r>
      <w:proofErr w:type="spellEnd"/>
      <w:r w:rsidRPr="006C3C9A">
        <w:rPr>
          <w:rFonts w:ascii="Times New Roman" w:hAnsi="Times New Roman"/>
          <w:sz w:val="28"/>
          <w:szCs w:val="28"/>
          <w:shd w:val="clear" w:color="auto" w:fill="FFFFFF"/>
          <w:lang w:val="en-US"/>
        </w:rPr>
        <w:t xml:space="preserve"> procedure). According to the Resolution of the Plenary Session of the Board of the </w:t>
      </w:r>
      <w:proofErr w:type="spellStart"/>
      <w:r w:rsidRPr="006C3C9A">
        <w:rPr>
          <w:rFonts w:ascii="Times New Roman" w:hAnsi="Times New Roman"/>
          <w:sz w:val="28"/>
          <w:szCs w:val="28"/>
          <w:shd w:val="clear" w:color="auto" w:fill="FFFFFF"/>
          <w:lang w:val="en-US"/>
        </w:rPr>
        <w:t>Hepato-Pancreato-Biliary</w:t>
      </w:r>
      <w:proofErr w:type="spellEnd"/>
      <w:r w:rsidRPr="006C3C9A">
        <w:rPr>
          <w:rFonts w:ascii="Times New Roman" w:hAnsi="Times New Roman"/>
          <w:sz w:val="28"/>
          <w:szCs w:val="28"/>
          <w:shd w:val="clear" w:color="auto" w:fill="FFFFFF"/>
          <w:lang w:val="en-US"/>
        </w:rPr>
        <w:t xml:space="preserve"> Association of Russia and the CIS (Izhevsk 19-20 April 2012) [4], «…</w:t>
      </w:r>
      <w:proofErr w:type="spellStart"/>
      <w:r w:rsidRPr="006C3C9A">
        <w:rPr>
          <w:rFonts w:ascii="Times New Roman" w:hAnsi="Times New Roman"/>
          <w:sz w:val="28"/>
          <w:szCs w:val="28"/>
          <w:shd w:val="clear" w:color="auto" w:fill="FFFFFF"/>
          <w:lang w:val="en-US"/>
        </w:rPr>
        <w:t>Biliary</w:t>
      </w:r>
      <w:proofErr w:type="spellEnd"/>
      <w:r w:rsidRPr="006C3C9A">
        <w:rPr>
          <w:rFonts w:ascii="Times New Roman" w:hAnsi="Times New Roman"/>
          <w:sz w:val="28"/>
          <w:szCs w:val="28"/>
          <w:shd w:val="clear" w:color="auto" w:fill="FFFFFF"/>
          <w:lang w:val="en-US"/>
        </w:rPr>
        <w:t xml:space="preserve"> hypertension occurs in 30-50% of patients with CP, it is often asymptomatic, accompanied by a </w:t>
      </w:r>
      <w:r w:rsidRPr="006C3C9A">
        <w:rPr>
          <w:rFonts w:ascii="Times New Roman" w:hAnsi="Times New Roman"/>
          <w:sz w:val="28"/>
          <w:szCs w:val="28"/>
          <w:shd w:val="clear" w:color="auto" w:fill="FFFFFF"/>
          <w:lang w:val="en-US"/>
        </w:rPr>
        <w:lastRenderedPageBreak/>
        <w:t xml:space="preserve">temporary increase of levels of </w:t>
      </w:r>
      <w:proofErr w:type="spellStart"/>
      <w:r w:rsidRPr="006C3C9A">
        <w:rPr>
          <w:rFonts w:ascii="Times New Roman" w:hAnsi="Times New Roman"/>
          <w:sz w:val="28"/>
          <w:szCs w:val="28"/>
          <w:shd w:val="clear" w:color="auto" w:fill="FFFFFF"/>
          <w:lang w:val="en-US"/>
        </w:rPr>
        <w:t>bilirubin</w:t>
      </w:r>
      <w:proofErr w:type="spellEnd"/>
      <w:r w:rsidRPr="006C3C9A">
        <w:rPr>
          <w:rFonts w:ascii="Times New Roman" w:hAnsi="Times New Roman"/>
          <w:sz w:val="28"/>
          <w:szCs w:val="28"/>
          <w:shd w:val="clear" w:color="auto" w:fill="FFFFFF"/>
          <w:lang w:val="en-US"/>
        </w:rPr>
        <w:t xml:space="preserve"> and alkaline </w:t>
      </w:r>
      <w:proofErr w:type="spellStart"/>
      <w:r w:rsidRPr="006C3C9A">
        <w:rPr>
          <w:rFonts w:ascii="Times New Roman" w:hAnsi="Times New Roman"/>
          <w:sz w:val="28"/>
          <w:szCs w:val="28"/>
          <w:shd w:val="clear" w:color="auto" w:fill="FFFFFF"/>
          <w:lang w:val="en-US"/>
        </w:rPr>
        <w:t>phosphatase</w:t>
      </w:r>
      <w:proofErr w:type="spellEnd"/>
      <w:r w:rsidRPr="006C3C9A">
        <w:rPr>
          <w:rFonts w:ascii="Times New Roman" w:hAnsi="Times New Roman"/>
          <w:sz w:val="28"/>
          <w:szCs w:val="28"/>
          <w:shd w:val="clear" w:color="auto" w:fill="FFFFFF"/>
          <w:lang w:val="en-US"/>
        </w:rPr>
        <w:t xml:space="preserve">. Before operating on such patients, it is necessary to obtain the information about the length of the diminution of the distal section of </w:t>
      </w:r>
      <w:proofErr w:type="spellStart"/>
      <w:r w:rsidRPr="006C3C9A">
        <w:rPr>
          <w:rFonts w:ascii="Times New Roman" w:hAnsi="Times New Roman"/>
          <w:sz w:val="28"/>
          <w:szCs w:val="28"/>
          <w:shd w:val="clear" w:color="auto" w:fill="FFFFFF"/>
          <w:lang w:val="en-US"/>
        </w:rPr>
        <w:t>hepaticocholedochus</w:t>
      </w:r>
      <w:proofErr w:type="spellEnd"/>
      <w:r w:rsidRPr="006C3C9A">
        <w:rPr>
          <w:rFonts w:ascii="Times New Roman" w:hAnsi="Times New Roman"/>
          <w:sz w:val="28"/>
          <w:szCs w:val="28"/>
          <w:shd w:val="clear" w:color="auto" w:fill="FFFFFF"/>
          <w:lang w:val="en-US"/>
        </w:rPr>
        <w:t xml:space="preserve">. For this purpose, it is necessary to perform ERCP (if necessary, direct contrasting of bile ducts should be accompanied by </w:t>
      </w:r>
      <w:proofErr w:type="spellStart"/>
      <w:r w:rsidRPr="006C3C9A">
        <w:rPr>
          <w:rFonts w:ascii="Times New Roman" w:hAnsi="Times New Roman"/>
          <w:sz w:val="28"/>
          <w:szCs w:val="28"/>
          <w:shd w:val="clear" w:color="auto" w:fill="FFFFFF"/>
          <w:lang w:val="en-US"/>
        </w:rPr>
        <w:t>biliary</w:t>
      </w:r>
      <w:proofErr w:type="spellEnd"/>
      <w:r w:rsidRPr="006C3C9A">
        <w:rPr>
          <w:rFonts w:ascii="Times New Roman" w:hAnsi="Times New Roman"/>
          <w:sz w:val="28"/>
          <w:szCs w:val="28"/>
          <w:shd w:val="clear" w:color="auto" w:fill="FFFFFF"/>
          <w:lang w:val="en-US"/>
        </w:rPr>
        <w:t xml:space="preserve"> decompression) or MRCP. In cases of longitudinal </w:t>
      </w:r>
      <w:proofErr w:type="spellStart"/>
      <w:r w:rsidRPr="006C3C9A">
        <w:rPr>
          <w:rFonts w:ascii="Times New Roman" w:hAnsi="Times New Roman"/>
          <w:sz w:val="28"/>
          <w:szCs w:val="28"/>
          <w:shd w:val="clear" w:color="auto" w:fill="FFFFFF"/>
          <w:lang w:val="en-US"/>
        </w:rPr>
        <w:t>stenosis</w:t>
      </w:r>
      <w:proofErr w:type="spellEnd"/>
      <w:r w:rsidRPr="006C3C9A">
        <w:rPr>
          <w:rFonts w:ascii="Times New Roman" w:hAnsi="Times New Roman"/>
          <w:sz w:val="28"/>
          <w:szCs w:val="28"/>
          <w:shd w:val="clear" w:color="auto" w:fill="FFFFFF"/>
          <w:lang w:val="en-US"/>
        </w:rPr>
        <w:t xml:space="preserve"> of the distal section of </w:t>
      </w:r>
      <w:proofErr w:type="spellStart"/>
      <w:r w:rsidRPr="006C3C9A">
        <w:rPr>
          <w:rFonts w:ascii="Times New Roman" w:hAnsi="Times New Roman"/>
          <w:sz w:val="28"/>
          <w:szCs w:val="28"/>
          <w:shd w:val="clear" w:color="auto" w:fill="FFFFFF"/>
          <w:lang w:val="en-US"/>
        </w:rPr>
        <w:t>hepaticocholedochus</w:t>
      </w:r>
      <w:proofErr w:type="spellEnd"/>
      <w:r w:rsidRPr="006C3C9A">
        <w:rPr>
          <w:rFonts w:ascii="Times New Roman" w:hAnsi="Times New Roman"/>
          <w:sz w:val="28"/>
          <w:szCs w:val="28"/>
          <w:shd w:val="clear" w:color="auto" w:fill="FFFFFF"/>
          <w:lang w:val="en-US"/>
        </w:rPr>
        <w:t xml:space="preserve">, it is expedient to supplement duodenum-preserving resection of pancreas head by application of </w:t>
      </w:r>
      <w:proofErr w:type="spellStart"/>
      <w:r w:rsidRPr="006C3C9A">
        <w:rPr>
          <w:rFonts w:ascii="Times New Roman" w:hAnsi="Times New Roman"/>
          <w:sz w:val="28"/>
          <w:szCs w:val="28"/>
          <w:shd w:val="clear" w:color="auto" w:fill="FFFFFF"/>
          <w:lang w:val="en-US"/>
        </w:rPr>
        <w:t>hepaticojejunoanastomosis</w:t>
      </w:r>
      <w:proofErr w:type="spellEnd"/>
      <w:r w:rsidRPr="006C3C9A">
        <w:rPr>
          <w:rFonts w:ascii="Times New Roman" w:hAnsi="Times New Roman"/>
          <w:sz w:val="28"/>
          <w:szCs w:val="28"/>
          <w:shd w:val="clear" w:color="auto" w:fill="FFFFFF"/>
          <w:lang w:val="en-US"/>
        </w:rPr>
        <w:t xml:space="preserve">. </w:t>
      </w:r>
      <w:proofErr w:type="spellStart"/>
      <w:r w:rsidRPr="006C3C9A">
        <w:rPr>
          <w:rFonts w:ascii="Times New Roman" w:hAnsi="Times New Roman"/>
          <w:sz w:val="28"/>
          <w:szCs w:val="28"/>
          <w:shd w:val="clear" w:color="auto" w:fill="FFFFFF"/>
          <w:lang w:val="en-US"/>
        </w:rPr>
        <w:t>Biliopancreatic</w:t>
      </w:r>
      <w:proofErr w:type="spellEnd"/>
      <w:r w:rsidRPr="006C3C9A">
        <w:rPr>
          <w:rFonts w:ascii="Times New Roman" w:hAnsi="Times New Roman"/>
          <w:sz w:val="28"/>
          <w:szCs w:val="28"/>
          <w:shd w:val="clear" w:color="auto" w:fill="FFFFFF"/>
          <w:lang w:val="en-US"/>
        </w:rPr>
        <w:t xml:space="preserve"> connection in the area of pancreas head should be done only when you are confident that the area of </w:t>
      </w:r>
      <w:proofErr w:type="spellStart"/>
      <w:r w:rsidRPr="006C3C9A">
        <w:rPr>
          <w:rFonts w:ascii="Times New Roman" w:hAnsi="Times New Roman"/>
          <w:sz w:val="28"/>
          <w:szCs w:val="28"/>
          <w:shd w:val="clear" w:color="auto" w:fill="FFFFFF"/>
          <w:lang w:val="en-US"/>
        </w:rPr>
        <w:t>choledoch</w:t>
      </w:r>
      <w:proofErr w:type="spellEnd"/>
      <w:r w:rsidRPr="006C3C9A">
        <w:rPr>
          <w:rFonts w:ascii="Times New Roman" w:hAnsi="Times New Roman"/>
          <w:sz w:val="28"/>
          <w:szCs w:val="28"/>
          <w:shd w:val="clear" w:color="auto" w:fill="FFFFFF"/>
          <w:lang w:val="en-US"/>
        </w:rPr>
        <w:t xml:space="preserve"> above the </w:t>
      </w:r>
      <w:proofErr w:type="spellStart"/>
      <w:r w:rsidRPr="006C3C9A">
        <w:rPr>
          <w:rFonts w:ascii="Times New Roman" w:hAnsi="Times New Roman"/>
          <w:sz w:val="28"/>
          <w:szCs w:val="28"/>
          <w:shd w:val="clear" w:color="auto" w:fill="FFFFFF"/>
          <w:lang w:val="en-US"/>
        </w:rPr>
        <w:t>resected</w:t>
      </w:r>
      <w:proofErr w:type="spellEnd"/>
      <w:r w:rsidRPr="006C3C9A">
        <w:rPr>
          <w:rFonts w:ascii="Times New Roman" w:hAnsi="Times New Roman"/>
          <w:sz w:val="28"/>
          <w:szCs w:val="28"/>
          <w:shd w:val="clear" w:color="auto" w:fill="FFFFFF"/>
          <w:lang w:val="en-US"/>
        </w:rPr>
        <w:t xml:space="preserve"> pancreas head is permeable. </w:t>
      </w:r>
      <w:proofErr w:type="spellStart"/>
      <w:r w:rsidRPr="006C3C9A">
        <w:rPr>
          <w:rFonts w:ascii="Times New Roman" w:hAnsi="Times New Roman"/>
          <w:sz w:val="28"/>
          <w:szCs w:val="28"/>
          <w:shd w:val="clear" w:color="auto" w:fill="FFFFFF"/>
          <w:lang w:val="en-US"/>
        </w:rPr>
        <w:t>Biliary</w:t>
      </w:r>
      <w:proofErr w:type="spellEnd"/>
      <w:r w:rsidRPr="006C3C9A">
        <w:rPr>
          <w:rFonts w:ascii="Times New Roman" w:hAnsi="Times New Roman"/>
          <w:sz w:val="28"/>
          <w:szCs w:val="28"/>
          <w:shd w:val="clear" w:color="auto" w:fill="FFFFFF"/>
          <w:lang w:val="en-US"/>
        </w:rPr>
        <w:t xml:space="preserve"> complications that take place in 2-8% of patients after the resection interventions, including ones with the application of </w:t>
      </w:r>
      <w:proofErr w:type="spellStart"/>
      <w:r w:rsidRPr="006C3C9A">
        <w:rPr>
          <w:rFonts w:ascii="Times New Roman" w:hAnsi="Times New Roman"/>
          <w:sz w:val="28"/>
          <w:szCs w:val="28"/>
          <w:shd w:val="clear" w:color="auto" w:fill="FFFFFF"/>
          <w:lang w:val="en-US"/>
        </w:rPr>
        <w:t>biliopancreatic</w:t>
      </w:r>
      <w:proofErr w:type="spellEnd"/>
      <w:r w:rsidRPr="006C3C9A">
        <w:rPr>
          <w:rFonts w:ascii="Times New Roman" w:hAnsi="Times New Roman"/>
          <w:sz w:val="28"/>
          <w:szCs w:val="28"/>
          <w:shd w:val="clear" w:color="auto" w:fill="FFFFFF"/>
          <w:lang w:val="en-US"/>
        </w:rPr>
        <w:t xml:space="preserve"> </w:t>
      </w:r>
      <w:proofErr w:type="spellStart"/>
      <w:r w:rsidRPr="006C3C9A">
        <w:rPr>
          <w:rFonts w:ascii="Times New Roman" w:hAnsi="Times New Roman"/>
          <w:sz w:val="28"/>
          <w:szCs w:val="28"/>
          <w:shd w:val="clear" w:color="auto" w:fill="FFFFFF"/>
          <w:lang w:val="en-US"/>
        </w:rPr>
        <w:t>anastomosis</w:t>
      </w:r>
      <w:proofErr w:type="spellEnd"/>
      <w:r w:rsidRPr="006C3C9A">
        <w:rPr>
          <w:rFonts w:ascii="Times New Roman" w:hAnsi="Times New Roman"/>
          <w:sz w:val="28"/>
          <w:szCs w:val="28"/>
          <w:shd w:val="clear" w:color="auto" w:fill="FFFFFF"/>
          <w:lang w:val="en-US"/>
        </w:rPr>
        <w:t>, prove the topicality of this issue and require further accumulation of experience.”</w:t>
      </w:r>
    </w:p>
    <w:p w:rsidR="00D61720" w:rsidRPr="006C3C9A" w:rsidRDefault="00A61FD0" w:rsidP="00E35879">
      <w:pPr>
        <w:spacing w:after="0" w:line="360" w:lineRule="auto"/>
        <w:ind w:firstLine="709"/>
        <w:jc w:val="both"/>
        <w:rPr>
          <w:rFonts w:ascii="Times New Roman" w:hAnsi="Times New Roman"/>
          <w:sz w:val="28"/>
          <w:szCs w:val="28"/>
        </w:rPr>
      </w:pPr>
      <w:r w:rsidRPr="006C3C9A">
        <w:rPr>
          <w:rFonts w:ascii="Times New Roman" w:hAnsi="Times New Roman"/>
          <w:b/>
          <w:sz w:val="28"/>
          <w:szCs w:val="28"/>
          <w:lang w:val="en-US"/>
        </w:rPr>
        <w:t>Objective</w:t>
      </w:r>
      <w:r w:rsidR="00CC4DD4" w:rsidRPr="006C3C9A">
        <w:rPr>
          <w:rFonts w:ascii="Times New Roman" w:hAnsi="Times New Roman"/>
          <w:sz w:val="28"/>
          <w:szCs w:val="28"/>
        </w:rPr>
        <w:t xml:space="preserve">: </w:t>
      </w:r>
      <w:r w:rsidRPr="006C3C9A">
        <w:rPr>
          <w:rFonts w:ascii="Times New Roman" w:hAnsi="Times New Roman"/>
          <w:sz w:val="28"/>
          <w:szCs w:val="28"/>
          <w:lang w:val="en-US"/>
        </w:rPr>
        <w:t>To</w:t>
      </w:r>
      <w:r w:rsidRPr="006C3C9A">
        <w:rPr>
          <w:rFonts w:ascii="Times New Roman" w:hAnsi="Times New Roman"/>
          <w:sz w:val="28"/>
          <w:szCs w:val="28"/>
        </w:rPr>
        <w:t xml:space="preserve"> </w:t>
      </w:r>
      <w:r w:rsidRPr="006C3C9A">
        <w:rPr>
          <w:rFonts w:ascii="Times New Roman" w:hAnsi="Times New Roman"/>
          <w:sz w:val="28"/>
          <w:szCs w:val="28"/>
          <w:lang w:val="en-US"/>
        </w:rPr>
        <w:t>study</w:t>
      </w:r>
      <w:r w:rsidRPr="006C3C9A">
        <w:rPr>
          <w:rFonts w:ascii="Times New Roman" w:hAnsi="Times New Roman"/>
          <w:sz w:val="28"/>
          <w:szCs w:val="28"/>
        </w:rPr>
        <w:t xml:space="preserve"> </w:t>
      </w:r>
      <w:r w:rsidRPr="006C3C9A">
        <w:rPr>
          <w:rFonts w:ascii="Times New Roman" w:hAnsi="Times New Roman"/>
          <w:sz w:val="28"/>
          <w:szCs w:val="28"/>
          <w:lang w:val="en-US"/>
        </w:rPr>
        <w:t>the</w:t>
      </w:r>
      <w:r w:rsidRPr="006C3C9A">
        <w:rPr>
          <w:rFonts w:ascii="Times New Roman" w:hAnsi="Times New Roman"/>
          <w:sz w:val="28"/>
          <w:szCs w:val="28"/>
        </w:rPr>
        <w:t xml:space="preserve"> </w:t>
      </w:r>
      <w:r w:rsidRPr="006C3C9A">
        <w:rPr>
          <w:rFonts w:ascii="Times New Roman" w:hAnsi="Times New Roman"/>
          <w:sz w:val="28"/>
          <w:szCs w:val="28"/>
          <w:lang w:val="en-US"/>
        </w:rPr>
        <w:t>patterns</w:t>
      </w:r>
      <w:r w:rsidRPr="006C3C9A">
        <w:rPr>
          <w:rFonts w:ascii="Times New Roman" w:hAnsi="Times New Roman"/>
          <w:sz w:val="28"/>
          <w:szCs w:val="28"/>
        </w:rPr>
        <w:t xml:space="preserve"> </w:t>
      </w:r>
      <w:r w:rsidRPr="006C3C9A">
        <w:rPr>
          <w:rFonts w:ascii="Times New Roman" w:hAnsi="Times New Roman"/>
          <w:sz w:val="28"/>
          <w:szCs w:val="28"/>
          <w:lang w:val="en-US"/>
        </w:rPr>
        <w:t>of</w:t>
      </w:r>
      <w:r w:rsidRPr="006C3C9A">
        <w:rPr>
          <w:rFonts w:ascii="Times New Roman" w:hAnsi="Times New Roman"/>
          <w:sz w:val="28"/>
          <w:szCs w:val="28"/>
        </w:rPr>
        <w:t xml:space="preserve"> </w:t>
      </w:r>
      <w:r w:rsidRPr="006C3C9A">
        <w:rPr>
          <w:rFonts w:ascii="Times New Roman" w:hAnsi="Times New Roman"/>
          <w:sz w:val="28"/>
          <w:szCs w:val="28"/>
          <w:lang w:val="en-US"/>
        </w:rPr>
        <w:t>clinical</w:t>
      </w:r>
      <w:r w:rsidRPr="006C3C9A">
        <w:rPr>
          <w:rFonts w:ascii="Times New Roman" w:hAnsi="Times New Roman"/>
          <w:sz w:val="28"/>
          <w:szCs w:val="28"/>
        </w:rPr>
        <w:t xml:space="preserve"> </w:t>
      </w:r>
      <w:r w:rsidRPr="006C3C9A">
        <w:rPr>
          <w:rFonts w:ascii="Times New Roman" w:hAnsi="Times New Roman"/>
          <w:sz w:val="28"/>
          <w:szCs w:val="28"/>
          <w:lang w:val="en-US"/>
        </w:rPr>
        <w:t>course</w:t>
      </w:r>
      <w:r w:rsidRPr="006C3C9A">
        <w:rPr>
          <w:rFonts w:ascii="Times New Roman" w:hAnsi="Times New Roman"/>
          <w:sz w:val="28"/>
          <w:szCs w:val="28"/>
        </w:rPr>
        <w:t xml:space="preserve"> </w:t>
      </w:r>
      <w:r w:rsidRPr="006C3C9A">
        <w:rPr>
          <w:rFonts w:ascii="Times New Roman" w:hAnsi="Times New Roman"/>
          <w:sz w:val="28"/>
          <w:szCs w:val="28"/>
          <w:lang w:val="en-US"/>
        </w:rPr>
        <w:t>and</w:t>
      </w:r>
      <w:r w:rsidRPr="006C3C9A">
        <w:rPr>
          <w:rFonts w:ascii="Times New Roman" w:hAnsi="Times New Roman"/>
          <w:sz w:val="28"/>
          <w:szCs w:val="28"/>
        </w:rPr>
        <w:t xml:space="preserve"> </w:t>
      </w:r>
      <w:r w:rsidRPr="006C3C9A">
        <w:rPr>
          <w:rFonts w:ascii="Times New Roman" w:hAnsi="Times New Roman"/>
          <w:sz w:val="28"/>
          <w:szCs w:val="28"/>
          <w:lang w:val="en-US"/>
        </w:rPr>
        <w:t>surgical</w:t>
      </w:r>
      <w:r w:rsidRPr="006C3C9A">
        <w:rPr>
          <w:rFonts w:ascii="Times New Roman" w:hAnsi="Times New Roman"/>
          <w:sz w:val="28"/>
          <w:szCs w:val="28"/>
        </w:rPr>
        <w:t xml:space="preserve"> </w:t>
      </w:r>
      <w:r w:rsidRPr="006C3C9A">
        <w:rPr>
          <w:rFonts w:ascii="Times New Roman" w:hAnsi="Times New Roman"/>
          <w:sz w:val="28"/>
          <w:szCs w:val="28"/>
          <w:lang w:val="en-US"/>
        </w:rPr>
        <w:t>treatment</w:t>
      </w:r>
      <w:r w:rsidRPr="006C3C9A">
        <w:rPr>
          <w:rFonts w:ascii="Times New Roman" w:hAnsi="Times New Roman"/>
          <w:sz w:val="28"/>
          <w:szCs w:val="28"/>
        </w:rPr>
        <w:t xml:space="preserve"> </w:t>
      </w:r>
      <w:r w:rsidRPr="006C3C9A">
        <w:rPr>
          <w:rFonts w:ascii="Times New Roman" w:hAnsi="Times New Roman"/>
          <w:sz w:val="28"/>
          <w:szCs w:val="28"/>
          <w:lang w:val="en-US"/>
        </w:rPr>
        <w:t>of</w:t>
      </w:r>
      <w:r w:rsidRPr="006C3C9A">
        <w:rPr>
          <w:rFonts w:ascii="Times New Roman" w:hAnsi="Times New Roman"/>
          <w:sz w:val="28"/>
          <w:szCs w:val="28"/>
        </w:rPr>
        <w:t xml:space="preserve"> </w:t>
      </w:r>
      <w:r w:rsidRPr="006C3C9A">
        <w:rPr>
          <w:rFonts w:ascii="Times New Roman" w:hAnsi="Times New Roman"/>
          <w:sz w:val="28"/>
          <w:szCs w:val="28"/>
          <w:lang w:val="en-US"/>
        </w:rPr>
        <w:t>patients</w:t>
      </w:r>
      <w:r w:rsidRPr="006C3C9A">
        <w:rPr>
          <w:rFonts w:ascii="Times New Roman" w:hAnsi="Times New Roman"/>
          <w:sz w:val="28"/>
          <w:szCs w:val="28"/>
        </w:rPr>
        <w:t xml:space="preserve"> </w:t>
      </w:r>
      <w:r w:rsidRPr="006C3C9A">
        <w:rPr>
          <w:rFonts w:ascii="Times New Roman" w:hAnsi="Times New Roman"/>
          <w:sz w:val="28"/>
          <w:szCs w:val="28"/>
          <w:lang w:val="en-US"/>
        </w:rPr>
        <w:t>who</w:t>
      </w:r>
      <w:r w:rsidRPr="006C3C9A">
        <w:rPr>
          <w:rFonts w:ascii="Times New Roman" w:hAnsi="Times New Roman"/>
          <w:sz w:val="28"/>
          <w:szCs w:val="28"/>
        </w:rPr>
        <w:t xml:space="preserve"> </w:t>
      </w:r>
      <w:r w:rsidRPr="006C3C9A">
        <w:rPr>
          <w:rFonts w:ascii="Times New Roman" w:hAnsi="Times New Roman"/>
          <w:sz w:val="28"/>
          <w:szCs w:val="28"/>
          <w:lang w:val="en-US"/>
        </w:rPr>
        <w:t>have</w:t>
      </w:r>
      <w:r w:rsidRPr="006C3C9A">
        <w:rPr>
          <w:rFonts w:ascii="Times New Roman" w:hAnsi="Times New Roman"/>
          <w:sz w:val="28"/>
          <w:szCs w:val="28"/>
        </w:rPr>
        <w:t xml:space="preserve"> </w:t>
      </w:r>
      <w:r w:rsidRPr="006C3C9A">
        <w:rPr>
          <w:rFonts w:ascii="Times New Roman" w:hAnsi="Times New Roman"/>
          <w:sz w:val="28"/>
          <w:szCs w:val="28"/>
          <w:lang w:val="en-US"/>
        </w:rPr>
        <w:t>CP with signs of BH</w:t>
      </w:r>
      <w:r w:rsidR="00FB2A1B" w:rsidRPr="006C3C9A">
        <w:rPr>
          <w:rFonts w:ascii="Times New Roman" w:hAnsi="Times New Roman"/>
          <w:sz w:val="28"/>
          <w:szCs w:val="28"/>
        </w:rPr>
        <w:t>.</w:t>
      </w:r>
    </w:p>
    <w:p w:rsidR="004B6A43" w:rsidRPr="006C3C9A" w:rsidRDefault="00ED78FA" w:rsidP="00E35879">
      <w:pPr>
        <w:spacing w:after="0" w:line="360" w:lineRule="auto"/>
        <w:ind w:firstLine="709"/>
        <w:jc w:val="both"/>
        <w:rPr>
          <w:rFonts w:ascii="Times New Roman" w:hAnsi="Times New Roman"/>
          <w:sz w:val="28"/>
          <w:szCs w:val="28"/>
        </w:rPr>
      </w:pPr>
      <w:proofErr w:type="gramStart"/>
      <w:r w:rsidRPr="006C3C9A">
        <w:rPr>
          <w:rFonts w:ascii="Times New Roman" w:hAnsi="Times New Roman"/>
          <w:b/>
          <w:sz w:val="28"/>
          <w:szCs w:val="28"/>
          <w:lang w:val="en-US"/>
        </w:rPr>
        <w:t>Materials and methods of research</w:t>
      </w:r>
      <w:r w:rsidR="00CC4DD4" w:rsidRPr="006C3C9A">
        <w:rPr>
          <w:rFonts w:ascii="Times New Roman" w:hAnsi="Times New Roman"/>
          <w:b/>
          <w:sz w:val="28"/>
          <w:szCs w:val="28"/>
        </w:rPr>
        <w:t>.</w:t>
      </w:r>
      <w:proofErr w:type="gramEnd"/>
      <w:r w:rsidR="00C523AC" w:rsidRPr="006C3C9A">
        <w:rPr>
          <w:rFonts w:ascii="Times New Roman" w:hAnsi="Times New Roman"/>
          <w:b/>
          <w:sz w:val="28"/>
          <w:szCs w:val="28"/>
        </w:rPr>
        <w:t xml:space="preserve"> </w:t>
      </w:r>
      <w:r w:rsidR="005E3820" w:rsidRPr="006C3C9A">
        <w:rPr>
          <w:rFonts w:ascii="Times New Roman" w:hAnsi="Times New Roman"/>
          <w:sz w:val="28"/>
          <w:szCs w:val="28"/>
          <w:lang w:val="en-US"/>
        </w:rPr>
        <w:t xml:space="preserve">We analyzed the results of surgical treatment of 49 patients with CP complicated by BH who underwent surgical treatment at the department of surgery at the </w:t>
      </w:r>
      <w:proofErr w:type="spellStart"/>
      <w:r w:rsidR="005E3820" w:rsidRPr="006C3C9A">
        <w:rPr>
          <w:rFonts w:ascii="Times New Roman" w:hAnsi="Times New Roman"/>
          <w:sz w:val="28"/>
          <w:szCs w:val="28"/>
          <w:lang w:val="en-US"/>
        </w:rPr>
        <w:t>Ivano-Frankivsk</w:t>
      </w:r>
      <w:proofErr w:type="spellEnd"/>
      <w:r w:rsidR="005E3820" w:rsidRPr="006C3C9A">
        <w:rPr>
          <w:rFonts w:ascii="Times New Roman" w:hAnsi="Times New Roman"/>
          <w:sz w:val="28"/>
          <w:szCs w:val="28"/>
          <w:lang w:val="en-US"/>
        </w:rPr>
        <w:t xml:space="preserve"> Regional Clinical Hospital in 2009-2015. In 15 (30.6 %) patients, BH was combined with chronic duodenal obstruction (</w:t>
      </w:r>
      <w:proofErr w:type="gramStart"/>
      <w:r w:rsidR="005E3820" w:rsidRPr="006C3C9A">
        <w:rPr>
          <w:rFonts w:ascii="Times New Roman" w:hAnsi="Times New Roman"/>
          <w:sz w:val="28"/>
          <w:szCs w:val="28"/>
          <w:lang w:val="en-US"/>
        </w:rPr>
        <w:t>CDO), and in 4 (8.1%) patients, a combination of BH+CDO</w:t>
      </w:r>
      <w:proofErr w:type="gramEnd"/>
      <w:r w:rsidR="005E3820" w:rsidRPr="006C3C9A">
        <w:rPr>
          <w:rFonts w:ascii="Times New Roman" w:hAnsi="Times New Roman"/>
          <w:sz w:val="28"/>
          <w:szCs w:val="28"/>
          <w:lang w:val="en-US"/>
        </w:rPr>
        <w:t xml:space="preserve"> and local venous hypertension (VH) of vessels of the </w:t>
      </w:r>
      <w:proofErr w:type="spellStart"/>
      <w:r w:rsidR="005E3820" w:rsidRPr="006C3C9A">
        <w:rPr>
          <w:rFonts w:ascii="Times New Roman" w:hAnsi="Times New Roman"/>
          <w:sz w:val="28"/>
          <w:szCs w:val="28"/>
          <w:lang w:val="en-US"/>
        </w:rPr>
        <w:t>pancreaticobiliary</w:t>
      </w:r>
      <w:proofErr w:type="spellEnd"/>
      <w:r w:rsidR="005E3820" w:rsidRPr="006C3C9A">
        <w:rPr>
          <w:rFonts w:ascii="Times New Roman" w:hAnsi="Times New Roman"/>
          <w:sz w:val="28"/>
          <w:szCs w:val="28"/>
          <w:lang w:val="en-US"/>
        </w:rPr>
        <w:t xml:space="preserve"> area was found. There were 45 (91.9%) men and 4 (8.1%) women aged from 21 to 72.The patients were divided into two groups. In 14 (28.5 %) patients (1st group), BH was diagnosed based on anamnesis, data of clinical, laboratory (level of general and conjugated </w:t>
      </w:r>
      <w:proofErr w:type="spellStart"/>
      <w:r w:rsidR="005E3820" w:rsidRPr="006C3C9A">
        <w:rPr>
          <w:rFonts w:ascii="Times New Roman" w:hAnsi="Times New Roman"/>
          <w:sz w:val="28"/>
          <w:szCs w:val="28"/>
          <w:lang w:val="en-US"/>
        </w:rPr>
        <w:t>bilirubin</w:t>
      </w:r>
      <w:proofErr w:type="spellEnd"/>
      <w:r w:rsidR="005E3820" w:rsidRPr="006C3C9A">
        <w:rPr>
          <w:rFonts w:ascii="Times New Roman" w:hAnsi="Times New Roman"/>
          <w:sz w:val="28"/>
          <w:szCs w:val="28"/>
          <w:lang w:val="en-US"/>
        </w:rPr>
        <w:t xml:space="preserve">, alkaline </w:t>
      </w:r>
      <w:proofErr w:type="spellStart"/>
      <w:r w:rsidR="005E3820" w:rsidRPr="006C3C9A">
        <w:rPr>
          <w:rFonts w:ascii="Times New Roman" w:hAnsi="Times New Roman"/>
          <w:sz w:val="28"/>
          <w:szCs w:val="28"/>
          <w:lang w:val="en-US"/>
        </w:rPr>
        <w:t>phosphatase</w:t>
      </w:r>
      <w:proofErr w:type="spellEnd"/>
      <w:r w:rsidR="005E3820" w:rsidRPr="006C3C9A">
        <w:rPr>
          <w:rFonts w:ascii="Times New Roman" w:hAnsi="Times New Roman"/>
          <w:sz w:val="28"/>
          <w:szCs w:val="28"/>
          <w:lang w:val="en-US"/>
        </w:rPr>
        <w:t>), and instrumental methods (</w:t>
      </w:r>
      <w:proofErr w:type="spellStart"/>
      <w:r w:rsidR="005E3820" w:rsidRPr="006C3C9A">
        <w:rPr>
          <w:rFonts w:ascii="Times New Roman" w:hAnsi="Times New Roman"/>
          <w:sz w:val="28"/>
          <w:szCs w:val="28"/>
          <w:lang w:val="en-US"/>
        </w:rPr>
        <w:t>ultrasonography</w:t>
      </w:r>
      <w:proofErr w:type="spellEnd"/>
      <w:r w:rsidR="005E3820" w:rsidRPr="006C3C9A">
        <w:rPr>
          <w:rFonts w:ascii="Times New Roman" w:hAnsi="Times New Roman"/>
          <w:sz w:val="28"/>
          <w:szCs w:val="28"/>
          <w:lang w:val="en-US"/>
        </w:rPr>
        <w:t xml:space="preserve"> (USG), endoscopic retrograde </w:t>
      </w:r>
      <w:proofErr w:type="spellStart"/>
      <w:r w:rsidR="005E3820" w:rsidRPr="006C3C9A">
        <w:rPr>
          <w:rFonts w:ascii="Times New Roman" w:hAnsi="Times New Roman"/>
          <w:sz w:val="28"/>
          <w:szCs w:val="28"/>
          <w:lang w:val="en-US"/>
        </w:rPr>
        <w:t>cholangiopancreatography</w:t>
      </w:r>
      <w:proofErr w:type="spellEnd"/>
      <w:r w:rsidR="005E3820" w:rsidRPr="006C3C9A">
        <w:rPr>
          <w:rFonts w:ascii="Times New Roman" w:hAnsi="Times New Roman"/>
          <w:sz w:val="28"/>
          <w:szCs w:val="28"/>
          <w:lang w:val="en-US"/>
        </w:rPr>
        <w:t xml:space="preserve"> (ERCP), computed tomography (CT), magnetic resonance retrograde </w:t>
      </w:r>
      <w:proofErr w:type="spellStart"/>
      <w:r w:rsidR="005E3820" w:rsidRPr="006C3C9A">
        <w:rPr>
          <w:rFonts w:ascii="Times New Roman" w:hAnsi="Times New Roman"/>
          <w:sz w:val="28"/>
          <w:szCs w:val="28"/>
          <w:lang w:val="en-US"/>
        </w:rPr>
        <w:t>cholangiopancreatography</w:t>
      </w:r>
      <w:proofErr w:type="spellEnd"/>
      <w:r w:rsidR="005E3820" w:rsidRPr="006C3C9A">
        <w:rPr>
          <w:rFonts w:ascii="Times New Roman" w:hAnsi="Times New Roman"/>
          <w:sz w:val="28"/>
          <w:szCs w:val="28"/>
          <w:lang w:val="en-US"/>
        </w:rPr>
        <w:t xml:space="preserve"> (MRCP), as well as by </w:t>
      </w:r>
      <w:proofErr w:type="spellStart"/>
      <w:r w:rsidR="005E3820" w:rsidRPr="006C3C9A">
        <w:rPr>
          <w:rFonts w:ascii="Times New Roman" w:hAnsi="Times New Roman"/>
          <w:sz w:val="28"/>
          <w:szCs w:val="28"/>
          <w:lang w:val="en-US"/>
        </w:rPr>
        <w:t>intraoperative</w:t>
      </w:r>
      <w:proofErr w:type="spellEnd"/>
      <w:r w:rsidR="005E3820" w:rsidRPr="006C3C9A">
        <w:rPr>
          <w:rFonts w:ascii="Times New Roman" w:hAnsi="Times New Roman"/>
          <w:sz w:val="28"/>
          <w:szCs w:val="28"/>
          <w:lang w:val="en-US"/>
        </w:rPr>
        <w:t xml:space="preserve"> monitoring of </w:t>
      </w:r>
      <w:proofErr w:type="spellStart"/>
      <w:r w:rsidR="005E3820" w:rsidRPr="006C3C9A">
        <w:rPr>
          <w:rFonts w:ascii="Times New Roman" w:hAnsi="Times New Roman"/>
          <w:sz w:val="28"/>
          <w:szCs w:val="28"/>
          <w:lang w:val="en-US"/>
        </w:rPr>
        <w:t>biliary</w:t>
      </w:r>
      <w:proofErr w:type="spellEnd"/>
      <w:r w:rsidR="005E3820" w:rsidRPr="006C3C9A">
        <w:rPr>
          <w:rFonts w:ascii="Times New Roman" w:hAnsi="Times New Roman"/>
          <w:sz w:val="28"/>
          <w:szCs w:val="28"/>
          <w:lang w:val="en-US"/>
        </w:rPr>
        <w:t xml:space="preserve"> pressure using the developed device [3]. In 35 (71.5 %) patients (2nd </w:t>
      </w:r>
      <w:r w:rsidR="005E3820" w:rsidRPr="006C3C9A">
        <w:rPr>
          <w:rFonts w:ascii="Times New Roman" w:hAnsi="Times New Roman"/>
          <w:sz w:val="28"/>
          <w:szCs w:val="28"/>
          <w:lang w:val="en-US"/>
        </w:rPr>
        <w:lastRenderedPageBreak/>
        <w:t xml:space="preserve">group), BH was diagnosed based on the anamnesis, data of clinical, laboratory and instrumental methods, without the </w:t>
      </w:r>
      <w:proofErr w:type="spellStart"/>
      <w:r w:rsidR="005E3820" w:rsidRPr="006C3C9A">
        <w:rPr>
          <w:rFonts w:ascii="Times New Roman" w:hAnsi="Times New Roman"/>
          <w:sz w:val="28"/>
          <w:szCs w:val="28"/>
          <w:lang w:val="en-US"/>
        </w:rPr>
        <w:t>intraoperative</w:t>
      </w:r>
      <w:proofErr w:type="spellEnd"/>
      <w:r w:rsidR="005E3820" w:rsidRPr="006C3C9A">
        <w:rPr>
          <w:rFonts w:ascii="Times New Roman" w:hAnsi="Times New Roman"/>
          <w:sz w:val="28"/>
          <w:szCs w:val="28"/>
          <w:lang w:val="en-US"/>
        </w:rPr>
        <w:t xml:space="preserve"> monitoring of </w:t>
      </w:r>
      <w:proofErr w:type="spellStart"/>
      <w:r w:rsidR="005E3820" w:rsidRPr="006C3C9A">
        <w:rPr>
          <w:rFonts w:ascii="Times New Roman" w:hAnsi="Times New Roman"/>
          <w:sz w:val="28"/>
          <w:szCs w:val="28"/>
          <w:lang w:val="en-US"/>
        </w:rPr>
        <w:t>biliary</w:t>
      </w:r>
      <w:proofErr w:type="spellEnd"/>
      <w:r w:rsidR="005E3820" w:rsidRPr="006C3C9A">
        <w:rPr>
          <w:rFonts w:ascii="Times New Roman" w:hAnsi="Times New Roman"/>
          <w:sz w:val="28"/>
          <w:szCs w:val="28"/>
          <w:lang w:val="en-US"/>
        </w:rPr>
        <w:t xml:space="preserve"> pressure.</w:t>
      </w:r>
    </w:p>
    <w:p w:rsidR="00CC4DD4" w:rsidRPr="006C3C9A" w:rsidRDefault="00CD757B" w:rsidP="00E35879">
      <w:pPr>
        <w:spacing w:after="0" w:line="360" w:lineRule="auto"/>
        <w:ind w:firstLine="851"/>
        <w:jc w:val="both"/>
        <w:rPr>
          <w:rFonts w:ascii="Times New Roman" w:hAnsi="Times New Roman"/>
          <w:b/>
          <w:sz w:val="28"/>
          <w:szCs w:val="28"/>
        </w:rPr>
      </w:pPr>
      <w:proofErr w:type="gramStart"/>
      <w:r w:rsidRPr="006C3C9A">
        <w:rPr>
          <w:rFonts w:ascii="Times New Roman" w:hAnsi="Times New Roman"/>
          <w:b/>
          <w:sz w:val="28"/>
          <w:szCs w:val="28"/>
          <w:lang w:val="en-US"/>
        </w:rPr>
        <w:t>Results</w:t>
      </w:r>
      <w:r w:rsidRPr="006C3C9A">
        <w:rPr>
          <w:rFonts w:ascii="Times New Roman" w:hAnsi="Times New Roman"/>
          <w:b/>
          <w:sz w:val="28"/>
          <w:szCs w:val="28"/>
        </w:rPr>
        <w:t xml:space="preserve"> </w:t>
      </w:r>
      <w:r w:rsidRPr="006C3C9A">
        <w:rPr>
          <w:rFonts w:ascii="Times New Roman" w:hAnsi="Times New Roman"/>
          <w:b/>
          <w:sz w:val="28"/>
          <w:szCs w:val="28"/>
          <w:lang w:val="en-US"/>
        </w:rPr>
        <w:t>and</w:t>
      </w:r>
      <w:r w:rsidRPr="006C3C9A">
        <w:rPr>
          <w:rFonts w:ascii="Times New Roman" w:hAnsi="Times New Roman"/>
          <w:b/>
          <w:sz w:val="28"/>
          <w:szCs w:val="28"/>
        </w:rPr>
        <w:t xml:space="preserve"> </w:t>
      </w:r>
      <w:r w:rsidRPr="006C3C9A">
        <w:rPr>
          <w:rFonts w:ascii="Times New Roman" w:hAnsi="Times New Roman"/>
          <w:b/>
          <w:sz w:val="28"/>
          <w:szCs w:val="28"/>
          <w:lang w:val="en-US"/>
        </w:rPr>
        <w:t>their</w:t>
      </w:r>
      <w:r w:rsidRPr="006C3C9A">
        <w:rPr>
          <w:rFonts w:ascii="Times New Roman" w:hAnsi="Times New Roman"/>
          <w:b/>
          <w:sz w:val="28"/>
          <w:szCs w:val="28"/>
        </w:rPr>
        <w:t xml:space="preserve"> </w:t>
      </w:r>
      <w:r w:rsidRPr="006C3C9A">
        <w:rPr>
          <w:rFonts w:ascii="Times New Roman" w:hAnsi="Times New Roman"/>
          <w:b/>
          <w:sz w:val="28"/>
          <w:szCs w:val="28"/>
          <w:lang w:val="en-US"/>
        </w:rPr>
        <w:t>discussion</w:t>
      </w:r>
      <w:r w:rsidR="00CC4DD4" w:rsidRPr="006C3C9A">
        <w:rPr>
          <w:rFonts w:ascii="Times New Roman" w:hAnsi="Times New Roman"/>
          <w:b/>
          <w:sz w:val="28"/>
          <w:szCs w:val="28"/>
        </w:rPr>
        <w:t>.</w:t>
      </w:r>
      <w:proofErr w:type="gramEnd"/>
      <w:r w:rsidR="00CC4DD4" w:rsidRPr="006C3C9A">
        <w:rPr>
          <w:rFonts w:ascii="Times New Roman" w:hAnsi="Times New Roman"/>
          <w:b/>
          <w:sz w:val="28"/>
          <w:szCs w:val="28"/>
        </w:rPr>
        <w:t xml:space="preserve"> </w:t>
      </w:r>
    </w:p>
    <w:p w:rsidR="005E3820" w:rsidRPr="006C3C9A" w:rsidRDefault="005E3820" w:rsidP="005E3820">
      <w:pPr>
        <w:pStyle w:val="aa"/>
        <w:tabs>
          <w:tab w:val="left" w:pos="-1276"/>
          <w:tab w:val="left" w:pos="0"/>
          <w:tab w:val="left" w:pos="709"/>
        </w:tabs>
        <w:spacing w:after="0" w:line="360" w:lineRule="auto"/>
        <w:ind w:firstLine="709"/>
        <w:jc w:val="both"/>
        <w:rPr>
          <w:rFonts w:ascii="Times New Roman" w:eastAsia="Times New Roman" w:hAnsi="Times New Roman" w:cs="Times New Roman"/>
          <w:sz w:val="28"/>
          <w:szCs w:val="28"/>
          <w:lang w:val="en-US"/>
        </w:rPr>
      </w:pPr>
      <w:r w:rsidRPr="006C3C9A">
        <w:rPr>
          <w:rFonts w:ascii="Times New Roman" w:eastAsia="Times New Roman" w:hAnsi="Times New Roman" w:cs="Times New Roman"/>
          <w:sz w:val="28"/>
          <w:szCs w:val="28"/>
          <w:lang w:val="en-US"/>
        </w:rPr>
        <w:t xml:space="preserve">Main typical complaints of patients with CP accompanied by BH included pain and jaundice. Pain syndrome occurred in 47 (95.9%) of patients. In 39 (82.9 %) of patients, the pain was permanent, and increased during food intake; in 8 (17.1%) patients, the pain was recurring and cramp-like. In 40 (85.1%) patients, the pain focalized in the pit of the stomach, in 3 (6.4%) – in the left </w:t>
      </w:r>
      <w:proofErr w:type="spellStart"/>
      <w:r w:rsidRPr="006C3C9A">
        <w:rPr>
          <w:rFonts w:ascii="Times New Roman" w:eastAsia="Times New Roman" w:hAnsi="Times New Roman" w:cs="Times New Roman"/>
          <w:sz w:val="28"/>
          <w:szCs w:val="28"/>
          <w:lang w:val="en-US"/>
        </w:rPr>
        <w:t>hypochondrium</w:t>
      </w:r>
      <w:proofErr w:type="spellEnd"/>
      <w:r w:rsidRPr="006C3C9A">
        <w:rPr>
          <w:rFonts w:ascii="Times New Roman" w:eastAsia="Times New Roman" w:hAnsi="Times New Roman" w:cs="Times New Roman"/>
          <w:sz w:val="28"/>
          <w:szCs w:val="28"/>
          <w:lang w:val="en-US"/>
        </w:rPr>
        <w:t xml:space="preserve">, and in 4 (8.5%) – in the right </w:t>
      </w:r>
      <w:proofErr w:type="spellStart"/>
      <w:r w:rsidRPr="006C3C9A">
        <w:rPr>
          <w:rFonts w:ascii="Times New Roman" w:eastAsia="Times New Roman" w:hAnsi="Times New Roman" w:cs="Times New Roman"/>
          <w:sz w:val="28"/>
          <w:szCs w:val="28"/>
          <w:lang w:val="en-US"/>
        </w:rPr>
        <w:t>hypochondrium</w:t>
      </w:r>
      <w:proofErr w:type="spellEnd"/>
      <w:r w:rsidRPr="006C3C9A">
        <w:rPr>
          <w:rFonts w:ascii="Times New Roman" w:eastAsia="Times New Roman" w:hAnsi="Times New Roman" w:cs="Times New Roman"/>
          <w:sz w:val="28"/>
          <w:szCs w:val="28"/>
          <w:lang w:val="en-US"/>
        </w:rPr>
        <w:t xml:space="preserve">. In 22 (46.8%) patients, the pain irradiated into the back or was of belt-like nature. Twenty-nine (61.7 %) patients used painkillers, including the potent ones, all the time; 18 (38.3%) patients - occasionally. The pain syndrome in cases of CP with BH was caused by fibrous-degenerative changes in the head of the pancreas with the involvement of the nervous apparatus and duct system of the gland into the pathological process. </w:t>
      </w:r>
    </w:p>
    <w:p w:rsidR="005E3820" w:rsidRPr="006C3C9A" w:rsidRDefault="005E3820" w:rsidP="005E3820">
      <w:pPr>
        <w:pStyle w:val="aa"/>
        <w:tabs>
          <w:tab w:val="left" w:pos="-1276"/>
          <w:tab w:val="left" w:pos="0"/>
          <w:tab w:val="left" w:pos="709"/>
        </w:tabs>
        <w:spacing w:after="0" w:line="360" w:lineRule="auto"/>
        <w:ind w:firstLine="709"/>
        <w:jc w:val="both"/>
        <w:rPr>
          <w:rFonts w:ascii="Times New Roman" w:eastAsia="Times New Roman" w:hAnsi="Times New Roman" w:cs="Times New Roman"/>
          <w:sz w:val="28"/>
          <w:szCs w:val="28"/>
          <w:lang w:val="en-US"/>
        </w:rPr>
      </w:pPr>
      <w:r w:rsidRPr="006C3C9A">
        <w:rPr>
          <w:rFonts w:ascii="Times New Roman" w:eastAsia="Times New Roman" w:hAnsi="Times New Roman" w:cs="Times New Roman"/>
          <w:sz w:val="28"/>
          <w:szCs w:val="28"/>
          <w:lang w:val="en-US"/>
        </w:rPr>
        <w:t>Jaundice (</w:t>
      </w:r>
      <w:proofErr w:type="spellStart"/>
      <w:r w:rsidRPr="006C3C9A">
        <w:rPr>
          <w:rFonts w:ascii="Times New Roman" w:eastAsia="Times New Roman" w:hAnsi="Times New Roman" w:cs="Times New Roman"/>
          <w:sz w:val="28"/>
          <w:szCs w:val="28"/>
          <w:lang w:val="en-US"/>
        </w:rPr>
        <w:t>icteritiousness</w:t>
      </w:r>
      <w:proofErr w:type="spellEnd"/>
      <w:r w:rsidRPr="006C3C9A">
        <w:rPr>
          <w:rFonts w:ascii="Times New Roman" w:eastAsia="Times New Roman" w:hAnsi="Times New Roman" w:cs="Times New Roman"/>
          <w:sz w:val="28"/>
          <w:szCs w:val="28"/>
          <w:lang w:val="en-US"/>
        </w:rPr>
        <w:t xml:space="preserve"> of skin and visible mucous coat) occurred only in 27 (55.1%) patients with CP accompanied by BH. In 11 (40.7%) patients, the jaundice was recurrent. The other patients with BH had no jaundice at all.</w:t>
      </w:r>
    </w:p>
    <w:p w:rsidR="005E3820" w:rsidRPr="006C3C9A" w:rsidRDefault="005E3820" w:rsidP="005E3820">
      <w:pPr>
        <w:pStyle w:val="aa"/>
        <w:tabs>
          <w:tab w:val="left" w:pos="-1276"/>
          <w:tab w:val="left" w:pos="0"/>
          <w:tab w:val="left" w:pos="709"/>
        </w:tabs>
        <w:spacing w:after="0" w:line="360" w:lineRule="auto"/>
        <w:ind w:firstLine="709"/>
        <w:jc w:val="both"/>
        <w:rPr>
          <w:rFonts w:ascii="Times New Roman" w:eastAsia="Times New Roman" w:hAnsi="Times New Roman" w:cs="Times New Roman"/>
          <w:sz w:val="28"/>
          <w:szCs w:val="28"/>
          <w:lang w:val="en-US"/>
        </w:rPr>
      </w:pPr>
      <w:r w:rsidRPr="006C3C9A">
        <w:rPr>
          <w:rFonts w:ascii="Times New Roman" w:eastAsia="Times New Roman" w:hAnsi="Times New Roman" w:cs="Times New Roman"/>
          <w:sz w:val="28"/>
          <w:szCs w:val="28"/>
          <w:lang w:val="en-US"/>
        </w:rPr>
        <w:t>Weight and body mass loss was found in 41 (83.6%) patient, particularly, a weight loss of up to 5 kg – in 24 (58.5%) patients, from 5 to 10 kg – in 15 (36.6%) patients, and more than 10 kg – in 2 (4.9%) patients.</w:t>
      </w:r>
    </w:p>
    <w:p w:rsidR="001548A5" w:rsidRPr="006C3C9A" w:rsidRDefault="005E3820" w:rsidP="005E3820">
      <w:pPr>
        <w:pStyle w:val="aa"/>
        <w:tabs>
          <w:tab w:val="left" w:pos="-1276"/>
          <w:tab w:val="left" w:pos="0"/>
          <w:tab w:val="left" w:pos="709"/>
        </w:tabs>
        <w:spacing w:after="0" w:line="360" w:lineRule="auto"/>
        <w:ind w:firstLine="709"/>
        <w:jc w:val="both"/>
        <w:rPr>
          <w:rFonts w:ascii="Times New Roman" w:hAnsi="Times New Roman" w:cs="Times New Roman"/>
          <w:sz w:val="28"/>
          <w:szCs w:val="28"/>
        </w:rPr>
      </w:pPr>
      <w:r w:rsidRPr="006C3C9A">
        <w:rPr>
          <w:rFonts w:ascii="Times New Roman" w:eastAsia="Times New Roman" w:hAnsi="Times New Roman" w:cs="Times New Roman"/>
          <w:sz w:val="28"/>
          <w:szCs w:val="28"/>
          <w:lang w:val="en-US"/>
        </w:rPr>
        <w:t xml:space="preserve">In 33 (67.3 %) patients, a manifest </w:t>
      </w:r>
      <w:proofErr w:type="spellStart"/>
      <w:r w:rsidRPr="006C3C9A">
        <w:rPr>
          <w:rFonts w:ascii="Times New Roman" w:eastAsia="Times New Roman" w:hAnsi="Times New Roman" w:cs="Times New Roman"/>
          <w:sz w:val="28"/>
          <w:szCs w:val="28"/>
          <w:lang w:val="en-US"/>
        </w:rPr>
        <w:t>dyskinetic</w:t>
      </w:r>
      <w:proofErr w:type="spellEnd"/>
      <w:r w:rsidRPr="006C3C9A">
        <w:rPr>
          <w:rFonts w:ascii="Times New Roman" w:eastAsia="Times New Roman" w:hAnsi="Times New Roman" w:cs="Times New Roman"/>
          <w:sz w:val="28"/>
          <w:szCs w:val="28"/>
          <w:lang w:val="en-US"/>
        </w:rPr>
        <w:t xml:space="preserve"> syndrome (diarrhea, constipations) took place. Dyspeptic syndrome (appetite change, nausea, vomiting that brings no relief, aversion to greasy food, and flatulence) were found in all patients. Such manifestations of the disease induced 39 (79.6%) patients to take enzymatic agents regularly. Thirty-one (63.3 %) patient had a manifest </w:t>
      </w:r>
      <w:proofErr w:type="spellStart"/>
      <w:r w:rsidRPr="006C3C9A">
        <w:rPr>
          <w:rFonts w:ascii="Times New Roman" w:eastAsia="Times New Roman" w:hAnsi="Times New Roman" w:cs="Times New Roman"/>
          <w:sz w:val="28"/>
          <w:szCs w:val="28"/>
          <w:lang w:val="en-US"/>
        </w:rPr>
        <w:t>asthenovegetative</w:t>
      </w:r>
      <w:proofErr w:type="spellEnd"/>
      <w:r w:rsidRPr="006C3C9A">
        <w:rPr>
          <w:rFonts w:ascii="Times New Roman" w:eastAsia="Times New Roman" w:hAnsi="Times New Roman" w:cs="Times New Roman"/>
          <w:sz w:val="28"/>
          <w:szCs w:val="28"/>
          <w:lang w:val="en-US"/>
        </w:rPr>
        <w:t xml:space="preserve"> syndrome (general weakness, irritability, sleep disorder, performance decrement).</w:t>
      </w:r>
      <w:r w:rsidR="001548A5" w:rsidRPr="006C3C9A">
        <w:rPr>
          <w:rFonts w:ascii="Times New Roman" w:hAnsi="Times New Roman" w:cs="Times New Roman"/>
          <w:sz w:val="28"/>
          <w:szCs w:val="28"/>
        </w:rPr>
        <w:t xml:space="preserve"> </w:t>
      </w:r>
    </w:p>
    <w:p w:rsidR="001548A5" w:rsidRPr="0039009E" w:rsidRDefault="00F03E8A" w:rsidP="0039009E">
      <w:pPr>
        <w:pStyle w:val="aa"/>
        <w:tabs>
          <w:tab w:val="left" w:pos="-1276"/>
          <w:tab w:val="left" w:pos="0"/>
          <w:tab w:val="left" w:pos="709"/>
        </w:tabs>
        <w:spacing w:before="120"/>
        <w:jc w:val="right"/>
        <w:rPr>
          <w:rFonts w:ascii="Times New Roman" w:hAnsi="Times New Roman" w:cs="Times New Roman"/>
          <w:sz w:val="28"/>
          <w:szCs w:val="28"/>
          <w:lang w:val="ru-RU"/>
        </w:rPr>
      </w:pPr>
      <w:r w:rsidRPr="006C3C9A">
        <w:rPr>
          <w:rFonts w:ascii="Times New Roman" w:hAnsi="Times New Roman" w:cs="Times New Roman"/>
          <w:sz w:val="28"/>
          <w:szCs w:val="28"/>
          <w:lang w:val="en-US"/>
        </w:rPr>
        <w:t>Table</w:t>
      </w:r>
      <w:r w:rsidR="001548A5" w:rsidRPr="006C3C9A">
        <w:rPr>
          <w:rFonts w:ascii="Times New Roman" w:hAnsi="Times New Roman" w:cs="Times New Roman"/>
          <w:sz w:val="28"/>
          <w:szCs w:val="28"/>
        </w:rPr>
        <w:t xml:space="preserve"> </w:t>
      </w:r>
      <w:r w:rsidR="004D7C66" w:rsidRPr="006C3C9A">
        <w:rPr>
          <w:rFonts w:ascii="Times New Roman" w:hAnsi="Times New Roman" w:cs="Times New Roman"/>
          <w:sz w:val="28"/>
          <w:szCs w:val="28"/>
        </w:rPr>
        <w:t>1</w:t>
      </w:r>
    </w:p>
    <w:p w:rsidR="001548A5" w:rsidRPr="006C3C9A" w:rsidRDefault="00F03E8A" w:rsidP="00E35879">
      <w:pPr>
        <w:pStyle w:val="aa"/>
        <w:tabs>
          <w:tab w:val="left" w:pos="-1276"/>
          <w:tab w:val="left" w:pos="0"/>
          <w:tab w:val="left" w:pos="709"/>
        </w:tabs>
        <w:jc w:val="center"/>
        <w:rPr>
          <w:rFonts w:ascii="Times New Roman" w:hAnsi="Times New Roman" w:cs="Times New Roman"/>
          <w:b/>
          <w:sz w:val="28"/>
          <w:szCs w:val="28"/>
        </w:rPr>
      </w:pPr>
      <w:r w:rsidRPr="006C3C9A">
        <w:rPr>
          <w:rFonts w:ascii="Times New Roman" w:hAnsi="Times New Roman" w:cs="Times New Roman"/>
          <w:b/>
          <w:sz w:val="28"/>
          <w:szCs w:val="28"/>
          <w:lang w:val="en-US"/>
        </w:rPr>
        <w:t>Clinical symptoms in patients with CP accompanied by BH</w:t>
      </w:r>
    </w:p>
    <w:tbl>
      <w:tblPr>
        <w:tblStyle w:val="af3"/>
        <w:tblW w:w="9214" w:type="dxa"/>
        <w:tblInd w:w="279" w:type="dxa"/>
        <w:tblLook w:val="04A0"/>
      </w:tblPr>
      <w:tblGrid>
        <w:gridCol w:w="4252"/>
        <w:gridCol w:w="2552"/>
        <w:gridCol w:w="2410"/>
      </w:tblGrid>
      <w:tr w:rsidR="006C3C9A" w:rsidRPr="006C3C9A" w:rsidTr="004D7C66">
        <w:trPr>
          <w:trHeight w:val="623"/>
        </w:trPr>
        <w:tc>
          <w:tcPr>
            <w:tcW w:w="4252" w:type="dxa"/>
            <w:vMerge w:val="restart"/>
            <w:vAlign w:val="center"/>
          </w:tcPr>
          <w:p w:rsidR="001548A5" w:rsidRPr="006C3C9A" w:rsidRDefault="00F03E8A" w:rsidP="00E35879">
            <w:pPr>
              <w:spacing w:before="360"/>
              <w:jc w:val="center"/>
              <w:rPr>
                <w:rFonts w:ascii="Times New Roman" w:hAnsi="Times New Roman"/>
                <w:sz w:val="28"/>
                <w:szCs w:val="28"/>
                <w:lang w:val="en-US"/>
              </w:rPr>
            </w:pPr>
            <w:r w:rsidRPr="006C3C9A">
              <w:rPr>
                <w:rFonts w:ascii="Times New Roman" w:hAnsi="Times New Roman"/>
                <w:sz w:val="28"/>
                <w:szCs w:val="28"/>
                <w:lang w:val="en-US"/>
              </w:rPr>
              <w:lastRenderedPageBreak/>
              <w:t>Clinical signs</w:t>
            </w:r>
          </w:p>
        </w:tc>
        <w:tc>
          <w:tcPr>
            <w:tcW w:w="4962" w:type="dxa"/>
            <w:gridSpan w:val="2"/>
            <w:vAlign w:val="center"/>
          </w:tcPr>
          <w:p w:rsidR="001548A5" w:rsidRPr="006C3C9A" w:rsidRDefault="00F03E8A" w:rsidP="00E35879">
            <w:pPr>
              <w:jc w:val="center"/>
              <w:rPr>
                <w:rFonts w:ascii="Times New Roman" w:hAnsi="Times New Roman"/>
                <w:sz w:val="28"/>
                <w:szCs w:val="28"/>
                <w:lang w:val="en-US"/>
              </w:rPr>
            </w:pPr>
            <w:r w:rsidRPr="006C3C9A">
              <w:rPr>
                <w:rFonts w:ascii="Times New Roman" w:hAnsi="Times New Roman"/>
                <w:sz w:val="28"/>
                <w:szCs w:val="28"/>
                <w:lang w:val="en-US"/>
              </w:rPr>
              <w:t>Groups of patients</w:t>
            </w:r>
          </w:p>
        </w:tc>
      </w:tr>
      <w:tr w:rsidR="006C3C9A" w:rsidRPr="006C3C9A" w:rsidTr="006345DE">
        <w:trPr>
          <w:trHeight w:val="1402"/>
        </w:trPr>
        <w:tc>
          <w:tcPr>
            <w:tcW w:w="4252" w:type="dxa"/>
            <w:vMerge/>
            <w:vAlign w:val="center"/>
          </w:tcPr>
          <w:p w:rsidR="004D7C66" w:rsidRPr="006C3C9A" w:rsidRDefault="004D7C66" w:rsidP="00E35879">
            <w:pPr>
              <w:spacing w:before="360"/>
              <w:jc w:val="center"/>
              <w:rPr>
                <w:rFonts w:ascii="Times New Roman" w:hAnsi="Times New Roman"/>
                <w:sz w:val="28"/>
                <w:szCs w:val="28"/>
              </w:rPr>
            </w:pPr>
          </w:p>
        </w:tc>
        <w:tc>
          <w:tcPr>
            <w:tcW w:w="2552" w:type="dxa"/>
          </w:tcPr>
          <w:p w:rsidR="004D7C66" w:rsidRPr="006C3C9A" w:rsidRDefault="00F03E8A" w:rsidP="00E35879">
            <w:pPr>
              <w:jc w:val="center"/>
              <w:rPr>
                <w:rFonts w:ascii="Times New Roman" w:hAnsi="Times New Roman"/>
                <w:sz w:val="28"/>
                <w:szCs w:val="28"/>
              </w:rPr>
            </w:pPr>
            <w:r w:rsidRPr="006C3C9A">
              <w:rPr>
                <w:rFonts w:ascii="Times New Roman" w:hAnsi="Times New Roman"/>
                <w:sz w:val="28"/>
                <w:szCs w:val="28"/>
                <w:lang w:val="en-US"/>
              </w:rPr>
              <w:t>1</w:t>
            </w:r>
            <w:r w:rsidRPr="006C3C9A">
              <w:rPr>
                <w:rFonts w:ascii="Times New Roman" w:hAnsi="Times New Roman"/>
                <w:sz w:val="28"/>
                <w:szCs w:val="28"/>
                <w:vertAlign w:val="superscript"/>
                <w:lang w:val="en-US"/>
              </w:rPr>
              <w:t>st</w:t>
            </w:r>
            <w:r w:rsidRPr="006C3C9A">
              <w:rPr>
                <w:rFonts w:ascii="Times New Roman" w:hAnsi="Times New Roman"/>
                <w:sz w:val="28"/>
                <w:szCs w:val="28"/>
                <w:lang w:val="en-US"/>
              </w:rPr>
              <w:t xml:space="preserve"> group</w:t>
            </w:r>
          </w:p>
          <w:p w:rsidR="004D7C66" w:rsidRPr="006C3C9A" w:rsidRDefault="004D7C66" w:rsidP="00E35879">
            <w:pPr>
              <w:jc w:val="center"/>
              <w:rPr>
                <w:rFonts w:ascii="Times New Roman" w:hAnsi="Times New Roman"/>
                <w:sz w:val="28"/>
                <w:szCs w:val="28"/>
              </w:rPr>
            </w:pPr>
            <w:r w:rsidRPr="006C3C9A">
              <w:rPr>
                <w:rFonts w:ascii="Times New Roman" w:hAnsi="Times New Roman"/>
                <w:sz w:val="28"/>
                <w:szCs w:val="28"/>
              </w:rPr>
              <w:t>(</w:t>
            </w:r>
            <w:r w:rsidR="00F03E8A" w:rsidRPr="006C3C9A">
              <w:rPr>
                <w:rFonts w:ascii="Times New Roman" w:hAnsi="Times New Roman"/>
                <w:sz w:val="28"/>
                <w:szCs w:val="28"/>
                <w:lang w:val="en-US"/>
              </w:rPr>
              <w:t xml:space="preserve">with monitoring of </w:t>
            </w:r>
            <w:proofErr w:type="spellStart"/>
            <w:r w:rsidR="00F03E8A" w:rsidRPr="006C3C9A">
              <w:rPr>
                <w:rFonts w:ascii="Times New Roman" w:hAnsi="Times New Roman"/>
                <w:sz w:val="28"/>
                <w:szCs w:val="28"/>
                <w:lang w:val="en-US"/>
              </w:rPr>
              <w:t>biliary</w:t>
            </w:r>
            <w:proofErr w:type="spellEnd"/>
            <w:r w:rsidR="00F03E8A" w:rsidRPr="006C3C9A">
              <w:rPr>
                <w:rFonts w:ascii="Times New Roman" w:hAnsi="Times New Roman"/>
                <w:sz w:val="28"/>
                <w:szCs w:val="28"/>
                <w:lang w:val="en-US"/>
              </w:rPr>
              <w:t xml:space="preserve"> pressure)</w:t>
            </w:r>
          </w:p>
          <w:p w:rsidR="004D7C66" w:rsidRPr="006C3C9A" w:rsidRDefault="004D7C66" w:rsidP="00E35879">
            <w:pPr>
              <w:jc w:val="center"/>
              <w:rPr>
                <w:rFonts w:ascii="Times New Roman" w:hAnsi="Times New Roman"/>
                <w:sz w:val="28"/>
                <w:szCs w:val="28"/>
              </w:rPr>
            </w:pPr>
            <w:r w:rsidRPr="006C3C9A">
              <w:rPr>
                <w:rFonts w:ascii="Times New Roman" w:hAnsi="Times New Roman"/>
                <w:sz w:val="28"/>
                <w:szCs w:val="28"/>
              </w:rPr>
              <w:t xml:space="preserve"> (</w:t>
            </w:r>
            <w:r w:rsidRPr="006C3C9A">
              <w:rPr>
                <w:rFonts w:ascii="Times New Roman" w:hAnsi="Times New Roman"/>
                <w:sz w:val="28"/>
                <w:szCs w:val="28"/>
                <w:lang w:val="en-US"/>
              </w:rPr>
              <w:t>n</w:t>
            </w:r>
            <w:r w:rsidRPr="006C3C9A">
              <w:rPr>
                <w:rFonts w:ascii="Times New Roman" w:hAnsi="Times New Roman"/>
                <w:sz w:val="28"/>
                <w:szCs w:val="28"/>
              </w:rPr>
              <w:t>=</w:t>
            </w:r>
            <w:r w:rsidR="00C853C4" w:rsidRPr="006C3C9A">
              <w:rPr>
                <w:rFonts w:ascii="Times New Roman" w:hAnsi="Times New Roman"/>
                <w:sz w:val="28"/>
                <w:szCs w:val="28"/>
              </w:rPr>
              <w:t>14</w:t>
            </w:r>
            <w:r w:rsidRPr="006C3C9A">
              <w:rPr>
                <w:rFonts w:ascii="Times New Roman" w:hAnsi="Times New Roman"/>
                <w:sz w:val="28"/>
                <w:szCs w:val="28"/>
              </w:rPr>
              <w:t>)</w:t>
            </w:r>
          </w:p>
        </w:tc>
        <w:tc>
          <w:tcPr>
            <w:tcW w:w="2410" w:type="dxa"/>
            <w:vAlign w:val="center"/>
          </w:tcPr>
          <w:p w:rsidR="004D7C66" w:rsidRPr="006C3C9A" w:rsidRDefault="00F03E8A" w:rsidP="00E35879">
            <w:pPr>
              <w:jc w:val="center"/>
              <w:rPr>
                <w:rFonts w:ascii="Times New Roman" w:hAnsi="Times New Roman"/>
                <w:sz w:val="28"/>
                <w:szCs w:val="28"/>
              </w:rPr>
            </w:pPr>
            <w:r w:rsidRPr="006C3C9A">
              <w:rPr>
                <w:rFonts w:ascii="Times New Roman" w:hAnsi="Times New Roman"/>
                <w:sz w:val="28"/>
                <w:szCs w:val="28"/>
                <w:lang w:val="en-US"/>
              </w:rPr>
              <w:t>2</w:t>
            </w:r>
            <w:r w:rsidRPr="006C3C9A">
              <w:rPr>
                <w:rFonts w:ascii="Times New Roman" w:hAnsi="Times New Roman"/>
                <w:sz w:val="28"/>
                <w:szCs w:val="28"/>
                <w:vertAlign w:val="superscript"/>
                <w:lang w:val="en-US"/>
              </w:rPr>
              <w:t>nd</w:t>
            </w:r>
            <w:r w:rsidRPr="006C3C9A">
              <w:rPr>
                <w:rFonts w:ascii="Times New Roman" w:hAnsi="Times New Roman"/>
                <w:sz w:val="28"/>
                <w:szCs w:val="28"/>
                <w:lang w:val="en-US"/>
              </w:rPr>
              <w:t xml:space="preserve"> group</w:t>
            </w:r>
            <w:r w:rsidR="004D7C66" w:rsidRPr="006C3C9A">
              <w:rPr>
                <w:rFonts w:ascii="Times New Roman" w:hAnsi="Times New Roman"/>
                <w:sz w:val="28"/>
                <w:szCs w:val="28"/>
              </w:rPr>
              <w:t xml:space="preserve"> </w:t>
            </w:r>
          </w:p>
          <w:p w:rsidR="004D7C66" w:rsidRPr="006C3C9A" w:rsidRDefault="004D7C66" w:rsidP="00E35879">
            <w:pPr>
              <w:jc w:val="center"/>
              <w:rPr>
                <w:rFonts w:ascii="Times New Roman" w:hAnsi="Times New Roman"/>
                <w:sz w:val="28"/>
                <w:szCs w:val="28"/>
              </w:rPr>
            </w:pPr>
            <w:r w:rsidRPr="006C3C9A">
              <w:rPr>
                <w:rFonts w:ascii="Times New Roman" w:hAnsi="Times New Roman"/>
                <w:sz w:val="28"/>
                <w:szCs w:val="28"/>
              </w:rPr>
              <w:t>(</w:t>
            </w:r>
            <w:r w:rsidR="00F03E8A" w:rsidRPr="006C3C9A">
              <w:rPr>
                <w:rFonts w:ascii="Times New Roman" w:hAnsi="Times New Roman"/>
                <w:sz w:val="28"/>
                <w:szCs w:val="28"/>
                <w:lang w:val="en-US"/>
              </w:rPr>
              <w:t xml:space="preserve">without monitoring of </w:t>
            </w:r>
            <w:proofErr w:type="spellStart"/>
            <w:r w:rsidR="00F03E8A" w:rsidRPr="006C3C9A">
              <w:rPr>
                <w:rFonts w:ascii="Times New Roman" w:hAnsi="Times New Roman"/>
                <w:sz w:val="28"/>
                <w:szCs w:val="28"/>
                <w:lang w:val="en-US"/>
              </w:rPr>
              <w:t>biliary</w:t>
            </w:r>
            <w:proofErr w:type="spellEnd"/>
            <w:r w:rsidR="00F03E8A" w:rsidRPr="006C3C9A">
              <w:rPr>
                <w:rFonts w:ascii="Times New Roman" w:hAnsi="Times New Roman"/>
                <w:sz w:val="28"/>
                <w:szCs w:val="28"/>
                <w:lang w:val="en-US"/>
              </w:rPr>
              <w:t xml:space="preserve"> pressure</w:t>
            </w:r>
            <w:r w:rsidRPr="006C3C9A">
              <w:rPr>
                <w:rFonts w:ascii="Times New Roman" w:hAnsi="Times New Roman"/>
                <w:sz w:val="28"/>
                <w:szCs w:val="28"/>
              </w:rPr>
              <w:t>)</w:t>
            </w:r>
          </w:p>
          <w:p w:rsidR="004D7C66" w:rsidRPr="006C3C9A" w:rsidRDefault="004D7C66" w:rsidP="00E35879">
            <w:pPr>
              <w:jc w:val="center"/>
              <w:rPr>
                <w:rFonts w:ascii="Times New Roman" w:hAnsi="Times New Roman"/>
                <w:sz w:val="28"/>
                <w:szCs w:val="28"/>
              </w:rPr>
            </w:pPr>
            <w:r w:rsidRPr="006C3C9A">
              <w:rPr>
                <w:rFonts w:ascii="Times New Roman" w:hAnsi="Times New Roman"/>
                <w:sz w:val="28"/>
                <w:szCs w:val="28"/>
              </w:rPr>
              <w:t xml:space="preserve"> (</w:t>
            </w:r>
            <w:r w:rsidRPr="006C3C9A">
              <w:rPr>
                <w:rFonts w:ascii="Times New Roman" w:hAnsi="Times New Roman"/>
                <w:sz w:val="28"/>
                <w:szCs w:val="28"/>
                <w:lang w:val="en-US"/>
              </w:rPr>
              <w:t>n</w:t>
            </w:r>
            <w:r w:rsidRPr="006C3C9A">
              <w:rPr>
                <w:rFonts w:ascii="Times New Roman" w:hAnsi="Times New Roman"/>
                <w:sz w:val="28"/>
                <w:szCs w:val="28"/>
              </w:rPr>
              <w:t>=</w:t>
            </w:r>
            <w:r w:rsidR="00C853C4" w:rsidRPr="006C3C9A">
              <w:rPr>
                <w:rFonts w:ascii="Times New Roman" w:hAnsi="Times New Roman"/>
                <w:sz w:val="28"/>
                <w:szCs w:val="28"/>
              </w:rPr>
              <w:t>35</w:t>
            </w:r>
            <w:r w:rsidRPr="006C3C9A">
              <w:rPr>
                <w:rFonts w:ascii="Times New Roman" w:hAnsi="Times New Roman"/>
                <w:sz w:val="28"/>
                <w:szCs w:val="28"/>
              </w:rPr>
              <w:t>)</w:t>
            </w:r>
          </w:p>
        </w:tc>
      </w:tr>
      <w:tr w:rsidR="006C3C9A" w:rsidRPr="006C3C9A" w:rsidTr="00E64F04">
        <w:tc>
          <w:tcPr>
            <w:tcW w:w="4252" w:type="dxa"/>
            <w:vAlign w:val="center"/>
          </w:tcPr>
          <w:p w:rsidR="007839C8" w:rsidRPr="006C3C9A" w:rsidRDefault="00F03E8A" w:rsidP="00E35879">
            <w:pPr>
              <w:rPr>
                <w:rFonts w:ascii="Times New Roman" w:hAnsi="Times New Roman"/>
                <w:sz w:val="28"/>
                <w:szCs w:val="28"/>
                <w:lang w:val="en-US"/>
              </w:rPr>
            </w:pPr>
            <w:r w:rsidRPr="006C3C9A">
              <w:rPr>
                <w:rFonts w:ascii="Times New Roman" w:hAnsi="Times New Roman"/>
                <w:sz w:val="28"/>
                <w:szCs w:val="28"/>
                <w:lang w:val="en-US"/>
              </w:rPr>
              <w:t>Pain syndrome</w:t>
            </w:r>
          </w:p>
        </w:tc>
        <w:tc>
          <w:tcPr>
            <w:tcW w:w="2552" w:type="dxa"/>
            <w:vAlign w:val="center"/>
          </w:tcPr>
          <w:p w:rsidR="007839C8" w:rsidRPr="006C3C9A" w:rsidRDefault="00520421" w:rsidP="00E35879">
            <w:pPr>
              <w:jc w:val="center"/>
              <w:rPr>
                <w:rFonts w:ascii="Times New Roman" w:hAnsi="Times New Roman"/>
                <w:sz w:val="28"/>
                <w:szCs w:val="28"/>
              </w:rPr>
            </w:pPr>
            <w:r w:rsidRPr="006C3C9A">
              <w:rPr>
                <w:rFonts w:ascii="Times New Roman" w:hAnsi="Times New Roman"/>
                <w:sz w:val="28"/>
                <w:szCs w:val="28"/>
              </w:rPr>
              <w:t>13</w:t>
            </w:r>
            <w:r w:rsidR="007839C8" w:rsidRPr="006C3C9A">
              <w:rPr>
                <w:rFonts w:ascii="Times New Roman" w:hAnsi="Times New Roman"/>
                <w:sz w:val="28"/>
                <w:szCs w:val="28"/>
              </w:rPr>
              <w:t xml:space="preserve"> (</w:t>
            </w:r>
            <w:r w:rsidR="00F03E8A" w:rsidRPr="006C3C9A">
              <w:rPr>
                <w:rFonts w:ascii="Times New Roman" w:hAnsi="Times New Roman"/>
                <w:sz w:val="28"/>
                <w:szCs w:val="28"/>
              </w:rPr>
              <w:t>92.</w:t>
            </w:r>
            <w:r w:rsidR="006345DE" w:rsidRPr="006C3C9A">
              <w:rPr>
                <w:rFonts w:ascii="Times New Roman" w:hAnsi="Times New Roman"/>
                <w:sz w:val="28"/>
                <w:szCs w:val="28"/>
              </w:rPr>
              <w:t xml:space="preserve">8 </w:t>
            </w:r>
            <w:r w:rsidR="007839C8" w:rsidRPr="006C3C9A">
              <w:rPr>
                <w:rFonts w:ascii="Times New Roman" w:hAnsi="Times New Roman"/>
                <w:sz w:val="28"/>
                <w:szCs w:val="28"/>
              </w:rPr>
              <w:t>%)</w:t>
            </w:r>
          </w:p>
        </w:tc>
        <w:tc>
          <w:tcPr>
            <w:tcW w:w="2410" w:type="dxa"/>
            <w:vAlign w:val="center"/>
          </w:tcPr>
          <w:p w:rsidR="007839C8" w:rsidRPr="006C3C9A" w:rsidRDefault="00520421" w:rsidP="00E35879">
            <w:pPr>
              <w:jc w:val="center"/>
              <w:rPr>
                <w:rFonts w:ascii="Times New Roman" w:hAnsi="Times New Roman"/>
                <w:sz w:val="28"/>
                <w:szCs w:val="28"/>
              </w:rPr>
            </w:pPr>
            <w:r w:rsidRPr="006C3C9A">
              <w:rPr>
                <w:rFonts w:ascii="Times New Roman" w:hAnsi="Times New Roman"/>
                <w:sz w:val="28"/>
                <w:szCs w:val="28"/>
              </w:rPr>
              <w:t>34</w:t>
            </w:r>
            <w:r w:rsidR="007839C8" w:rsidRPr="006C3C9A">
              <w:rPr>
                <w:rFonts w:ascii="Times New Roman" w:hAnsi="Times New Roman"/>
                <w:sz w:val="28"/>
                <w:szCs w:val="28"/>
              </w:rPr>
              <w:t xml:space="preserve"> (</w:t>
            </w:r>
            <w:r w:rsidR="00F03E8A" w:rsidRPr="006C3C9A">
              <w:rPr>
                <w:rFonts w:ascii="Times New Roman" w:hAnsi="Times New Roman"/>
                <w:sz w:val="28"/>
                <w:szCs w:val="28"/>
              </w:rPr>
              <w:t>97.</w:t>
            </w:r>
            <w:r w:rsidR="00690C75" w:rsidRPr="006C3C9A">
              <w:rPr>
                <w:rFonts w:ascii="Times New Roman" w:hAnsi="Times New Roman"/>
                <w:sz w:val="28"/>
                <w:szCs w:val="28"/>
              </w:rPr>
              <w:t xml:space="preserve">1 </w:t>
            </w:r>
            <w:r w:rsidR="007839C8" w:rsidRPr="006C3C9A">
              <w:rPr>
                <w:rFonts w:ascii="Times New Roman" w:hAnsi="Times New Roman"/>
                <w:sz w:val="28"/>
                <w:szCs w:val="28"/>
              </w:rPr>
              <w:t>%)</w:t>
            </w:r>
          </w:p>
        </w:tc>
      </w:tr>
      <w:tr w:rsidR="006C3C9A" w:rsidRPr="006C3C9A" w:rsidTr="00E64F04">
        <w:tc>
          <w:tcPr>
            <w:tcW w:w="4252" w:type="dxa"/>
            <w:vAlign w:val="center"/>
          </w:tcPr>
          <w:p w:rsidR="007839C8" w:rsidRPr="006C3C9A" w:rsidRDefault="00F03E8A" w:rsidP="00E35879">
            <w:pPr>
              <w:rPr>
                <w:rFonts w:ascii="Times New Roman" w:hAnsi="Times New Roman"/>
                <w:sz w:val="28"/>
                <w:szCs w:val="28"/>
                <w:lang w:val="en-US"/>
              </w:rPr>
            </w:pPr>
            <w:r w:rsidRPr="006C3C9A">
              <w:rPr>
                <w:rFonts w:ascii="Times New Roman" w:hAnsi="Times New Roman"/>
                <w:sz w:val="28"/>
                <w:szCs w:val="28"/>
                <w:lang w:val="en-US"/>
              </w:rPr>
              <w:t>Jaundice</w:t>
            </w:r>
          </w:p>
        </w:tc>
        <w:tc>
          <w:tcPr>
            <w:tcW w:w="2552" w:type="dxa"/>
            <w:vAlign w:val="center"/>
          </w:tcPr>
          <w:p w:rsidR="007839C8" w:rsidRPr="006C3C9A" w:rsidRDefault="00520421" w:rsidP="00E35879">
            <w:pPr>
              <w:jc w:val="center"/>
              <w:rPr>
                <w:rFonts w:ascii="Times New Roman" w:hAnsi="Times New Roman"/>
                <w:sz w:val="28"/>
                <w:szCs w:val="28"/>
              </w:rPr>
            </w:pPr>
            <w:r w:rsidRPr="006C3C9A">
              <w:rPr>
                <w:rFonts w:ascii="Times New Roman" w:hAnsi="Times New Roman"/>
                <w:sz w:val="28"/>
                <w:szCs w:val="28"/>
              </w:rPr>
              <w:t>8</w:t>
            </w:r>
            <w:r w:rsidR="007839C8" w:rsidRPr="006C3C9A">
              <w:rPr>
                <w:rFonts w:ascii="Times New Roman" w:hAnsi="Times New Roman"/>
                <w:sz w:val="28"/>
                <w:szCs w:val="28"/>
              </w:rPr>
              <w:t xml:space="preserve"> (</w:t>
            </w:r>
            <w:r w:rsidR="00F03E8A" w:rsidRPr="006C3C9A">
              <w:rPr>
                <w:rFonts w:ascii="Times New Roman" w:hAnsi="Times New Roman"/>
                <w:sz w:val="28"/>
                <w:szCs w:val="28"/>
              </w:rPr>
              <w:t>57.</w:t>
            </w:r>
            <w:r w:rsidR="006345DE" w:rsidRPr="006C3C9A">
              <w:rPr>
                <w:rFonts w:ascii="Times New Roman" w:hAnsi="Times New Roman"/>
                <w:sz w:val="28"/>
                <w:szCs w:val="28"/>
              </w:rPr>
              <w:t xml:space="preserve">1 </w:t>
            </w:r>
            <w:r w:rsidR="007839C8" w:rsidRPr="006C3C9A">
              <w:rPr>
                <w:rFonts w:ascii="Times New Roman" w:hAnsi="Times New Roman"/>
                <w:sz w:val="28"/>
                <w:szCs w:val="28"/>
              </w:rPr>
              <w:t>%)</w:t>
            </w:r>
          </w:p>
        </w:tc>
        <w:tc>
          <w:tcPr>
            <w:tcW w:w="2410" w:type="dxa"/>
            <w:vAlign w:val="center"/>
          </w:tcPr>
          <w:p w:rsidR="007839C8" w:rsidRPr="006C3C9A" w:rsidRDefault="00520421" w:rsidP="00E35879">
            <w:pPr>
              <w:jc w:val="center"/>
              <w:rPr>
                <w:rFonts w:ascii="Times New Roman" w:hAnsi="Times New Roman"/>
                <w:sz w:val="28"/>
                <w:szCs w:val="28"/>
              </w:rPr>
            </w:pPr>
            <w:r w:rsidRPr="006C3C9A">
              <w:rPr>
                <w:rFonts w:ascii="Times New Roman" w:hAnsi="Times New Roman"/>
                <w:sz w:val="28"/>
                <w:szCs w:val="28"/>
              </w:rPr>
              <w:t>17</w:t>
            </w:r>
            <w:r w:rsidR="007839C8" w:rsidRPr="006C3C9A">
              <w:rPr>
                <w:rFonts w:ascii="Times New Roman" w:hAnsi="Times New Roman"/>
                <w:sz w:val="28"/>
                <w:szCs w:val="28"/>
              </w:rPr>
              <w:t xml:space="preserve"> (</w:t>
            </w:r>
            <w:r w:rsidR="00F03E8A" w:rsidRPr="006C3C9A">
              <w:rPr>
                <w:rFonts w:ascii="Times New Roman" w:hAnsi="Times New Roman"/>
                <w:sz w:val="28"/>
                <w:szCs w:val="28"/>
              </w:rPr>
              <w:t>48.</w:t>
            </w:r>
            <w:r w:rsidR="003A327A" w:rsidRPr="006C3C9A">
              <w:rPr>
                <w:rFonts w:ascii="Times New Roman" w:hAnsi="Times New Roman"/>
                <w:sz w:val="28"/>
                <w:szCs w:val="28"/>
              </w:rPr>
              <w:t xml:space="preserve">5 </w:t>
            </w:r>
            <w:r w:rsidR="007839C8" w:rsidRPr="006C3C9A">
              <w:rPr>
                <w:rFonts w:ascii="Times New Roman" w:hAnsi="Times New Roman"/>
                <w:sz w:val="28"/>
                <w:szCs w:val="28"/>
              </w:rPr>
              <w:t>%)</w:t>
            </w:r>
          </w:p>
        </w:tc>
      </w:tr>
      <w:tr w:rsidR="006C3C9A" w:rsidRPr="006C3C9A" w:rsidTr="00E64F04">
        <w:tc>
          <w:tcPr>
            <w:tcW w:w="4252" w:type="dxa"/>
            <w:vAlign w:val="center"/>
          </w:tcPr>
          <w:p w:rsidR="007839C8" w:rsidRPr="006C3C9A" w:rsidRDefault="00F03E8A" w:rsidP="00E35879">
            <w:pPr>
              <w:rPr>
                <w:rFonts w:ascii="Times New Roman" w:hAnsi="Times New Roman"/>
                <w:sz w:val="28"/>
                <w:szCs w:val="28"/>
                <w:lang w:val="en-US"/>
              </w:rPr>
            </w:pPr>
            <w:r w:rsidRPr="006C3C9A">
              <w:rPr>
                <w:rFonts w:ascii="Times New Roman" w:hAnsi="Times New Roman"/>
                <w:sz w:val="28"/>
                <w:szCs w:val="28"/>
                <w:lang w:val="en-US"/>
              </w:rPr>
              <w:t>Weight loss</w:t>
            </w:r>
          </w:p>
        </w:tc>
        <w:tc>
          <w:tcPr>
            <w:tcW w:w="2552" w:type="dxa"/>
            <w:vAlign w:val="center"/>
          </w:tcPr>
          <w:p w:rsidR="007839C8" w:rsidRPr="006C3C9A" w:rsidRDefault="00BB3069" w:rsidP="00E35879">
            <w:pPr>
              <w:jc w:val="center"/>
              <w:rPr>
                <w:rFonts w:ascii="Times New Roman" w:hAnsi="Times New Roman"/>
                <w:sz w:val="28"/>
                <w:szCs w:val="28"/>
              </w:rPr>
            </w:pPr>
            <w:r w:rsidRPr="006C3C9A">
              <w:rPr>
                <w:rFonts w:ascii="Times New Roman" w:hAnsi="Times New Roman"/>
                <w:sz w:val="28"/>
                <w:szCs w:val="28"/>
              </w:rPr>
              <w:t>10</w:t>
            </w:r>
            <w:r w:rsidR="007839C8" w:rsidRPr="006C3C9A">
              <w:rPr>
                <w:rFonts w:ascii="Times New Roman" w:hAnsi="Times New Roman"/>
                <w:sz w:val="28"/>
                <w:szCs w:val="28"/>
              </w:rPr>
              <w:t xml:space="preserve"> (</w:t>
            </w:r>
            <w:r w:rsidR="006345DE" w:rsidRPr="006C3C9A">
              <w:rPr>
                <w:rFonts w:ascii="Times New Roman" w:hAnsi="Times New Roman"/>
                <w:sz w:val="28"/>
                <w:szCs w:val="28"/>
              </w:rPr>
              <w:t>71</w:t>
            </w:r>
            <w:r w:rsidR="00F03E8A" w:rsidRPr="006C3C9A">
              <w:rPr>
                <w:rFonts w:ascii="Times New Roman" w:hAnsi="Times New Roman"/>
                <w:sz w:val="28"/>
                <w:szCs w:val="28"/>
                <w:lang w:val="en-US"/>
              </w:rPr>
              <w:t>.</w:t>
            </w:r>
            <w:r w:rsidR="006345DE" w:rsidRPr="006C3C9A">
              <w:rPr>
                <w:rFonts w:ascii="Times New Roman" w:hAnsi="Times New Roman"/>
                <w:sz w:val="28"/>
                <w:szCs w:val="28"/>
              </w:rPr>
              <w:t xml:space="preserve">4 </w:t>
            </w:r>
            <w:r w:rsidR="007839C8" w:rsidRPr="006C3C9A">
              <w:rPr>
                <w:rFonts w:ascii="Times New Roman" w:hAnsi="Times New Roman"/>
                <w:sz w:val="28"/>
                <w:szCs w:val="28"/>
              </w:rPr>
              <w:t>%)</w:t>
            </w:r>
          </w:p>
        </w:tc>
        <w:tc>
          <w:tcPr>
            <w:tcW w:w="2410" w:type="dxa"/>
            <w:vAlign w:val="center"/>
          </w:tcPr>
          <w:p w:rsidR="007839C8" w:rsidRPr="006C3C9A" w:rsidRDefault="00BB3069" w:rsidP="00E35879">
            <w:pPr>
              <w:jc w:val="center"/>
              <w:rPr>
                <w:rFonts w:ascii="Times New Roman" w:hAnsi="Times New Roman"/>
                <w:sz w:val="28"/>
                <w:szCs w:val="28"/>
              </w:rPr>
            </w:pPr>
            <w:r w:rsidRPr="006C3C9A">
              <w:rPr>
                <w:rFonts w:ascii="Times New Roman" w:hAnsi="Times New Roman"/>
                <w:sz w:val="28"/>
                <w:szCs w:val="28"/>
              </w:rPr>
              <w:t>31</w:t>
            </w:r>
            <w:r w:rsidR="007839C8" w:rsidRPr="006C3C9A">
              <w:rPr>
                <w:rFonts w:ascii="Times New Roman" w:hAnsi="Times New Roman"/>
                <w:sz w:val="28"/>
                <w:szCs w:val="28"/>
              </w:rPr>
              <w:t xml:space="preserve"> (</w:t>
            </w:r>
            <w:r w:rsidR="00F03E8A" w:rsidRPr="006C3C9A">
              <w:rPr>
                <w:rFonts w:ascii="Times New Roman" w:hAnsi="Times New Roman"/>
                <w:sz w:val="28"/>
                <w:szCs w:val="28"/>
              </w:rPr>
              <w:t>88.</w:t>
            </w:r>
            <w:r w:rsidR="003A327A" w:rsidRPr="006C3C9A">
              <w:rPr>
                <w:rFonts w:ascii="Times New Roman" w:hAnsi="Times New Roman"/>
                <w:sz w:val="28"/>
                <w:szCs w:val="28"/>
              </w:rPr>
              <w:t xml:space="preserve">6 </w:t>
            </w:r>
            <w:r w:rsidR="007839C8" w:rsidRPr="006C3C9A">
              <w:rPr>
                <w:rFonts w:ascii="Times New Roman" w:hAnsi="Times New Roman"/>
                <w:sz w:val="28"/>
                <w:szCs w:val="28"/>
              </w:rPr>
              <w:t>%)</w:t>
            </w:r>
          </w:p>
        </w:tc>
      </w:tr>
      <w:tr w:rsidR="006C3C9A" w:rsidRPr="006C3C9A" w:rsidTr="00E64F04">
        <w:tc>
          <w:tcPr>
            <w:tcW w:w="4252" w:type="dxa"/>
            <w:vMerge w:val="restart"/>
            <w:vAlign w:val="center"/>
          </w:tcPr>
          <w:p w:rsidR="007839C8" w:rsidRPr="006C3C9A" w:rsidRDefault="007839C8" w:rsidP="00E35879">
            <w:pPr>
              <w:ind w:firstLine="873"/>
              <w:rPr>
                <w:rFonts w:ascii="Times New Roman" w:hAnsi="Times New Roman"/>
                <w:sz w:val="28"/>
                <w:szCs w:val="28"/>
                <w:lang w:val="en-US"/>
              </w:rPr>
            </w:pPr>
            <w:r w:rsidRPr="006C3C9A">
              <w:rPr>
                <w:rFonts w:ascii="Times New Roman" w:hAnsi="Times New Roman"/>
                <w:sz w:val="28"/>
                <w:szCs w:val="28"/>
                <w:lang w:val="en-US"/>
              </w:rPr>
              <w:t xml:space="preserve">&lt; </w:t>
            </w:r>
            <w:r w:rsidRPr="006C3C9A">
              <w:rPr>
                <w:rFonts w:ascii="Times New Roman" w:hAnsi="Times New Roman"/>
                <w:sz w:val="28"/>
                <w:szCs w:val="28"/>
              </w:rPr>
              <w:t xml:space="preserve">5 </w:t>
            </w:r>
            <w:r w:rsidR="00F03E8A" w:rsidRPr="006C3C9A">
              <w:rPr>
                <w:rFonts w:ascii="Times New Roman" w:hAnsi="Times New Roman"/>
                <w:sz w:val="28"/>
                <w:szCs w:val="28"/>
                <w:lang w:val="en-US"/>
              </w:rPr>
              <w:t>kg</w:t>
            </w:r>
          </w:p>
          <w:p w:rsidR="007839C8" w:rsidRPr="006C3C9A" w:rsidRDefault="007839C8" w:rsidP="00E35879">
            <w:pPr>
              <w:ind w:firstLine="873"/>
              <w:rPr>
                <w:rFonts w:ascii="Times New Roman" w:hAnsi="Times New Roman"/>
                <w:sz w:val="28"/>
                <w:szCs w:val="28"/>
                <w:lang w:val="en-US"/>
              </w:rPr>
            </w:pPr>
            <w:r w:rsidRPr="006C3C9A">
              <w:rPr>
                <w:rFonts w:ascii="Times New Roman" w:hAnsi="Times New Roman"/>
                <w:sz w:val="28"/>
                <w:szCs w:val="28"/>
                <w:lang w:val="en-US"/>
              </w:rPr>
              <w:t xml:space="preserve">5-10 </w:t>
            </w:r>
            <w:r w:rsidR="00F03E8A" w:rsidRPr="006C3C9A">
              <w:rPr>
                <w:rFonts w:ascii="Times New Roman" w:hAnsi="Times New Roman"/>
                <w:sz w:val="28"/>
                <w:szCs w:val="28"/>
                <w:lang w:val="en-US"/>
              </w:rPr>
              <w:t>kg</w:t>
            </w:r>
          </w:p>
          <w:p w:rsidR="007839C8" w:rsidRPr="006C3C9A" w:rsidRDefault="007839C8" w:rsidP="00E35879">
            <w:pPr>
              <w:ind w:firstLine="873"/>
              <w:rPr>
                <w:rFonts w:ascii="Times New Roman" w:hAnsi="Times New Roman"/>
                <w:sz w:val="28"/>
                <w:szCs w:val="28"/>
                <w:lang w:val="en-US"/>
              </w:rPr>
            </w:pPr>
            <w:r w:rsidRPr="006C3C9A">
              <w:rPr>
                <w:rFonts w:ascii="Times New Roman" w:hAnsi="Times New Roman"/>
                <w:sz w:val="28"/>
                <w:szCs w:val="28"/>
                <w:lang w:val="en-US"/>
              </w:rPr>
              <w:t xml:space="preserve">&gt;10 </w:t>
            </w:r>
            <w:r w:rsidR="00F03E8A" w:rsidRPr="006C3C9A">
              <w:rPr>
                <w:rFonts w:ascii="Times New Roman" w:hAnsi="Times New Roman"/>
                <w:sz w:val="28"/>
                <w:szCs w:val="28"/>
                <w:lang w:val="en-US"/>
              </w:rPr>
              <w:t>kg</w:t>
            </w:r>
          </w:p>
        </w:tc>
        <w:tc>
          <w:tcPr>
            <w:tcW w:w="2552"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6</w:t>
            </w:r>
            <w:r w:rsidR="007839C8" w:rsidRPr="006C3C9A">
              <w:rPr>
                <w:rFonts w:ascii="Times New Roman" w:hAnsi="Times New Roman"/>
                <w:sz w:val="28"/>
                <w:szCs w:val="28"/>
              </w:rPr>
              <w:t xml:space="preserve"> (</w:t>
            </w:r>
            <w:r w:rsidR="00F03E8A" w:rsidRPr="006C3C9A">
              <w:rPr>
                <w:rFonts w:ascii="Times New Roman" w:hAnsi="Times New Roman"/>
                <w:sz w:val="28"/>
                <w:szCs w:val="28"/>
              </w:rPr>
              <w:t>42.</w:t>
            </w:r>
            <w:r w:rsidR="006345DE" w:rsidRPr="006C3C9A">
              <w:rPr>
                <w:rFonts w:ascii="Times New Roman" w:hAnsi="Times New Roman"/>
                <w:sz w:val="28"/>
                <w:szCs w:val="28"/>
              </w:rPr>
              <w:t>8</w:t>
            </w:r>
            <w:r w:rsidR="007839C8" w:rsidRPr="006C3C9A">
              <w:rPr>
                <w:rFonts w:ascii="Times New Roman" w:hAnsi="Times New Roman"/>
                <w:sz w:val="28"/>
                <w:szCs w:val="28"/>
              </w:rPr>
              <w:t>%)</w:t>
            </w:r>
          </w:p>
        </w:tc>
        <w:tc>
          <w:tcPr>
            <w:tcW w:w="2410"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18</w:t>
            </w:r>
            <w:r w:rsidR="007839C8" w:rsidRPr="006C3C9A">
              <w:rPr>
                <w:rFonts w:ascii="Times New Roman" w:hAnsi="Times New Roman"/>
                <w:sz w:val="28"/>
                <w:szCs w:val="28"/>
              </w:rPr>
              <w:t xml:space="preserve"> (</w:t>
            </w:r>
            <w:r w:rsidR="00F03E8A" w:rsidRPr="006C3C9A">
              <w:rPr>
                <w:rFonts w:ascii="Times New Roman" w:hAnsi="Times New Roman"/>
                <w:sz w:val="28"/>
                <w:szCs w:val="28"/>
              </w:rPr>
              <w:t>51.</w:t>
            </w:r>
            <w:r w:rsidR="003A327A" w:rsidRPr="006C3C9A">
              <w:rPr>
                <w:rFonts w:ascii="Times New Roman" w:hAnsi="Times New Roman"/>
                <w:sz w:val="28"/>
                <w:szCs w:val="28"/>
              </w:rPr>
              <w:t xml:space="preserve">4 </w:t>
            </w:r>
            <w:r w:rsidR="007839C8" w:rsidRPr="006C3C9A">
              <w:rPr>
                <w:rFonts w:ascii="Times New Roman" w:hAnsi="Times New Roman"/>
                <w:sz w:val="28"/>
                <w:szCs w:val="28"/>
              </w:rPr>
              <w:t>%)</w:t>
            </w:r>
          </w:p>
        </w:tc>
      </w:tr>
      <w:tr w:rsidR="006C3C9A" w:rsidRPr="006C3C9A" w:rsidTr="00E64F04">
        <w:tc>
          <w:tcPr>
            <w:tcW w:w="4252" w:type="dxa"/>
            <w:vMerge/>
            <w:vAlign w:val="center"/>
          </w:tcPr>
          <w:p w:rsidR="007839C8" w:rsidRPr="006C3C9A" w:rsidRDefault="007839C8" w:rsidP="00E35879">
            <w:pPr>
              <w:ind w:firstLine="873"/>
              <w:rPr>
                <w:rFonts w:ascii="Times New Roman" w:hAnsi="Times New Roman"/>
                <w:sz w:val="28"/>
                <w:szCs w:val="28"/>
              </w:rPr>
            </w:pPr>
          </w:p>
        </w:tc>
        <w:tc>
          <w:tcPr>
            <w:tcW w:w="2552"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4</w:t>
            </w:r>
            <w:r w:rsidR="007839C8" w:rsidRPr="006C3C9A">
              <w:rPr>
                <w:rFonts w:ascii="Times New Roman" w:hAnsi="Times New Roman"/>
                <w:sz w:val="28"/>
                <w:szCs w:val="28"/>
              </w:rPr>
              <w:t xml:space="preserve"> (</w:t>
            </w:r>
            <w:r w:rsidR="00F03E8A" w:rsidRPr="006C3C9A">
              <w:rPr>
                <w:rFonts w:ascii="Times New Roman" w:hAnsi="Times New Roman"/>
                <w:sz w:val="28"/>
                <w:szCs w:val="28"/>
              </w:rPr>
              <w:t>28.</w:t>
            </w:r>
            <w:r w:rsidR="006345DE" w:rsidRPr="006C3C9A">
              <w:rPr>
                <w:rFonts w:ascii="Times New Roman" w:hAnsi="Times New Roman"/>
                <w:sz w:val="28"/>
                <w:szCs w:val="28"/>
              </w:rPr>
              <w:t xml:space="preserve">6 </w:t>
            </w:r>
            <w:r w:rsidR="007839C8" w:rsidRPr="006C3C9A">
              <w:rPr>
                <w:rFonts w:ascii="Times New Roman" w:hAnsi="Times New Roman"/>
                <w:sz w:val="28"/>
                <w:szCs w:val="28"/>
              </w:rPr>
              <w:t>%)</w:t>
            </w:r>
          </w:p>
        </w:tc>
        <w:tc>
          <w:tcPr>
            <w:tcW w:w="2410"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13</w:t>
            </w:r>
            <w:r w:rsidR="007839C8" w:rsidRPr="006C3C9A">
              <w:rPr>
                <w:rFonts w:ascii="Times New Roman" w:hAnsi="Times New Roman"/>
                <w:sz w:val="28"/>
                <w:szCs w:val="28"/>
              </w:rPr>
              <w:t xml:space="preserve"> (</w:t>
            </w:r>
            <w:r w:rsidR="00F03E8A" w:rsidRPr="006C3C9A">
              <w:rPr>
                <w:rFonts w:ascii="Times New Roman" w:hAnsi="Times New Roman"/>
                <w:sz w:val="28"/>
                <w:szCs w:val="28"/>
              </w:rPr>
              <w:t>37.</w:t>
            </w:r>
            <w:r w:rsidR="003A327A" w:rsidRPr="006C3C9A">
              <w:rPr>
                <w:rFonts w:ascii="Times New Roman" w:hAnsi="Times New Roman"/>
                <w:sz w:val="28"/>
                <w:szCs w:val="28"/>
              </w:rPr>
              <w:t xml:space="preserve">1 </w:t>
            </w:r>
            <w:r w:rsidR="007839C8" w:rsidRPr="006C3C9A">
              <w:rPr>
                <w:rFonts w:ascii="Times New Roman" w:hAnsi="Times New Roman"/>
                <w:sz w:val="28"/>
                <w:szCs w:val="28"/>
              </w:rPr>
              <w:t>%)</w:t>
            </w:r>
          </w:p>
        </w:tc>
      </w:tr>
      <w:tr w:rsidR="006C3C9A" w:rsidRPr="006C3C9A" w:rsidTr="00E64F04">
        <w:tc>
          <w:tcPr>
            <w:tcW w:w="4252" w:type="dxa"/>
            <w:vMerge/>
            <w:vAlign w:val="center"/>
          </w:tcPr>
          <w:p w:rsidR="007839C8" w:rsidRPr="006C3C9A" w:rsidRDefault="007839C8" w:rsidP="00E35879">
            <w:pPr>
              <w:ind w:firstLine="873"/>
              <w:rPr>
                <w:rFonts w:ascii="Times New Roman" w:hAnsi="Times New Roman"/>
                <w:sz w:val="28"/>
                <w:szCs w:val="28"/>
                <w:lang w:val="en-US"/>
              </w:rPr>
            </w:pPr>
          </w:p>
        </w:tc>
        <w:tc>
          <w:tcPr>
            <w:tcW w:w="2552"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w:t>
            </w:r>
          </w:p>
        </w:tc>
        <w:tc>
          <w:tcPr>
            <w:tcW w:w="2410"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2</w:t>
            </w:r>
            <w:r w:rsidR="007839C8" w:rsidRPr="006C3C9A">
              <w:rPr>
                <w:rFonts w:ascii="Times New Roman" w:hAnsi="Times New Roman"/>
                <w:sz w:val="28"/>
                <w:szCs w:val="28"/>
              </w:rPr>
              <w:t xml:space="preserve"> (</w:t>
            </w:r>
            <w:r w:rsidR="00F03E8A" w:rsidRPr="006C3C9A">
              <w:rPr>
                <w:rFonts w:ascii="Times New Roman" w:hAnsi="Times New Roman"/>
                <w:sz w:val="28"/>
                <w:szCs w:val="28"/>
              </w:rPr>
              <w:t>5.</w:t>
            </w:r>
            <w:r w:rsidR="003A327A" w:rsidRPr="006C3C9A">
              <w:rPr>
                <w:rFonts w:ascii="Times New Roman" w:hAnsi="Times New Roman"/>
                <w:sz w:val="28"/>
                <w:szCs w:val="28"/>
              </w:rPr>
              <w:t xml:space="preserve">7 </w:t>
            </w:r>
            <w:r w:rsidR="007839C8" w:rsidRPr="006C3C9A">
              <w:rPr>
                <w:rFonts w:ascii="Times New Roman" w:hAnsi="Times New Roman"/>
                <w:sz w:val="28"/>
                <w:szCs w:val="28"/>
              </w:rPr>
              <w:t>%)</w:t>
            </w:r>
          </w:p>
        </w:tc>
      </w:tr>
      <w:tr w:rsidR="006C3C9A" w:rsidRPr="006C3C9A" w:rsidTr="00E64F04">
        <w:tc>
          <w:tcPr>
            <w:tcW w:w="4252" w:type="dxa"/>
            <w:vAlign w:val="center"/>
          </w:tcPr>
          <w:p w:rsidR="007839C8" w:rsidRPr="006C3C9A" w:rsidRDefault="00F03E8A" w:rsidP="00E35879">
            <w:pPr>
              <w:rPr>
                <w:rFonts w:ascii="Times New Roman" w:hAnsi="Times New Roman"/>
                <w:sz w:val="28"/>
                <w:szCs w:val="28"/>
              </w:rPr>
            </w:pPr>
            <w:proofErr w:type="spellStart"/>
            <w:r w:rsidRPr="006C3C9A">
              <w:rPr>
                <w:rFonts w:ascii="Times New Roman" w:hAnsi="Times New Roman"/>
                <w:sz w:val="28"/>
                <w:szCs w:val="28"/>
                <w:lang w:val="en-US"/>
              </w:rPr>
              <w:t>Dyskinetic</w:t>
            </w:r>
            <w:proofErr w:type="spellEnd"/>
            <w:r w:rsidRPr="006C3C9A">
              <w:rPr>
                <w:rFonts w:ascii="Times New Roman" w:hAnsi="Times New Roman"/>
                <w:sz w:val="28"/>
                <w:szCs w:val="28"/>
                <w:lang w:val="en-US"/>
              </w:rPr>
              <w:t xml:space="preserve"> syndrome</w:t>
            </w:r>
          </w:p>
        </w:tc>
        <w:tc>
          <w:tcPr>
            <w:tcW w:w="2552"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6</w:t>
            </w:r>
            <w:r w:rsidR="007839C8" w:rsidRPr="006C3C9A">
              <w:rPr>
                <w:rFonts w:ascii="Times New Roman" w:hAnsi="Times New Roman"/>
                <w:sz w:val="28"/>
                <w:szCs w:val="28"/>
              </w:rPr>
              <w:t xml:space="preserve"> (</w:t>
            </w:r>
            <w:r w:rsidR="00F03E8A" w:rsidRPr="006C3C9A">
              <w:rPr>
                <w:rFonts w:ascii="Times New Roman" w:hAnsi="Times New Roman"/>
                <w:sz w:val="28"/>
                <w:szCs w:val="28"/>
              </w:rPr>
              <w:t>42.</w:t>
            </w:r>
            <w:r w:rsidR="006345DE" w:rsidRPr="006C3C9A">
              <w:rPr>
                <w:rFonts w:ascii="Times New Roman" w:hAnsi="Times New Roman"/>
                <w:sz w:val="28"/>
                <w:szCs w:val="28"/>
              </w:rPr>
              <w:t xml:space="preserve">8 </w:t>
            </w:r>
            <w:r w:rsidR="007839C8" w:rsidRPr="006C3C9A">
              <w:rPr>
                <w:rFonts w:ascii="Times New Roman" w:hAnsi="Times New Roman"/>
                <w:sz w:val="28"/>
                <w:szCs w:val="28"/>
              </w:rPr>
              <w:t>%)</w:t>
            </w:r>
          </w:p>
        </w:tc>
        <w:tc>
          <w:tcPr>
            <w:tcW w:w="2410" w:type="dxa"/>
            <w:vAlign w:val="center"/>
          </w:tcPr>
          <w:p w:rsidR="007839C8" w:rsidRPr="006C3C9A" w:rsidRDefault="00644362" w:rsidP="00E35879">
            <w:pPr>
              <w:jc w:val="center"/>
              <w:rPr>
                <w:rFonts w:ascii="Times New Roman" w:hAnsi="Times New Roman"/>
                <w:sz w:val="28"/>
                <w:szCs w:val="28"/>
              </w:rPr>
            </w:pPr>
            <w:r w:rsidRPr="006C3C9A">
              <w:rPr>
                <w:rFonts w:ascii="Times New Roman" w:hAnsi="Times New Roman"/>
                <w:sz w:val="28"/>
                <w:szCs w:val="28"/>
              </w:rPr>
              <w:t>27</w:t>
            </w:r>
            <w:r w:rsidR="007839C8" w:rsidRPr="006C3C9A">
              <w:rPr>
                <w:rFonts w:ascii="Times New Roman" w:hAnsi="Times New Roman"/>
                <w:sz w:val="28"/>
                <w:szCs w:val="28"/>
              </w:rPr>
              <w:t xml:space="preserve"> (</w:t>
            </w:r>
            <w:r w:rsidR="00F03E8A" w:rsidRPr="006C3C9A">
              <w:rPr>
                <w:rFonts w:ascii="Times New Roman" w:hAnsi="Times New Roman"/>
                <w:sz w:val="28"/>
                <w:szCs w:val="28"/>
              </w:rPr>
              <w:t>77.</w:t>
            </w:r>
            <w:r w:rsidR="003A327A" w:rsidRPr="006C3C9A">
              <w:rPr>
                <w:rFonts w:ascii="Times New Roman" w:hAnsi="Times New Roman"/>
                <w:sz w:val="28"/>
                <w:szCs w:val="28"/>
              </w:rPr>
              <w:t xml:space="preserve">1 </w:t>
            </w:r>
            <w:r w:rsidR="007839C8" w:rsidRPr="006C3C9A">
              <w:rPr>
                <w:rFonts w:ascii="Times New Roman" w:hAnsi="Times New Roman"/>
                <w:sz w:val="28"/>
                <w:szCs w:val="28"/>
              </w:rPr>
              <w:t>%)</w:t>
            </w:r>
          </w:p>
        </w:tc>
      </w:tr>
      <w:tr w:rsidR="006C3C9A" w:rsidRPr="006C3C9A" w:rsidTr="00E64F04">
        <w:tc>
          <w:tcPr>
            <w:tcW w:w="4252" w:type="dxa"/>
            <w:vAlign w:val="center"/>
          </w:tcPr>
          <w:p w:rsidR="007839C8" w:rsidRPr="006C3C9A" w:rsidRDefault="00F03E8A" w:rsidP="00E35879">
            <w:pPr>
              <w:rPr>
                <w:rFonts w:ascii="Times New Roman" w:hAnsi="Times New Roman"/>
                <w:sz w:val="28"/>
                <w:szCs w:val="28"/>
              </w:rPr>
            </w:pPr>
            <w:r w:rsidRPr="006C3C9A">
              <w:rPr>
                <w:rFonts w:ascii="Times New Roman" w:hAnsi="Times New Roman"/>
                <w:sz w:val="28"/>
                <w:szCs w:val="28"/>
                <w:lang w:val="en-US"/>
              </w:rPr>
              <w:t>Dyspeptic syndrome</w:t>
            </w:r>
          </w:p>
        </w:tc>
        <w:tc>
          <w:tcPr>
            <w:tcW w:w="2552" w:type="dxa"/>
            <w:vAlign w:val="center"/>
          </w:tcPr>
          <w:p w:rsidR="007839C8" w:rsidRPr="006C3C9A" w:rsidRDefault="00520421" w:rsidP="00E35879">
            <w:pPr>
              <w:jc w:val="center"/>
              <w:rPr>
                <w:rFonts w:ascii="Times New Roman" w:hAnsi="Times New Roman"/>
                <w:sz w:val="28"/>
                <w:szCs w:val="28"/>
              </w:rPr>
            </w:pPr>
            <w:r w:rsidRPr="006C3C9A">
              <w:rPr>
                <w:rFonts w:ascii="Times New Roman" w:hAnsi="Times New Roman"/>
                <w:sz w:val="28"/>
                <w:szCs w:val="28"/>
              </w:rPr>
              <w:t>14</w:t>
            </w:r>
            <w:r w:rsidR="007839C8" w:rsidRPr="006C3C9A">
              <w:rPr>
                <w:rFonts w:ascii="Times New Roman" w:hAnsi="Times New Roman"/>
                <w:sz w:val="28"/>
                <w:szCs w:val="28"/>
              </w:rPr>
              <w:t xml:space="preserve"> (</w:t>
            </w:r>
            <w:r w:rsidRPr="006C3C9A">
              <w:rPr>
                <w:rFonts w:ascii="Times New Roman" w:hAnsi="Times New Roman"/>
                <w:sz w:val="28"/>
                <w:szCs w:val="28"/>
              </w:rPr>
              <w:t>100 %</w:t>
            </w:r>
            <w:r w:rsidR="007839C8" w:rsidRPr="006C3C9A">
              <w:rPr>
                <w:rFonts w:ascii="Times New Roman" w:hAnsi="Times New Roman"/>
                <w:sz w:val="28"/>
                <w:szCs w:val="28"/>
              </w:rPr>
              <w:t>)</w:t>
            </w:r>
          </w:p>
        </w:tc>
        <w:tc>
          <w:tcPr>
            <w:tcW w:w="2410" w:type="dxa"/>
            <w:vAlign w:val="center"/>
          </w:tcPr>
          <w:p w:rsidR="007839C8" w:rsidRPr="006C3C9A" w:rsidRDefault="00520421" w:rsidP="00E35879">
            <w:pPr>
              <w:jc w:val="center"/>
              <w:rPr>
                <w:rFonts w:ascii="Times New Roman" w:hAnsi="Times New Roman"/>
                <w:sz w:val="28"/>
                <w:szCs w:val="28"/>
              </w:rPr>
            </w:pPr>
            <w:r w:rsidRPr="006C3C9A">
              <w:rPr>
                <w:rFonts w:ascii="Times New Roman" w:hAnsi="Times New Roman"/>
                <w:sz w:val="28"/>
                <w:szCs w:val="28"/>
              </w:rPr>
              <w:t>35</w:t>
            </w:r>
            <w:r w:rsidR="007839C8" w:rsidRPr="006C3C9A">
              <w:rPr>
                <w:rFonts w:ascii="Times New Roman" w:hAnsi="Times New Roman"/>
                <w:sz w:val="28"/>
                <w:szCs w:val="28"/>
              </w:rPr>
              <w:t xml:space="preserve"> (</w:t>
            </w:r>
            <w:r w:rsidRPr="006C3C9A">
              <w:rPr>
                <w:rFonts w:ascii="Times New Roman" w:hAnsi="Times New Roman"/>
                <w:sz w:val="28"/>
                <w:szCs w:val="28"/>
              </w:rPr>
              <w:t xml:space="preserve">100 </w:t>
            </w:r>
            <w:r w:rsidR="007839C8" w:rsidRPr="006C3C9A">
              <w:rPr>
                <w:rFonts w:ascii="Times New Roman" w:hAnsi="Times New Roman"/>
                <w:sz w:val="28"/>
                <w:szCs w:val="28"/>
              </w:rPr>
              <w:t>%)</w:t>
            </w:r>
          </w:p>
        </w:tc>
      </w:tr>
      <w:tr w:rsidR="006C3C9A" w:rsidRPr="006C3C9A" w:rsidTr="00E64F04">
        <w:tc>
          <w:tcPr>
            <w:tcW w:w="4252" w:type="dxa"/>
            <w:vAlign w:val="center"/>
          </w:tcPr>
          <w:p w:rsidR="007839C8" w:rsidRPr="006C3C9A" w:rsidRDefault="00F03E8A" w:rsidP="00E35879">
            <w:pPr>
              <w:rPr>
                <w:rFonts w:ascii="Times New Roman" w:hAnsi="Times New Roman"/>
                <w:sz w:val="28"/>
                <w:szCs w:val="28"/>
              </w:rPr>
            </w:pPr>
            <w:proofErr w:type="spellStart"/>
            <w:r w:rsidRPr="006C3C9A">
              <w:rPr>
                <w:rFonts w:ascii="Times New Roman" w:hAnsi="Times New Roman"/>
                <w:sz w:val="28"/>
                <w:szCs w:val="28"/>
                <w:lang w:val="en-US"/>
              </w:rPr>
              <w:t>Asthenovegetative</w:t>
            </w:r>
            <w:proofErr w:type="spellEnd"/>
            <w:r w:rsidRPr="006C3C9A">
              <w:rPr>
                <w:rFonts w:ascii="Times New Roman" w:hAnsi="Times New Roman"/>
                <w:sz w:val="28"/>
                <w:szCs w:val="28"/>
                <w:lang w:val="en-US"/>
              </w:rPr>
              <w:t xml:space="preserve"> syndrome</w:t>
            </w:r>
          </w:p>
        </w:tc>
        <w:tc>
          <w:tcPr>
            <w:tcW w:w="2552" w:type="dxa"/>
            <w:vAlign w:val="center"/>
          </w:tcPr>
          <w:p w:rsidR="007839C8" w:rsidRPr="006C3C9A" w:rsidRDefault="006345DE" w:rsidP="00E35879">
            <w:pPr>
              <w:jc w:val="center"/>
              <w:rPr>
                <w:rFonts w:ascii="Times New Roman" w:hAnsi="Times New Roman"/>
                <w:sz w:val="28"/>
                <w:szCs w:val="28"/>
              </w:rPr>
            </w:pPr>
            <w:r w:rsidRPr="006C3C9A">
              <w:rPr>
                <w:rFonts w:ascii="Times New Roman" w:hAnsi="Times New Roman"/>
                <w:sz w:val="28"/>
                <w:szCs w:val="28"/>
              </w:rPr>
              <w:t>7</w:t>
            </w:r>
            <w:r w:rsidR="007839C8" w:rsidRPr="006C3C9A">
              <w:rPr>
                <w:rFonts w:ascii="Times New Roman" w:hAnsi="Times New Roman"/>
                <w:sz w:val="28"/>
                <w:szCs w:val="28"/>
              </w:rPr>
              <w:t xml:space="preserve"> (</w:t>
            </w:r>
            <w:r w:rsidR="00EB6BE0" w:rsidRPr="006C3C9A">
              <w:rPr>
                <w:rFonts w:ascii="Times New Roman" w:hAnsi="Times New Roman"/>
                <w:sz w:val="28"/>
                <w:szCs w:val="28"/>
              </w:rPr>
              <w:t xml:space="preserve">50 </w:t>
            </w:r>
            <w:r w:rsidR="007839C8" w:rsidRPr="006C3C9A">
              <w:rPr>
                <w:rFonts w:ascii="Times New Roman" w:hAnsi="Times New Roman"/>
                <w:sz w:val="28"/>
                <w:szCs w:val="28"/>
              </w:rPr>
              <w:t>%)</w:t>
            </w:r>
          </w:p>
        </w:tc>
        <w:tc>
          <w:tcPr>
            <w:tcW w:w="2410" w:type="dxa"/>
            <w:vAlign w:val="center"/>
          </w:tcPr>
          <w:p w:rsidR="007839C8" w:rsidRPr="006C3C9A" w:rsidRDefault="006345DE" w:rsidP="00E35879">
            <w:pPr>
              <w:jc w:val="center"/>
              <w:rPr>
                <w:rFonts w:ascii="Times New Roman" w:hAnsi="Times New Roman"/>
                <w:sz w:val="28"/>
                <w:szCs w:val="28"/>
              </w:rPr>
            </w:pPr>
            <w:r w:rsidRPr="006C3C9A">
              <w:rPr>
                <w:rFonts w:ascii="Times New Roman" w:hAnsi="Times New Roman"/>
                <w:sz w:val="28"/>
                <w:szCs w:val="28"/>
              </w:rPr>
              <w:t>28</w:t>
            </w:r>
            <w:r w:rsidR="007839C8" w:rsidRPr="006C3C9A">
              <w:rPr>
                <w:rFonts w:ascii="Times New Roman" w:hAnsi="Times New Roman"/>
                <w:sz w:val="28"/>
                <w:szCs w:val="28"/>
              </w:rPr>
              <w:t xml:space="preserve"> (</w:t>
            </w:r>
            <w:r w:rsidR="003A327A" w:rsidRPr="006C3C9A">
              <w:rPr>
                <w:rFonts w:ascii="Times New Roman" w:hAnsi="Times New Roman"/>
                <w:sz w:val="28"/>
                <w:szCs w:val="28"/>
              </w:rPr>
              <w:t xml:space="preserve">80 </w:t>
            </w:r>
            <w:r w:rsidR="007839C8" w:rsidRPr="006C3C9A">
              <w:rPr>
                <w:rFonts w:ascii="Times New Roman" w:hAnsi="Times New Roman"/>
                <w:sz w:val="28"/>
                <w:szCs w:val="28"/>
              </w:rPr>
              <w:t>%)</w:t>
            </w:r>
          </w:p>
        </w:tc>
      </w:tr>
    </w:tbl>
    <w:p w:rsidR="0039009E" w:rsidRDefault="0039009E"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ru-RU"/>
        </w:rPr>
      </w:pP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t xml:space="preserve">The </w:t>
      </w:r>
      <w:proofErr w:type="spellStart"/>
      <w:r w:rsidRPr="006C3C9A">
        <w:rPr>
          <w:rFonts w:ascii="Times New Roman" w:hAnsi="Times New Roman" w:cs="Times New Roman"/>
          <w:sz w:val="28"/>
          <w:szCs w:val="28"/>
          <w:lang w:val="en-US"/>
        </w:rPr>
        <w:t>palpatory</w:t>
      </w:r>
      <w:proofErr w:type="spellEnd"/>
      <w:r w:rsidRPr="006C3C9A">
        <w:rPr>
          <w:rFonts w:ascii="Times New Roman" w:hAnsi="Times New Roman" w:cs="Times New Roman"/>
          <w:sz w:val="28"/>
          <w:szCs w:val="28"/>
          <w:lang w:val="en-US"/>
        </w:rPr>
        <w:t xml:space="preserve"> examination was of little importance for diagnostics of CP accompanied by BH; it stated a different degree of painfulness in the upper part of the abdomen.</w:t>
      </w: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t xml:space="preserve">Among all the laboratory examinations, of importance for diagnostics of CP with BH was the determination of the levels of total and conjugated </w:t>
      </w:r>
      <w:proofErr w:type="spellStart"/>
      <w:r w:rsidRPr="006C3C9A">
        <w:rPr>
          <w:rFonts w:ascii="Times New Roman" w:hAnsi="Times New Roman" w:cs="Times New Roman"/>
          <w:sz w:val="28"/>
          <w:szCs w:val="28"/>
          <w:lang w:val="en-US"/>
        </w:rPr>
        <w:t>bilirubin</w:t>
      </w:r>
      <w:proofErr w:type="spellEnd"/>
      <w:r w:rsidR="00270B34">
        <w:rPr>
          <w:rFonts w:ascii="Times New Roman" w:hAnsi="Times New Roman" w:cs="Times New Roman"/>
          <w:sz w:val="28"/>
          <w:szCs w:val="28"/>
          <w:lang w:val="en-US"/>
        </w:rPr>
        <w:t xml:space="preserve"> </w:t>
      </w:r>
      <w:r w:rsidRPr="006C3C9A">
        <w:rPr>
          <w:rFonts w:ascii="Times New Roman" w:hAnsi="Times New Roman" w:cs="Times New Roman"/>
          <w:sz w:val="28"/>
          <w:szCs w:val="28"/>
          <w:lang w:val="en-US"/>
        </w:rPr>
        <w:t xml:space="preserve">in the blood serum, as well as alkaline </w:t>
      </w:r>
      <w:proofErr w:type="spellStart"/>
      <w:r w:rsidRPr="006C3C9A">
        <w:rPr>
          <w:rFonts w:ascii="Times New Roman" w:hAnsi="Times New Roman" w:cs="Times New Roman"/>
          <w:sz w:val="28"/>
          <w:szCs w:val="28"/>
          <w:lang w:val="en-US"/>
        </w:rPr>
        <w:t>phosphatase</w:t>
      </w:r>
      <w:proofErr w:type="spellEnd"/>
      <w:r w:rsidRPr="006C3C9A">
        <w:rPr>
          <w:rFonts w:ascii="Times New Roman" w:hAnsi="Times New Roman" w:cs="Times New Roman"/>
          <w:sz w:val="28"/>
          <w:szCs w:val="28"/>
          <w:lang w:val="en-US"/>
        </w:rPr>
        <w:t xml:space="preserve">. The increase in the level of total </w:t>
      </w:r>
      <w:proofErr w:type="spellStart"/>
      <w:r w:rsidRPr="006C3C9A">
        <w:rPr>
          <w:rFonts w:ascii="Times New Roman" w:hAnsi="Times New Roman" w:cs="Times New Roman"/>
          <w:sz w:val="28"/>
          <w:szCs w:val="28"/>
          <w:lang w:val="en-US"/>
        </w:rPr>
        <w:t>bilirubin</w:t>
      </w:r>
      <w:proofErr w:type="spellEnd"/>
      <w:r w:rsidRPr="006C3C9A">
        <w:rPr>
          <w:rFonts w:ascii="Times New Roman" w:hAnsi="Times New Roman" w:cs="Times New Roman"/>
          <w:sz w:val="28"/>
          <w:szCs w:val="28"/>
          <w:lang w:val="en-US"/>
        </w:rPr>
        <w:t xml:space="preserve"> at the cost of direct fraction indicated to the mechanical character of jaundice. </w:t>
      </w:r>
      <w:proofErr w:type="spellStart"/>
      <w:r w:rsidRPr="006C3C9A">
        <w:rPr>
          <w:rFonts w:ascii="Times New Roman" w:hAnsi="Times New Roman" w:cs="Times New Roman"/>
          <w:sz w:val="28"/>
          <w:szCs w:val="28"/>
          <w:lang w:val="en-US"/>
        </w:rPr>
        <w:t>Hyperbilirubinemia</w:t>
      </w:r>
      <w:proofErr w:type="spellEnd"/>
      <w:r w:rsidRPr="006C3C9A">
        <w:rPr>
          <w:rFonts w:ascii="Times New Roman" w:hAnsi="Times New Roman" w:cs="Times New Roman"/>
          <w:sz w:val="28"/>
          <w:szCs w:val="28"/>
          <w:lang w:val="en-US"/>
        </w:rPr>
        <w:t xml:space="preserve"> was found in 33 (67.4%) patients, in 6 of them, this indicator exceeded </w:t>
      </w:r>
      <w:proofErr w:type="gramStart"/>
      <w:r w:rsidRPr="006C3C9A">
        <w:rPr>
          <w:rFonts w:ascii="Times New Roman" w:hAnsi="Times New Roman" w:cs="Times New Roman"/>
          <w:sz w:val="28"/>
          <w:szCs w:val="28"/>
          <w:lang w:val="en-US"/>
        </w:rPr>
        <w:t>200 micromole/l</w:t>
      </w:r>
      <w:proofErr w:type="gramEnd"/>
      <w:r w:rsidRPr="006C3C9A">
        <w:rPr>
          <w:rFonts w:ascii="Times New Roman" w:hAnsi="Times New Roman" w:cs="Times New Roman"/>
          <w:sz w:val="28"/>
          <w:szCs w:val="28"/>
          <w:lang w:val="en-US"/>
        </w:rPr>
        <w:t xml:space="preserve">. The diagnostic value of the level of alkaline </w:t>
      </w:r>
      <w:proofErr w:type="spellStart"/>
      <w:r w:rsidRPr="006C3C9A">
        <w:rPr>
          <w:rFonts w:ascii="Times New Roman" w:hAnsi="Times New Roman" w:cs="Times New Roman"/>
          <w:sz w:val="28"/>
          <w:szCs w:val="28"/>
          <w:lang w:val="en-US"/>
        </w:rPr>
        <w:t>phosphatase</w:t>
      </w:r>
      <w:proofErr w:type="spellEnd"/>
      <w:r w:rsidRPr="006C3C9A">
        <w:rPr>
          <w:rFonts w:ascii="Times New Roman" w:hAnsi="Times New Roman" w:cs="Times New Roman"/>
          <w:sz w:val="28"/>
          <w:szCs w:val="28"/>
          <w:lang w:val="en-US"/>
        </w:rPr>
        <w:t xml:space="preserve"> as a marker of </w:t>
      </w:r>
      <w:proofErr w:type="spellStart"/>
      <w:r w:rsidRPr="006C3C9A">
        <w:rPr>
          <w:rFonts w:ascii="Times New Roman" w:hAnsi="Times New Roman" w:cs="Times New Roman"/>
          <w:sz w:val="28"/>
          <w:szCs w:val="28"/>
          <w:lang w:val="en-US"/>
        </w:rPr>
        <w:t>cholestatic</w:t>
      </w:r>
      <w:proofErr w:type="spellEnd"/>
      <w:r w:rsidRPr="006C3C9A">
        <w:rPr>
          <w:rFonts w:ascii="Times New Roman" w:hAnsi="Times New Roman" w:cs="Times New Roman"/>
          <w:sz w:val="28"/>
          <w:szCs w:val="28"/>
          <w:lang w:val="en-US"/>
        </w:rPr>
        <w:t xml:space="preserve"> states in our research was insignificant. </w:t>
      </w:r>
      <w:proofErr w:type="spellStart"/>
      <w:r w:rsidRPr="006C3C9A">
        <w:rPr>
          <w:rFonts w:ascii="Times New Roman" w:hAnsi="Times New Roman" w:cs="Times New Roman"/>
          <w:sz w:val="28"/>
          <w:szCs w:val="28"/>
          <w:lang w:val="en-US"/>
        </w:rPr>
        <w:t>Hyperphosphatasemia</w:t>
      </w:r>
      <w:proofErr w:type="spellEnd"/>
      <w:r w:rsidRPr="006C3C9A">
        <w:rPr>
          <w:rFonts w:ascii="Times New Roman" w:hAnsi="Times New Roman" w:cs="Times New Roman"/>
          <w:sz w:val="28"/>
          <w:szCs w:val="28"/>
          <w:lang w:val="en-US"/>
        </w:rPr>
        <w:t xml:space="preserve"> occurred in 21 (42.8%) patients. </w:t>
      </w: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t xml:space="preserve">Thus, it was possible to diagnose </w:t>
      </w:r>
      <w:proofErr w:type="spellStart"/>
      <w:r w:rsidRPr="006C3C9A">
        <w:rPr>
          <w:rFonts w:ascii="Times New Roman" w:hAnsi="Times New Roman" w:cs="Times New Roman"/>
          <w:sz w:val="28"/>
          <w:szCs w:val="28"/>
          <w:lang w:val="en-US"/>
        </w:rPr>
        <w:t>biliary</w:t>
      </w:r>
      <w:proofErr w:type="spellEnd"/>
      <w:r w:rsidRPr="006C3C9A">
        <w:rPr>
          <w:rFonts w:ascii="Times New Roman" w:hAnsi="Times New Roman" w:cs="Times New Roman"/>
          <w:sz w:val="28"/>
          <w:szCs w:val="28"/>
          <w:lang w:val="en-US"/>
        </w:rPr>
        <w:t xml:space="preserve"> hypertension on the basis of clinical laboratory data (</w:t>
      </w:r>
      <w:proofErr w:type="spellStart"/>
      <w:r w:rsidRPr="006C3C9A">
        <w:rPr>
          <w:rFonts w:ascii="Times New Roman" w:hAnsi="Times New Roman" w:cs="Times New Roman"/>
          <w:sz w:val="28"/>
          <w:szCs w:val="28"/>
          <w:lang w:val="en-US"/>
        </w:rPr>
        <w:t>icteritiousness</w:t>
      </w:r>
      <w:proofErr w:type="spellEnd"/>
      <w:r w:rsidRPr="006C3C9A">
        <w:rPr>
          <w:rFonts w:ascii="Times New Roman" w:hAnsi="Times New Roman" w:cs="Times New Roman"/>
          <w:sz w:val="28"/>
          <w:szCs w:val="28"/>
          <w:lang w:val="en-US"/>
        </w:rPr>
        <w:t xml:space="preserve"> of skin and mucous coat, </w:t>
      </w:r>
      <w:proofErr w:type="spellStart"/>
      <w:r w:rsidRPr="006C3C9A">
        <w:rPr>
          <w:rFonts w:ascii="Times New Roman" w:hAnsi="Times New Roman" w:cs="Times New Roman"/>
          <w:sz w:val="28"/>
          <w:szCs w:val="28"/>
          <w:lang w:val="en-US"/>
        </w:rPr>
        <w:t>hyperbilirubinemia</w:t>
      </w:r>
      <w:proofErr w:type="spellEnd"/>
      <w:r w:rsidRPr="006C3C9A">
        <w:rPr>
          <w:rFonts w:ascii="Times New Roman" w:hAnsi="Times New Roman" w:cs="Times New Roman"/>
          <w:sz w:val="28"/>
          <w:szCs w:val="28"/>
          <w:lang w:val="en-US"/>
        </w:rPr>
        <w:t>) only in 33 (67.4%) patients.</w:t>
      </w: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t xml:space="preserve">All patients with BH had a USG. It revealed an enlarged and </w:t>
      </w:r>
      <w:proofErr w:type="spellStart"/>
      <w:r w:rsidRPr="006C3C9A">
        <w:rPr>
          <w:rFonts w:ascii="Times New Roman" w:hAnsi="Times New Roman" w:cs="Times New Roman"/>
          <w:sz w:val="28"/>
          <w:szCs w:val="28"/>
          <w:lang w:val="en-US"/>
        </w:rPr>
        <w:t>indurated</w:t>
      </w:r>
      <w:proofErr w:type="spellEnd"/>
      <w:r w:rsidRPr="006C3C9A">
        <w:rPr>
          <w:rFonts w:ascii="Times New Roman" w:hAnsi="Times New Roman" w:cs="Times New Roman"/>
          <w:sz w:val="28"/>
          <w:szCs w:val="28"/>
          <w:lang w:val="en-US"/>
        </w:rPr>
        <w:t xml:space="preserve"> head of the pancreas (from 3.5 cm to 5.3 cm). Dilation of </w:t>
      </w:r>
      <w:proofErr w:type="spellStart"/>
      <w:r w:rsidRPr="006C3C9A">
        <w:rPr>
          <w:rFonts w:ascii="Times New Roman" w:hAnsi="Times New Roman" w:cs="Times New Roman"/>
          <w:sz w:val="28"/>
          <w:szCs w:val="28"/>
          <w:lang w:val="en-US"/>
        </w:rPr>
        <w:t>bile</w:t>
      </w:r>
      <w:proofErr w:type="spellEnd"/>
      <w:r w:rsidRPr="006C3C9A">
        <w:rPr>
          <w:rFonts w:ascii="Times New Roman" w:hAnsi="Times New Roman" w:cs="Times New Roman"/>
          <w:sz w:val="28"/>
          <w:szCs w:val="28"/>
          <w:lang w:val="en-US"/>
        </w:rPr>
        <w:t xml:space="preserve"> passages (from 0.7 cm to 1.7 cm) was diagnosed in 33 (67.4%) patients. </w:t>
      </w: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lastRenderedPageBreak/>
        <w:t xml:space="preserve">ERCP was applied in 12 (22.4%) patients with CP accompanied by BH. A manifest tubular </w:t>
      </w:r>
      <w:proofErr w:type="spellStart"/>
      <w:r w:rsidRPr="006C3C9A">
        <w:rPr>
          <w:rFonts w:ascii="Times New Roman" w:hAnsi="Times New Roman" w:cs="Times New Roman"/>
          <w:sz w:val="28"/>
          <w:szCs w:val="28"/>
          <w:lang w:val="en-US"/>
        </w:rPr>
        <w:t>stenosis</w:t>
      </w:r>
      <w:proofErr w:type="spellEnd"/>
      <w:r w:rsidRPr="006C3C9A">
        <w:rPr>
          <w:rFonts w:ascii="Times New Roman" w:hAnsi="Times New Roman" w:cs="Times New Roman"/>
          <w:sz w:val="28"/>
          <w:szCs w:val="28"/>
          <w:lang w:val="en-US"/>
        </w:rPr>
        <w:t xml:space="preserve"> of the common bile duct was diagnosed in 11 (91.6%) patients. In four patients, the examination ended by </w:t>
      </w:r>
      <w:proofErr w:type="spellStart"/>
      <w:r w:rsidRPr="006C3C9A">
        <w:rPr>
          <w:rFonts w:ascii="Times New Roman" w:hAnsi="Times New Roman" w:cs="Times New Roman"/>
          <w:sz w:val="28"/>
          <w:szCs w:val="28"/>
          <w:lang w:val="en-US"/>
        </w:rPr>
        <w:t>endobiliary</w:t>
      </w:r>
      <w:proofErr w:type="spellEnd"/>
      <w:r w:rsidRPr="006C3C9A">
        <w:rPr>
          <w:rFonts w:ascii="Times New Roman" w:hAnsi="Times New Roman" w:cs="Times New Roman"/>
          <w:sz w:val="28"/>
          <w:szCs w:val="28"/>
          <w:lang w:val="en-US"/>
        </w:rPr>
        <w:t xml:space="preserve"> </w:t>
      </w:r>
      <w:proofErr w:type="spellStart"/>
      <w:r w:rsidRPr="006C3C9A">
        <w:rPr>
          <w:rFonts w:ascii="Times New Roman" w:hAnsi="Times New Roman" w:cs="Times New Roman"/>
          <w:sz w:val="28"/>
          <w:szCs w:val="28"/>
          <w:lang w:val="en-US"/>
        </w:rPr>
        <w:t>stenting</w:t>
      </w:r>
      <w:proofErr w:type="spellEnd"/>
      <w:r w:rsidRPr="006C3C9A">
        <w:rPr>
          <w:rFonts w:ascii="Times New Roman" w:hAnsi="Times New Roman" w:cs="Times New Roman"/>
          <w:sz w:val="28"/>
          <w:szCs w:val="28"/>
          <w:lang w:val="en-US"/>
        </w:rPr>
        <w:t xml:space="preserve">; </w:t>
      </w:r>
      <w:proofErr w:type="spellStart"/>
      <w:r w:rsidRPr="006C3C9A">
        <w:rPr>
          <w:rFonts w:ascii="Times New Roman" w:hAnsi="Times New Roman" w:cs="Times New Roman"/>
          <w:sz w:val="28"/>
          <w:szCs w:val="28"/>
          <w:lang w:val="en-US"/>
        </w:rPr>
        <w:t>choledocholithiasis</w:t>
      </w:r>
      <w:proofErr w:type="spellEnd"/>
      <w:r w:rsidRPr="006C3C9A">
        <w:rPr>
          <w:rFonts w:ascii="Times New Roman" w:hAnsi="Times New Roman" w:cs="Times New Roman"/>
          <w:sz w:val="28"/>
          <w:szCs w:val="28"/>
          <w:lang w:val="en-US"/>
        </w:rPr>
        <w:t xml:space="preserve"> was found in one patient (8.3%) who underwent consequent </w:t>
      </w:r>
      <w:proofErr w:type="spellStart"/>
      <w:r w:rsidRPr="006C3C9A">
        <w:rPr>
          <w:rFonts w:ascii="Times New Roman" w:hAnsi="Times New Roman" w:cs="Times New Roman"/>
          <w:sz w:val="28"/>
          <w:szCs w:val="28"/>
          <w:lang w:val="en-US"/>
        </w:rPr>
        <w:t>papillosphincterotomy</w:t>
      </w:r>
      <w:proofErr w:type="spellEnd"/>
      <w:r w:rsidRPr="006C3C9A">
        <w:rPr>
          <w:rFonts w:ascii="Times New Roman" w:hAnsi="Times New Roman" w:cs="Times New Roman"/>
          <w:sz w:val="28"/>
          <w:szCs w:val="28"/>
          <w:lang w:val="en-US"/>
        </w:rPr>
        <w:t xml:space="preserve"> and </w:t>
      </w:r>
      <w:proofErr w:type="spellStart"/>
      <w:r w:rsidRPr="006C3C9A">
        <w:rPr>
          <w:rFonts w:ascii="Times New Roman" w:hAnsi="Times New Roman" w:cs="Times New Roman"/>
          <w:sz w:val="28"/>
          <w:szCs w:val="28"/>
          <w:lang w:val="en-US"/>
        </w:rPr>
        <w:t>lithoextraction</w:t>
      </w:r>
      <w:proofErr w:type="spellEnd"/>
      <w:r w:rsidRPr="006C3C9A">
        <w:rPr>
          <w:rFonts w:ascii="Times New Roman" w:hAnsi="Times New Roman" w:cs="Times New Roman"/>
          <w:sz w:val="28"/>
          <w:szCs w:val="28"/>
          <w:lang w:val="en-US"/>
        </w:rPr>
        <w:t>.</w:t>
      </w: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t xml:space="preserve">CT was done in 34 (69.4%) cases of CP accompanied by BH. In the course of the examination, their heads of the pancreas were found to be enlarged and </w:t>
      </w:r>
      <w:proofErr w:type="spellStart"/>
      <w:r w:rsidRPr="006C3C9A">
        <w:rPr>
          <w:rFonts w:ascii="Times New Roman" w:hAnsi="Times New Roman" w:cs="Times New Roman"/>
          <w:sz w:val="28"/>
          <w:szCs w:val="28"/>
          <w:lang w:val="en-US"/>
        </w:rPr>
        <w:t>indurated</w:t>
      </w:r>
      <w:proofErr w:type="spellEnd"/>
      <w:r w:rsidRPr="006C3C9A">
        <w:rPr>
          <w:rFonts w:ascii="Times New Roman" w:hAnsi="Times New Roman" w:cs="Times New Roman"/>
          <w:sz w:val="28"/>
          <w:szCs w:val="28"/>
          <w:lang w:val="en-US"/>
        </w:rPr>
        <w:t xml:space="preserve">. In three patients, CT allowed diagnosing cysts in the head of the pancreas. </w:t>
      </w:r>
      <w:proofErr w:type="spellStart"/>
      <w:r w:rsidRPr="006C3C9A">
        <w:rPr>
          <w:rFonts w:ascii="Times New Roman" w:hAnsi="Times New Roman" w:cs="Times New Roman"/>
          <w:sz w:val="28"/>
          <w:szCs w:val="28"/>
          <w:lang w:val="en-US"/>
        </w:rPr>
        <w:t>Suprapancreatic</w:t>
      </w:r>
      <w:proofErr w:type="spellEnd"/>
      <w:r w:rsidRPr="006C3C9A">
        <w:rPr>
          <w:rFonts w:ascii="Times New Roman" w:hAnsi="Times New Roman" w:cs="Times New Roman"/>
          <w:sz w:val="28"/>
          <w:szCs w:val="28"/>
          <w:lang w:val="en-US"/>
        </w:rPr>
        <w:t xml:space="preserve"> dilation of bile ducts was found in 26 (74.4%) patients. In diagnostics of </w:t>
      </w:r>
      <w:proofErr w:type="spellStart"/>
      <w:r w:rsidRPr="006C3C9A">
        <w:rPr>
          <w:rFonts w:ascii="Times New Roman" w:hAnsi="Times New Roman" w:cs="Times New Roman"/>
          <w:sz w:val="28"/>
          <w:szCs w:val="28"/>
          <w:lang w:val="en-US"/>
        </w:rPr>
        <w:t>biliary</w:t>
      </w:r>
      <w:proofErr w:type="spellEnd"/>
      <w:r w:rsidRPr="006C3C9A">
        <w:rPr>
          <w:rFonts w:ascii="Times New Roman" w:hAnsi="Times New Roman" w:cs="Times New Roman"/>
          <w:sz w:val="28"/>
          <w:szCs w:val="28"/>
          <w:lang w:val="en-US"/>
        </w:rPr>
        <w:t xml:space="preserve"> hypertension, USG and CT conclusions coincided in 10 (10/14; 71.4 %) patients of the first group and pertained to the cases with manifest dilatation of bile ducts. In three patients, CT determined the signs of </w:t>
      </w:r>
      <w:proofErr w:type="spellStart"/>
      <w:r w:rsidRPr="006C3C9A">
        <w:rPr>
          <w:rFonts w:ascii="Times New Roman" w:hAnsi="Times New Roman" w:cs="Times New Roman"/>
          <w:sz w:val="28"/>
          <w:szCs w:val="28"/>
          <w:lang w:val="en-US"/>
        </w:rPr>
        <w:t>cholangitis</w:t>
      </w:r>
      <w:proofErr w:type="spellEnd"/>
      <w:r w:rsidRPr="006C3C9A">
        <w:rPr>
          <w:rFonts w:ascii="Times New Roman" w:hAnsi="Times New Roman" w:cs="Times New Roman"/>
          <w:sz w:val="28"/>
          <w:szCs w:val="28"/>
          <w:lang w:val="en-US"/>
        </w:rPr>
        <w:t xml:space="preserve"> (gas in the common bile duct with a manifest walls edema) secondary to </w:t>
      </w:r>
      <w:proofErr w:type="spellStart"/>
      <w:r w:rsidRPr="006C3C9A">
        <w:rPr>
          <w:rFonts w:ascii="Times New Roman" w:hAnsi="Times New Roman" w:cs="Times New Roman"/>
          <w:sz w:val="28"/>
          <w:szCs w:val="28"/>
          <w:lang w:val="en-US"/>
        </w:rPr>
        <w:t>biliary</w:t>
      </w:r>
      <w:proofErr w:type="spellEnd"/>
      <w:r w:rsidRPr="006C3C9A">
        <w:rPr>
          <w:rFonts w:ascii="Times New Roman" w:hAnsi="Times New Roman" w:cs="Times New Roman"/>
          <w:sz w:val="28"/>
          <w:szCs w:val="28"/>
          <w:lang w:val="en-US"/>
        </w:rPr>
        <w:t xml:space="preserve"> hypertension; USG failed to show specific data of </w:t>
      </w:r>
      <w:proofErr w:type="spellStart"/>
      <w:r w:rsidRPr="006C3C9A">
        <w:rPr>
          <w:rFonts w:ascii="Times New Roman" w:hAnsi="Times New Roman" w:cs="Times New Roman"/>
          <w:sz w:val="28"/>
          <w:szCs w:val="28"/>
          <w:lang w:val="en-US"/>
        </w:rPr>
        <w:t>cholangitis</w:t>
      </w:r>
      <w:proofErr w:type="spellEnd"/>
      <w:r w:rsidRPr="006C3C9A">
        <w:rPr>
          <w:rFonts w:ascii="Times New Roman" w:hAnsi="Times New Roman" w:cs="Times New Roman"/>
          <w:sz w:val="28"/>
          <w:szCs w:val="28"/>
          <w:lang w:val="en-US"/>
        </w:rPr>
        <w:t xml:space="preserve"> in these patients. </w:t>
      </w:r>
    </w:p>
    <w:p w:rsidR="005E3820"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sz w:val="28"/>
          <w:szCs w:val="28"/>
          <w:lang w:val="en-US"/>
        </w:rPr>
      </w:pPr>
      <w:r w:rsidRPr="006C3C9A">
        <w:rPr>
          <w:rFonts w:ascii="Times New Roman" w:hAnsi="Times New Roman" w:cs="Times New Roman"/>
          <w:sz w:val="28"/>
          <w:szCs w:val="28"/>
          <w:lang w:val="en-US"/>
        </w:rPr>
        <w:t xml:space="preserve">MRCP was applied to five patients with CP accompanied by BH; tubular </w:t>
      </w:r>
      <w:proofErr w:type="spellStart"/>
      <w:r w:rsidRPr="006C3C9A">
        <w:rPr>
          <w:rFonts w:ascii="Times New Roman" w:hAnsi="Times New Roman" w:cs="Times New Roman"/>
          <w:sz w:val="28"/>
          <w:szCs w:val="28"/>
          <w:lang w:val="en-US"/>
        </w:rPr>
        <w:t>stenosis</w:t>
      </w:r>
      <w:proofErr w:type="spellEnd"/>
      <w:r w:rsidRPr="006C3C9A">
        <w:rPr>
          <w:rFonts w:ascii="Times New Roman" w:hAnsi="Times New Roman" w:cs="Times New Roman"/>
          <w:sz w:val="28"/>
          <w:szCs w:val="28"/>
          <w:lang w:val="en-US"/>
        </w:rPr>
        <w:t xml:space="preserve"> of the </w:t>
      </w:r>
      <w:proofErr w:type="spellStart"/>
      <w:r w:rsidRPr="006C3C9A">
        <w:rPr>
          <w:rFonts w:ascii="Times New Roman" w:hAnsi="Times New Roman" w:cs="Times New Roman"/>
          <w:sz w:val="28"/>
          <w:szCs w:val="28"/>
          <w:lang w:val="en-US"/>
        </w:rPr>
        <w:t>intrapancreatic</w:t>
      </w:r>
      <w:proofErr w:type="spellEnd"/>
      <w:r w:rsidRPr="006C3C9A">
        <w:rPr>
          <w:rFonts w:ascii="Times New Roman" w:hAnsi="Times New Roman" w:cs="Times New Roman"/>
          <w:sz w:val="28"/>
          <w:szCs w:val="28"/>
          <w:lang w:val="en-US"/>
        </w:rPr>
        <w:t xml:space="preserve"> part of the common bile duct and its </w:t>
      </w:r>
      <w:proofErr w:type="spellStart"/>
      <w:r w:rsidRPr="006C3C9A">
        <w:rPr>
          <w:rFonts w:ascii="Times New Roman" w:hAnsi="Times New Roman" w:cs="Times New Roman"/>
          <w:sz w:val="28"/>
          <w:szCs w:val="28"/>
          <w:lang w:val="en-US"/>
        </w:rPr>
        <w:t>suprastenotic</w:t>
      </w:r>
      <w:proofErr w:type="spellEnd"/>
      <w:r w:rsidRPr="006C3C9A">
        <w:rPr>
          <w:rFonts w:ascii="Times New Roman" w:hAnsi="Times New Roman" w:cs="Times New Roman"/>
          <w:sz w:val="28"/>
          <w:szCs w:val="28"/>
          <w:lang w:val="en-US"/>
        </w:rPr>
        <w:t xml:space="preserve"> dilation was found in all of them. </w:t>
      </w:r>
    </w:p>
    <w:p w:rsidR="001548A5" w:rsidRPr="006C3C9A" w:rsidRDefault="005E3820" w:rsidP="005E3820">
      <w:pPr>
        <w:pStyle w:val="aa"/>
        <w:tabs>
          <w:tab w:val="left" w:pos="-1276"/>
          <w:tab w:val="left" w:pos="0"/>
          <w:tab w:val="left" w:pos="709"/>
        </w:tabs>
        <w:spacing w:after="0" w:line="360" w:lineRule="auto"/>
        <w:ind w:left="284" w:firstLine="567"/>
        <w:jc w:val="both"/>
        <w:rPr>
          <w:rFonts w:ascii="Times New Roman" w:hAnsi="Times New Roman" w:cs="Times New Roman"/>
          <w:bCs/>
          <w:sz w:val="28"/>
          <w:szCs w:val="28"/>
        </w:rPr>
      </w:pPr>
      <w:r w:rsidRPr="006C3C9A">
        <w:rPr>
          <w:rFonts w:ascii="Times New Roman" w:hAnsi="Times New Roman" w:cs="Times New Roman"/>
          <w:sz w:val="28"/>
          <w:szCs w:val="28"/>
          <w:lang w:val="en-US"/>
        </w:rPr>
        <w:t xml:space="preserve">Separately, the interconnection between the data of instrumental methods of examination in regard to common bile duct dilation with the level of </w:t>
      </w:r>
      <w:proofErr w:type="spellStart"/>
      <w:r w:rsidRPr="006C3C9A">
        <w:rPr>
          <w:rFonts w:ascii="Times New Roman" w:hAnsi="Times New Roman" w:cs="Times New Roman"/>
          <w:sz w:val="28"/>
          <w:szCs w:val="28"/>
          <w:lang w:val="en-US"/>
        </w:rPr>
        <w:t>bilirubin</w:t>
      </w:r>
      <w:proofErr w:type="spellEnd"/>
      <w:r w:rsidRPr="006C3C9A">
        <w:rPr>
          <w:rFonts w:ascii="Times New Roman" w:hAnsi="Times New Roman" w:cs="Times New Roman"/>
          <w:sz w:val="28"/>
          <w:szCs w:val="28"/>
          <w:lang w:val="en-US"/>
        </w:rPr>
        <w:t xml:space="preserve"> in the blood serum was studied.</w:t>
      </w:r>
    </w:p>
    <w:p w:rsidR="001548A5" w:rsidRPr="0039009E" w:rsidRDefault="009F72B7" w:rsidP="0039009E">
      <w:pPr>
        <w:jc w:val="right"/>
        <w:rPr>
          <w:rFonts w:ascii="Times New Roman" w:hAnsi="Times New Roman"/>
          <w:sz w:val="28"/>
          <w:szCs w:val="28"/>
          <w:lang w:val="ru-RU"/>
        </w:rPr>
      </w:pPr>
      <w:r w:rsidRPr="006C3C9A">
        <w:rPr>
          <w:rFonts w:ascii="Times New Roman" w:hAnsi="Times New Roman"/>
          <w:sz w:val="28"/>
          <w:szCs w:val="28"/>
          <w:lang w:val="en-US"/>
        </w:rPr>
        <w:t>Table</w:t>
      </w:r>
      <w:r w:rsidR="00791C59" w:rsidRPr="006C3C9A">
        <w:rPr>
          <w:rFonts w:ascii="Times New Roman" w:hAnsi="Times New Roman"/>
          <w:sz w:val="28"/>
          <w:szCs w:val="28"/>
        </w:rPr>
        <w:t xml:space="preserve"> </w:t>
      </w:r>
      <w:r w:rsidR="00CF4388" w:rsidRPr="006C3C9A">
        <w:rPr>
          <w:rFonts w:ascii="Times New Roman" w:hAnsi="Times New Roman"/>
          <w:sz w:val="28"/>
          <w:szCs w:val="28"/>
        </w:rPr>
        <w:t>2</w:t>
      </w:r>
    </w:p>
    <w:p w:rsidR="001548A5" w:rsidRPr="006C3C9A" w:rsidRDefault="003F1654" w:rsidP="00E35879">
      <w:pPr>
        <w:spacing w:line="240" w:lineRule="auto"/>
        <w:jc w:val="center"/>
        <w:rPr>
          <w:rFonts w:ascii="Times New Roman" w:hAnsi="Times New Roman"/>
          <w:b/>
          <w:sz w:val="28"/>
          <w:szCs w:val="28"/>
        </w:rPr>
      </w:pPr>
      <w:r w:rsidRPr="006C3C9A">
        <w:rPr>
          <w:rFonts w:ascii="Times New Roman" w:hAnsi="Times New Roman"/>
          <w:b/>
          <w:sz w:val="28"/>
          <w:szCs w:val="28"/>
          <w:lang w:val="en-US"/>
        </w:rPr>
        <w:t>Interconnection</w:t>
      </w:r>
      <w:r w:rsidRPr="006C3C9A">
        <w:rPr>
          <w:rFonts w:ascii="Times New Roman" w:hAnsi="Times New Roman"/>
          <w:b/>
          <w:sz w:val="28"/>
          <w:szCs w:val="28"/>
        </w:rPr>
        <w:t xml:space="preserve"> </w:t>
      </w:r>
      <w:r w:rsidRPr="006C3C9A">
        <w:rPr>
          <w:rFonts w:ascii="Times New Roman" w:hAnsi="Times New Roman"/>
          <w:b/>
          <w:sz w:val="28"/>
          <w:szCs w:val="28"/>
          <w:lang w:val="en-US"/>
        </w:rPr>
        <w:t>between</w:t>
      </w:r>
      <w:r w:rsidRPr="006C3C9A">
        <w:rPr>
          <w:rFonts w:ascii="Times New Roman" w:hAnsi="Times New Roman"/>
          <w:b/>
          <w:sz w:val="28"/>
          <w:szCs w:val="28"/>
        </w:rPr>
        <w:t xml:space="preserve"> </w:t>
      </w:r>
      <w:r w:rsidRPr="006C3C9A">
        <w:rPr>
          <w:rFonts w:ascii="Times New Roman" w:hAnsi="Times New Roman"/>
          <w:b/>
          <w:sz w:val="28"/>
          <w:szCs w:val="28"/>
          <w:lang w:val="en-US"/>
        </w:rPr>
        <w:t>the</w:t>
      </w:r>
      <w:r w:rsidRPr="006C3C9A">
        <w:rPr>
          <w:rFonts w:ascii="Times New Roman" w:hAnsi="Times New Roman"/>
          <w:b/>
          <w:sz w:val="28"/>
          <w:szCs w:val="28"/>
        </w:rPr>
        <w:t xml:space="preserve"> </w:t>
      </w:r>
      <w:r w:rsidRPr="006C3C9A">
        <w:rPr>
          <w:rFonts w:ascii="Times New Roman" w:hAnsi="Times New Roman"/>
          <w:b/>
          <w:sz w:val="28"/>
          <w:szCs w:val="28"/>
          <w:lang w:val="en-US"/>
        </w:rPr>
        <w:t>dilatation</w:t>
      </w:r>
      <w:r w:rsidRPr="006C3C9A">
        <w:rPr>
          <w:rFonts w:ascii="Times New Roman" w:hAnsi="Times New Roman"/>
          <w:b/>
          <w:sz w:val="28"/>
          <w:szCs w:val="28"/>
        </w:rPr>
        <w:t xml:space="preserve"> </w:t>
      </w:r>
      <w:r w:rsidRPr="006C3C9A">
        <w:rPr>
          <w:rFonts w:ascii="Times New Roman" w:hAnsi="Times New Roman"/>
          <w:b/>
          <w:sz w:val="28"/>
          <w:szCs w:val="28"/>
          <w:lang w:val="en-US"/>
        </w:rPr>
        <w:t>of</w:t>
      </w:r>
      <w:r w:rsidRPr="006C3C9A">
        <w:rPr>
          <w:rFonts w:ascii="Times New Roman" w:hAnsi="Times New Roman"/>
          <w:b/>
          <w:sz w:val="28"/>
          <w:szCs w:val="28"/>
        </w:rPr>
        <w:t xml:space="preserve"> </w:t>
      </w:r>
      <w:r w:rsidRPr="006C3C9A">
        <w:rPr>
          <w:rFonts w:ascii="Times New Roman" w:hAnsi="Times New Roman"/>
          <w:b/>
          <w:sz w:val="28"/>
          <w:szCs w:val="28"/>
          <w:lang w:val="en-US"/>
        </w:rPr>
        <w:t>the</w:t>
      </w:r>
      <w:r w:rsidRPr="006C3C9A">
        <w:rPr>
          <w:rFonts w:ascii="Times New Roman" w:hAnsi="Times New Roman"/>
          <w:b/>
          <w:sz w:val="28"/>
          <w:szCs w:val="28"/>
        </w:rPr>
        <w:t xml:space="preserve"> </w:t>
      </w:r>
      <w:r w:rsidRPr="006C3C9A">
        <w:rPr>
          <w:rFonts w:ascii="Times New Roman" w:hAnsi="Times New Roman"/>
          <w:b/>
          <w:sz w:val="28"/>
          <w:szCs w:val="28"/>
          <w:lang w:val="en-US"/>
        </w:rPr>
        <w:t>common</w:t>
      </w:r>
      <w:r w:rsidRPr="006C3C9A">
        <w:rPr>
          <w:rFonts w:ascii="Times New Roman" w:hAnsi="Times New Roman"/>
          <w:b/>
          <w:sz w:val="28"/>
          <w:szCs w:val="28"/>
        </w:rPr>
        <w:t xml:space="preserve"> </w:t>
      </w:r>
      <w:r w:rsidRPr="006C3C9A">
        <w:rPr>
          <w:rFonts w:ascii="Times New Roman" w:hAnsi="Times New Roman"/>
          <w:b/>
          <w:sz w:val="28"/>
          <w:szCs w:val="28"/>
          <w:lang w:val="en-US"/>
        </w:rPr>
        <w:t>bile</w:t>
      </w:r>
      <w:r w:rsidRPr="006C3C9A">
        <w:rPr>
          <w:rFonts w:ascii="Times New Roman" w:hAnsi="Times New Roman"/>
          <w:b/>
          <w:sz w:val="28"/>
          <w:szCs w:val="28"/>
        </w:rPr>
        <w:t xml:space="preserve"> </w:t>
      </w:r>
      <w:r w:rsidRPr="006C3C9A">
        <w:rPr>
          <w:rFonts w:ascii="Times New Roman" w:hAnsi="Times New Roman"/>
          <w:b/>
          <w:sz w:val="28"/>
          <w:szCs w:val="28"/>
          <w:lang w:val="en-US"/>
        </w:rPr>
        <w:t>duct</w:t>
      </w:r>
      <w:r w:rsidRPr="006C3C9A">
        <w:rPr>
          <w:rFonts w:ascii="Times New Roman" w:hAnsi="Times New Roman"/>
          <w:b/>
          <w:sz w:val="28"/>
          <w:szCs w:val="28"/>
        </w:rPr>
        <w:t xml:space="preserve"> </w:t>
      </w:r>
      <w:r w:rsidRPr="006C3C9A">
        <w:rPr>
          <w:rFonts w:ascii="Times New Roman" w:hAnsi="Times New Roman"/>
          <w:b/>
          <w:sz w:val="28"/>
          <w:szCs w:val="28"/>
          <w:lang w:val="en-US"/>
        </w:rPr>
        <w:t>and</w:t>
      </w:r>
      <w:r w:rsidRPr="006C3C9A">
        <w:rPr>
          <w:rFonts w:ascii="Times New Roman" w:hAnsi="Times New Roman"/>
          <w:b/>
          <w:sz w:val="28"/>
          <w:szCs w:val="28"/>
        </w:rPr>
        <w:t xml:space="preserve"> </w:t>
      </w:r>
      <w:proofErr w:type="spellStart"/>
      <w:r w:rsidRPr="006C3C9A">
        <w:rPr>
          <w:rFonts w:ascii="Times New Roman" w:hAnsi="Times New Roman"/>
          <w:b/>
          <w:sz w:val="28"/>
          <w:szCs w:val="28"/>
          <w:lang w:val="en-US"/>
        </w:rPr>
        <w:t>hyperbilirubinaemia</w:t>
      </w:r>
      <w:proofErr w:type="spellEnd"/>
      <w:r w:rsidRPr="006C3C9A">
        <w:rPr>
          <w:rFonts w:ascii="Times New Roman" w:hAnsi="Times New Roman"/>
          <w:b/>
          <w:sz w:val="28"/>
          <w:szCs w:val="28"/>
        </w:rPr>
        <w:t xml:space="preserve"> </w:t>
      </w:r>
      <w:r w:rsidRPr="006C3C9A">
        <w:rPr>
          <w:rFonts w:ascii="Times New Roman" w:hAnsi="Times New Roman"/>
          <w:b/>
          <w:sz w:val="28"/>
          <w:szCs w:val="28"/>
          <w:lang w:val="en-US"/>
        </w:rPr>
        <w:t>in</w:t>
      </w:r>
      <w:r w:rsidRPr="006C3C9A">
        <w:rPr>
          <w:rFonts w:ascii="Times New Roman" w:hAnsi="Times New Roman"/>
          <w:b/>
          <w:sz w:val="28"/>
          <w:szCs w:val="28"/>
        </w:rPr>
        <w:t xml:space="preserve"> </w:t>
      </w:r>
      <w:r w:rsidRPr="006C3C9A">
        <w:rPr>
          <w:rFonts w:ascii="Times New Roman" w:hAnsi="Times New Roman"/>
          <w:b/>
          <w:sz w:val="28"/>
          <w:szCs w:val="28"/>
          <w:lang w:val="en-US"/>
        </w:rPr>
        <w:t>patients</w:t>
      </w:r>
      <w:r w:rsidRPr="006C3C9A">
        <w:rPr>
          <w:rFonts w:ascii="Times New Roman" w:hAnsi="Times New Roman"/>
          <w:b/>
          <w:sz w:val="28"/>
          <w:szCs w:val="28"/>
        </w:rPr>
        <w:t xml:space="preserve"> </w:t>
      </w:r>
      <w:r w:rsidRPr="006C3C9A">
        <w:rPr>
          <w:rFonts w:ascii="Times New Roman" w:hAnsi="Times New Roman"/>
          <w:b/>
          <w:sz w:val="28"/>
          <w:szCs w:val="28"/>
          <w:lang w:val="en-US"/>
        </w:rPr>
        <w:t>with</w:t>
      </w:r>
      <w:r w:rsidRPr="006C3C9A">
        <w:rPr>
          <w:rFonts w:ascii="Times New Roman" w:hAnsi="Times New Roman"/>
          <w:b/>
          <w:sz w:val="28"/>
          <w:szCs w:val="28"/>
        </w:rPr>
        <w:t xml:space="preserve"> </w:t>
      </w:r>
      <w:r w:rsidRPr="006C3C9A">
        <w:rPr>
          <w:rFonts w:ascii="Times New Roman" w:hAnsi="Times New Roman"/>
          <w:b/>
          <w:sz w:val="28"/>
          <w:szCs w:val="28"/>
          <w:lang w:val="en-US"/>
        </w:rPr>
        <w:t>CP</w:t>
      </w:r>
      <w:r w:rsidRPr="006C3C9A">
        <w:rPr>
          <w:rFonts w:ascii="Times New Roman" w:hAnsi="Times New Roman"/>
          <w:b/>
          <w:sz w:val="28"/>
          <w:szCs w:val="28"/>
        </w:rPr>
        <w:t xml:space="preserve"> </w:t>
      </w:r>
      <w:r w:rsidRPr="006C3C9A">
        <w:rPr>
          <w:rFonts w:ascii="Times New Roman" w:hAnsi="Times New Roman"/>
          <w:b/>
          <w:sz w:val="28"/>
          <w:szCs w:val="28"/>
          <w:lang w:val="en-US"/>
        </w:rPr>
        <w:t>accompanied</w:t>
      </w:r>
      <w:r w:rsidRPr="006C3C9A">
        <w:rPr>
          <w:rFonts w:ascii="Times New Roman" w:hAnsi="Times New Roman"/>
          <w:b/>
          <w:sz w:val="28"/>
          <w:szCs w:val="28"/>
        </w:rPr>
        <w:t xml:space="preserve"> </w:t>
      </w:r>
      <w:r w:rsidRPr="006C3C9A">
        <w:rPr>
          <w:rFonts w:ascii="Times New Roman" w:hAnsi="Times New Roman"/>
          <w:b/>
          <w:sz w:val="28"/>
          <w:szCs w:val="28"/>
          <w:lang w:val="en-US"/>
        </w:rPr>
        <w:t>by</w:t>
      </w:r>
      <w:r w:rsidRPr="006C3C9A">
        <w:rPr>
          <w:rFonts w:ascii="Times New Roman" w:hAnsi="Times New Roman"/>
          <w:b/>
          <w:sz w:val="28"/>
          <w:szCs w:val="28"/>
        </w:rPr>
        <w:t xml:space="preserve"> </w:t>
      </w:r>
      <w:r w:rsidRPr="006C3C9A">
        <w:rPr>
          <w:rFonts w:ascii="Times New Roman" w:hAnsi="Times New Roman"/>
          <w:b/>
          <w:sz w:val="28"/>
          <w:szCs w:val="28"/>
          <w:lang w:val="en-US"/>
        </w:rPr>
        <w:t>BH</w:t>
      </w:r>
    </w:p>
    <w:tbl>
      <w:tblPr>
        <w:tblStyle w:val="af3"/>
        <w:tblW w:w="0" w:type="auto"/>
        <w:tblLook w:val="00A0"/>
      </w:tblPr>
      <w:tblGrid>
        <w:gridCol w:w="3379"/>
        <w:gridCol w:w="1590"/>
        <w:gridCol w:w="1591"/>
        <w:gridCol w:w="1391"/>
        <w:gridCol w:w="1395"/>
      </w:tblGrid>
      <w:tr w:rsidR="006C3C9A" w:rsidRPr="006C3C9A" w:rsidTr="005E3820">
        <w:trPr>
          <w:trHeight w:val="477"/>
        </w:trPr>
        <w:tc>
          <w:tcPr>
            <w:tcW w:w="3379" w:type="dxa"/>
            <w:vMerge w:val="restart"/>
            <w:vAlign w:val="center"/>
          </w:tcPr>
          <w:p w:rsidR="001548A5" w:rsidRPr="006C3C9A" w:rsidRDefault="003F1654" w:rsidP="00E35879">
            <w:pPr>
              <w:jc w:val="center"/>
              <w:rPr>
                <w:rFonts w:ascii="Times New Roman" w:hAnsi="Times New Roman"/>
                <w:sz w:val="28"/>
                <w:szCs w:val="28"/>
              </w:rPr>
            </w:pPr>
            <w:r w:rsidRPr="006C3C9A">
              <w:rPr>
                <w:rFonts w:ascii="Times New Roman" w:hAnsi="Times New Roman"/>
                <w:sz w:val="28"/>
                <w:szCs w:val="28"/>
                <w:lang w:val="en-US"/>
              </w:rPr>
              <w:t>Diameter of the common bile duct, mm</w:t>
            </w:r>
          </w:p>
        </w:tc>
        <w:tc>
          <w:tcPr>
            <w:tcW w:w="5967" w:type="dxa"/>
            <w:gridSpan w:val="4"/>
            <w:vAlign w:val="center"/>
          </w:tcPr>
          <w:p w:rsidR="001548A5" w:rsidRPr="006C3C9A" w:rsidRDefault="003F1654" w:rsidP="00E35879">
            <w:pPr>
              <w:jc w:val="center"/>
              <w:rPr>
                <w:rFonts w:ascii="Times New Roman" w:hAnsi="Times New Roman"/>
                <w:sz w:val="28"/>
                <w:szCs w:val="28"/>
              </w:rPr>
            </w:pPr>
            <w:proofErr w:type="spellStart"/>
            <w:r w:rsidRPr="006C3C9A">
              <w:rPr>
                <w:rFonts w:ascii="Times New Roman" w:hAnsi="Times New Roman"/>
                <w:sz w:val="28"/>
                <w:szCs w:val="28"/>
                <w:lang w:val="en-US"/>
              </w:rPr>
              <w:t>Bilirubin</w:t>
            </w:r>
            <w:proofErr w:type="spellEnd"/>
            <w:r w:rsidRPr="006C3C9A">
              <w:rPr>
                <w:rFonts w:ascii="Times New Roman" w:hAnsi="Times New Roman"/>
                <w:sz w:val="28"/>
                <w:szCs w:val="28"/>
              </w:rPr>
              <w:t xml:space="preserve"> </w:t>
            </w:r>
            <w:r w:rsidRPr="006C3C9A">
              <w:rPr>
                <w:rFonts w:ascii="Times New Roman" w:hAnsi="Times New Roman"/>
                <w:sz w:val="28"/>
                <w:szCs w:val="28"/>
                <w:lang w:val="en-US"/>
              </w:rPr>
              <w:t>indicators</w:t>
            </w:r>
            <w:r w:rsidRPr="006C3C9A">
              <w:rPr>
                <w:rFonts w:ascii="Times New Roman" w:hAnsi="Times New Roman"/>
                <w:sz w:val="28"/>
                <w:szCs w:val="28"/>
              </w:rPr>
              <w:t xml:space="preserve">, </w:t>
            </w:r>
            <w:proofErr w:type="spellStart"/>
            <w:r w:rsidRPr="006C3C9A">
              <w:rPr>
                <w:rFonts w:ascii="Times New Roman" w:hAnsi="Times New Roman"/>
                <w:sz w:val="28"/>
                <w:szCs w:val="28"/>
              </w:rPr>
              <w:t>micromole</w:t>
            </w:r>
            <w:proofErr w:type="spellEnd"/>
            <w:r w:rsidRPr="006C3C9A">
              <w:rPr>
                <w:rFonts w:ascii="Times New Roman" w:hAnsi="Times New Roman"/>
                <w:sz w:val="28"/>
                <w:szCs w:val="28"/>
              </w:rPr>
              <w:t>/l</w:t>
            </w:r>
          </w:p>
        </w:tc>
      </w:tr>
      <w:tr w:rsidR="006C3C9A" w:rsidRPr="006C3C9A" w:rsidTr="005E3820">
        <w:trPr>
          <w:trHeight w:val="444"/>
        </w:trPr>
        <w:tc>
          <w:tcPr>
            <w:tcW w:w="3379" w:type="dxa"/>
            <w:vMerge/>
          </w:tcPr>
          <w:p w:rsidR="001548A5" w:rsidRPr="006C3C9A" w:rsidRDefault="001548A5" w:rsidP="00E35879">
            <w:pPr>
              <w:rPr>
                <w:rFonts w:ascii="Times New Roman" w:hAnsi="Times New Roman"/>
                <w:sz w:val="28"/>
                <w:szCs w:val="28"/>
              </w:rPr>
            </w:pPr>
          </w:p>
        </w:tc>
        <w:tc>
          <w:tcPr>
            <w:tcW w:w="1590" w:type="dxa"/>
            <w:vAlign w:val="center"/>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21-50</w:t>
            </w:r>
          </w:p>
        </w:tc>
        <w:tc>
          <w:tcPr>
            <w:tcW w:w="1591" w:type="dxa"/>
            <w:vAlign w:val="center"/>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51-100</w:t>
            </w:r>
          </w:p>
        </w:tc>
        <w:tc>
          <w:tcPr>
            <w:tcW w:w="1391" w:type="dxa"/>
            <w:vAlign w:val="center"/>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101-200</w:t>
            </w:r>
          </w:p>
        </w:tc>
        <w:tc>
          <w:tcPr>
            <w:tcW w:w="1395" w:type="dxa"/>
            <w:vAlign w:val="center"/>
          </w:tcPr>
          <w:p w:rsidR="001548A5" w:rsidRPr="006C3C9A" w:rsidRDefault="001548A5" w:rsidP="00E35879">
            <w:pPr>
              <w:ind w:left="360"/>
              <w:rPr>
                <w:rFonts w:ascii="Times New Roman" w:hAnsi="Times New Roman"/>
                <w:sz w:val="28"/>
                <w:szCs w:val="28"/>
                <w:lang w:val="en-US"/>
              </w:rPr>
            </w:pPr>
            <w:r w:rsidRPr="006C3C9A">
              <w:rPr>
                <w:rFonts w:ascii="Times New Roman" w:hAnsi="Times New Roman"/>
                <w:sz w:val="28"/>
                <w:szCs w:val="28"/>
                <w:lang w:val="en-US"/>
              </w:rPr>
              <w:t>&gt; 200</w:t>
            </w:r>
          </w:p>
        </w:tc>
      </w:tr>
      <w:tr w:rsidR="006C3C9A" w:rsidRPr="006C3C9A" w:rsidTr="005E3820">
        <w:tc>
          <w:tcPr>
            <w:tcW w:w="3379" w:type="dxa"/>
          </w:tcPr>
          <w:p w:rsidR="001548A5" w:rsidRPr="006C3C9A" w:rsidRDefault="003F1654" w:rsidP="00E35879">
            <w:pPr>
              <w:jc w:val="center"/>
              <w:rPr>
                <w:rFonts w:ascii="Times New Roman" w:hAnsi="Times New Roman"/>
                <w:sz w:val="28"/>
                <w:szCs w:val="28"/>
                <w:lang w:val="en-US"/>
              </w:rPr>
            </w:pPr>
            <w:r w:rsidRPr="006C3C9A">
              <w:rPr>
                <w:rFonts w:ascii="Times New Roman" w:hAnsi="Times New Roman"/>
                <w:sz w:val="28"/>
                <w:szCs w:val="28"/>
                <w:lang w:val="en-US"/>
              </w:rPr>
              <w:t>Up to</w:t>
            </w:r>
            <w:r w:rsidR="001548A5" w:rsidRPr="006C3C9A">
              <w:rPr>
                <w:rFonts w:ascii="Times New Roman" w:hAnsi="Times New Roman"/>
                <w:sz w:val="28"/>
                <w:szCs w:val="28"/>
              </w:rPr>
              <w:t xml:space="preserve"> 7 </w:t>
            </w:r>
            <w:r w:rsidRPr="006C3C9A">
              <w:rPr>
                <w:rFonts w:ascii="Times New Roman" w:hAnsi="Times New Roman"/>
                <w:sz w:val="28"/>
                <w:szCs w:val="28"/>
                <w:lang w:val="en-US"/>
              </w:rPr>
              <w:t>mm</w:t>
            </w:r>
          </w:p>
        </w:tc>
        <w:tc>
          <w:tcPr>
            <w:tcW w:w="1590" w:type="dxa"/>
            <w:vAlign w:val="center"/>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4</w:t>
            </w:r>
            <w:r w:rsidR="001548A5" w:rsidRPr="006C3C9A">
              <w:rPr>
                <w:rFonts w:ascii="Times New Roman" w:hAnsi="Times New Roman"/>
                <w:sz w:val="28"/>
                <w:szCs w:val="28"/>
              </w:rPr>
              <w:t xml:space="preserve"> (…%)</w:t>
            </w:r>
          </w:p>
        </w:tc>
        <w:tc>
          <w:tcPr>
            <w:tcW w:w="1591" w:type="dxa"/>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2</w:t>
            </w:r>
            <w:r w:rsidR="001548A5" w:rsidRPr="006C3C9A">
              <w:rPr>
                <w:rFonts w:ascii="Times New Roman" w:hAnsi="Times New Roman"/>
                <w:sz w:val="28"/>
                <w:szCs w:val="28"/>
              </w:rPr>
              <w:t xml:space="preserve"> (…%)</w:t>
            </w:r>
          </w:p>
        </w:tc>
        <w:tc>
          <w:tcPr>
            <w:tcW w:w="1391" w:type="dxa"/>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w:t>
            </w:r>
          </w:p>
        </w:tc>
        <w:tc>
          <w:tcPr>
            <w:tcW w:w="1395" w:type="dxa"/>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w:t>
            </w:r>
          </w:p>
        </w:tc>
      </w:tr>
      <w:tr w:rsidR="006C3C9A" w:rsidRPr="006C3C9A" w:rsidTr="005E3820">
        <w:tc>
          <w:tcPr>
            <w:tcW w:w="3379" w:type="dxa"/>
          </w:tcPr>
          <w:p w:rsidR="001548A5" w:rsidRPr="006C3C9A" w:rsidRDefault="001548A5" w:rsidP="00E35879">
            <w:pPr>
              <w:jc w:val="center"/>
              <w:rPr>
                <w:rFonts w:ascii="Times New Roman" w:hAnsi="Times New Roman"/>
                <w:sz w:val="28"/>
                <w:szCs w:val="28"/>
                <w:lang w:val="en-US"/>
              </w:rPr>
            </w:pPr>
            <w:r w:rsidRPr="006C3C9A">
              <w:rPr>
                <w:rFonts w:ascii="Times New Roman" w:hAnsi="Times New Roman"/>
                <w:sz w:val="28"/>
                <w:szCs w:val="28"/>
              </w:rPr>
              <w:t xml:space="preserve">8-10 </w:t>
            </w:r>
            <w:r w:rsidR="003F1654" w:rsidRPr="006C3C9A">
              <w:rPr>
                <w:rFonts w:ascii="Times New Roman" w:hAnsi="Times New Roman"/>
                <w:sz w:val="28"/>
                <w:szCs w:val="28"/>
                <w:lang w:val="en-US"/>
              </w:rPr>
              <w:t>mm</w:t>
            </w:r>
          </w:p>
        </w:tc>
        <w:tc>
          <w:tcPr>
            <w:tcW w:w="1590" w:type="dxa"/>
            <w:vAlign w:val="center"/>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2</w:t>
            </w:r>
            <w:r w:rsidR="001548A5" w:rsidRPr="006C3C9A">
              <w:rPr>
                <w:rFonts w:ascii="Times New Roman" w:hAnsi="Times New Roman"/>
                <w:sz w:val="28"/>
                <w:szCs w:val="28"/>
              </w:rPr>
              <w:t xml:space="preserve"> (…%)</w:t>
            </w:r>
          </w:p>
        </w:tc>
        <w:tc>
          <w:tcPr>
            <w:tcW w:w="1591" w:type="dxa"/>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8</w:t>
            </w:r>
            <w:r w:rsidR="001548A5" w:rsidRPr="006C3C9A">
              <w:rPr>
                <w:rFonts w:ascii="Times New Roman" w:hAnsi="Times New Roman"/>
                <w:sz w:val="28"/>
                <w:szCs w:val="28"/>
              </w:rPr>
              <w:t xml:space="preserve"> (…%)</w:t>
            </w:r>
          </w:p>
        </w:tc>
        <w:tc>
          <w:tcPr>
            <w:tcW w:w="1391" w:type="dxa"/>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4</w:t>
            </w:r>
            <w:r w:rsidR="001548A5" w:rsidRPr="006C3C9A">
              <w:rPr>
                <w:rFonts w:ascii="Times New Roman" w:hAnsi="Times New Roman"/>
                <w:sz w:val="28"/>
                <w:szCs w:val="28"/>
              </w:rPr>
              <w:t xml:space="preserve"> (…%)</w:t>
            </w:r>
          </w:p>
        </w:tc>
        <w:tc>
          <w:tcPr>
            <w:tcW w:w="1395" w:type="dxa"/>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 xml:space="preserve">1 </w:t>
            </w:r>
            <w:r w:rsidR="001548A5" w:rsidRPr="006C3C9A">
              <w:rPr>
                <w:rFonts w:ascii="Times New Roman" w:hAnsi="Times New Roman"/>
                <w:sz w:val="28"/>
                <w:szCs w:val="28"/>
              </w:rPr>
              <w:t>(…%)</w:t>
            </w:r>
          </w:p>
        </w:tc>
      </w:tr>
      <w:tr w:rsidR="006C3C9A" w:rsidRPr="006C3C9A" w:rsidTr="005E3820">
        <w:tc>
          <w:tcPr>
            <w:tcW w:w="3379"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 xml:space="preserve">10 </w:t>
            </w:r>
            <w:r w:rsidR="003F1654" w:rsidRPr="006C3C9A">
              <w:rPr>
                <w:rFonts w:ascii="Times New Roman" w:hAnsi="Times New Roman"/>
                <w:sz w:val="28"/>
                <w:szCs w:val="28"/>
                <w:lang w:val="en-US"/>
              </w:rPr>
              <w:t>mm and more</w:t>
            </w:r>
          </w:p>
        </w:tc>
        <w:tc>
          <w:tcPr>
            <w:tcW w:w="1590" w:type="dxa"/>
            <w:vAlign w:val="center"/>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w:t>
            </w:r>
          </w:p>
        </w:tc>
        <w:tc>
          <w:tcPr>
            <w:tcW w:w="1591" w:type="dxa"/>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4</w:t>
            </w:r>
            <w:r w:rsidR="001548A5" w:rsidRPr="006C3C9A">
              <w:rPr>
                <w:rFonts w:ascii="Times New Roman" w:hAnsi="Times New Roman"/>
                <w:sz w:val="28"/>
                <w:szCs w:val="28"/>
              </w:rPr>
              <w:t xml:space="preserve"> (…%)</w:t>
            </w:r>
          </w:p>
        </w:tc>
        <w:tc>
          <w:tcPr>
            <w:tcW w:w="1391" w:type="dxa"/>
          </w:tcPr>
          <w:p w:rsidR="001548A5" w:rsidRPr="006C3C9A" w:rsidRDefault="00A45F44" w:rsidP="00E35879">
            <w:pPr>
              <w:jc w:val="center"/>
              <w:rPr>
                <w:rFonts w:ascii="Times New Roman" w:hAnsi="Times New Roman"/>
                <w:sz w:val="28"/>
                <w:szCs w:val="28"/>
              </w:rPr>
            </w:pPr>
            <w:r w:rsidRPr="006C3C9A">
              <w:rPr>
                <w:rFonts w:ascii="Times New Roman" w:hAnsi="Times New Roman"/>
                <w:sz w:val="28"/>
                <w:szCs w:val="28"/>
              </w:rPr>
              <w:t>3</w:t>
            </w:r>
            <w:r w:rsidR="001548A5" w:rsidRPr="006C3C9A">
              <w:rPr>
                <w:rFonts w:ascii="Times New Roman" w:hAnsi="Times New Roman"/>
                <w:sz w:val="28"/>
                <w:szCs w:val="28"/>
              </w:rPr>
              <w:t xml:space="preserve"> (…%)</w:t>
            </w:r>
          </w:p>
        </w:tc>
        <w:tc>
          <w:tcPr>
            <w:tcW w:w="1395" w:type="dxa"/>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5</w:t>
            </w:r>
            <w:r w:rsidR="001548A5" w:rsidRPr="006C3C9A">
              <w:rPr>
                <w:rFonts w:ascii="Times New Roman" w:hAnsi="Times New Roman"/>
                <w:sz w:val="28"/>
                <w:szCs w:val="28"/>
              </w:rPr>
              <w:t xml:space="preserve"> (…%)</w:t>
            </w:r>
          </w:p>
        </w:tc>
      </w:tr>
      <w:tr w:rsidR="006C3C9A" w:rsidRPr="006C3C9A" w:rsidTr="005E3820">
        <w:tc>
          <w:tcPr>
            <w:tcW w:w="3379" w:type="dxa"/>
          </w:tcPr>
          <w:p w:rsidR="001548A5" w:rsidRPr="006C3C9A" w:rsidRDefault="003F1654" w:rsidP="00E35879">
            <w:pPr>
              <w:rPr>
                <w:rFonts w:ascii="Times New Roman" w:hAnsi="Times New Roman"/>
                <w:sz w:val="28"/>
                <w:szCs w:val="28"/>
              </w:rPr>
            </w:pPr>
            <w:proofErr w:type="spellStart"/>
            <w:r w:rsidRPr="006C3C9A">
              <w:rPr>
                <w:rFonts w:ascii="Times New Roman" w:hAnsi="Times New Roman"/>
                <w:sz w:val="28"/>
                <w:szCs w:val="28"/>
              </w:rPr>
              <w:t>Total</w:t>
            </w:r>
            <w:proofErr w:type="spellEnd"/>
            <w:r w:rsidR="001548A5" w:rsidRPr="006C3C9A">
              <w:rPr>
                <w:rFonts w:ascii="Times New Roman" w:hAnsi="Times New Roman"/>
                <w:sz w:val="28"/>
                <w:szCs w:val="28"/>
              </w:rPr>
              <w:t>:</w:t>
            </w:r>
          </w:p>
        </w:tc>
        <w:tc>
          <w:tcPr>
            <w:tcW w:w="1590" w:type="dxa"/>
            <w:vAlign w:val="center"/>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6</w:t>
            </w:r>
            <w:r w:rsidR="001548A5" w:rsidRPr="006C3C9A">
              <w:rPr>
                <w:rFonts w:ascii="Times New Roman" w:hAnsi="Times New Roman"/>
                <w:sz w:val="28"/>
                <w:szCs w:val="28"/>
              </w:rPr>
              <w:t xml:space="preserve"> (</w:t>
            </w:r>
            <w:r w:rsidR="003F1654" w:rsidRPr="006C3C9A">
              <w:rPr>
                <w:rFonts w:ascii="Times New Roman" w:hAnsi="Times New Roman"/>
                <w:sz w:val="28"/>
                <w:szCs w:val="28"/>
              </w:rPr>
              <w:t>18.</w:t>
            </w:r>
            <w:r w:rsidRPr="006C3C9A">
              <w:rPr>
                <w:rFonts w:ascii="Times New Roman" w:hAnsi="Times New Roman"/>
                <w:sz w:val="28"/>
                <w:szCs w:val="28"/>
              </w:rPr>
              <w:t xml:space="preserve">2 </w:t>
            </w:r>
            <w:r w:rsidR="001548A5" w:rsidRPr="006C3C9A">
              <w:rPr>
                <w:rFonts w:ascii="Times New Roman" w:hAnsi="Times New Roman"/>
                <w:sz w:val="28"/>
                <w:szCs w:val="28"/>
              </w:rPr>
              <w:t>%)</w:t>
            </w:r>
          </w:p>
        </w:tc>
        <w:tc>
          <w:tcPr>
            <w:tcW w:w="1591" w:type="dxa"/>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14</w:t>
            </w:r>
            <w:r w:rsidR="001548A5" w:rsidRPr="006C3C9A">
              <w:rPr>
                <w:rFonts w:ascii="Times New Roman" w:hAnsi="Times New Roman"/>
                <w:sz w:val="28"/>
                <w:szCs w:val="28"/>
              </w:rPr>
              <w:t xml:space="preserve"> (</w:t>
            </w:r>
            <w:r w:rsidRPr="006C3C9A">
              <w:rPr>
                <w:rFonts w:ascii="Times New Roman" w:hAnsi="Times New Roman"/>
                <w:sz w:val="28"/>
                <w:szCs w:val="28"/>
              </w:rPr>
              <w:t xml:space="preserve">42.4 </w:t>
            </w:r>
            <w:r w:rsidR="001548A5" w:rsidRPr="006C3C9A">
              <w:rPr>
                <w:rFonts w:ascii="Times New Roman" w:hAnsi="Times New Roman"/>
                <w:sz w:val="28"/>
                <w:szCs w:val="28"/>
              </w:rPr>
              <w:t>%)</w:t>
            </w:r>
          </w:p>
        </w:tc>
        <w:tc>
          <w:tcPr>
            <w:tcW w:w="1391" w:type="dxa"/>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7</w:t>
            </w:r>
            <w:r w:rsidR="001548A5" w:rsidRPr="006C3C9A">
              <w:rPr>
                <w:rFonts w:ascii="Times New Roman" w:hAnsi="Times New Roman"/>
                <w:sz w:val="28"/>
                <w:szCs w:val="28"/>
              </w:rPr>
              <w:t xml:space="preserve"> (</w:t>
            </w:r>
            <w:r w:rsidRPr="006C3C9A">
              <w:rPr>
                <w:rFonts w:ascii="Times New Roman" w:hAnsi="Times New Roman"/>
                <w:sz w:val="28"/>
                <w:szCs w:val="28"/>
              </w:rPr>
              <w:t xml:space="preserve">21.2 </w:t>
            </w:r>
            <w:r w:rsidR="001548A5" w:rsidRPr="006C3C9A">
              <w:rPr>
                <w:rFonts w:ascii="Times New Roman" w:hAnsi="Times New Roman"/>
                <w:sz w:val="28"/>
                <w:szCs w:val="28"/>
              </w:rPr>
              <w:t>%)</w:t>
            </w:r>
          </w:p>
        </w:tc>
        <w:tc>
          <w:tcPr>
            <w:tcW w:w="1395" w:type="dxa"/>
          </w:tcPr>
          <w:p w:rsidR="001548A5" w:rsidRPr="006C3C9A" w:rsidRDefault="00CF4388" w:rsidP="00E35879">
            <w:pPr>
              <w:jc w:val="center"/>
              <w:rPr>
                <w:rFonts w:ascii="Times New Roman" w:hAnsi="Times New Roman"/>
                <w:sz w:val="28"/>
                <w:szCs w:val="28"/>
              </w:rPr>
            </w:pPr>
            <w:r w:rsidRPr="006C3C9A">
              <w:rPr>
                <w:rFonts w:ascii="Times New Roman" w:hAnsi="Times New Roman"/>
                <w:sz w:val="28"/>
                <w:szCs w:val="28"/>
              </w:rPr>
              <w:t>6</w:t>
            </w:r>
            <w:r w:rsidR="001548A5" w:rsidRPr="006C3C9A">
              <w:rPr>
                <w:rFonts w:ascii="Times New Roman" w:hAnsi="Times New Roman"/>
                <w:sz w:val="28"/>
                <w:szCs w:val="28"/>
              </w:rPr>
              <w:t xml:space="preserve"> (</w:t>
            </w:r>
            <w:r w:rsidR="003F1654" w:rsidRPr="006C3C9A">
              <w:rPr>
                <w:rFonts w:ascii="Times New Roman" w:hAnsi="Times New Roman"/>
                <w:sz w:val="28"/>
                <w:szCs w:val="28"/>
              </w:rPr>
              <w:t>18.</w:t>
            </w:r>
            <w:r w:rsidRPr="006C3C9A">
              <w:rPr>
                <w:rFonts w:ascii="Times New Roman" w:hAnsi="Times New Roman"/>
                <w:sz w:val="28"/>
                <w:szCs w:val="28"/>
              </w:rPr>
              <w:t xml:space="preserve">2 </w:t>
            </w:r>
            <w:r w:rsidR="001548A5" w:rsidRPr="006C3C9A">
              <w:rPr>
                <w:rFonts w:ascii="Times New Roman" w:hAnsi="Times New Roman"/>
                <w:sz w:val="28"/>
                <w:szCs w:val="28"/>
              </w:rPr>
              <w:t>%)</w:t>
            </w:r>
          </w:p>
        </w:tc>
      </w:tr>
    </w:tbl>
    <w:p w:rsidR="005E3820" w:rsidRPr="006C3C9A" w:rsidRDefault="005E3820" w:rsidP="005E3820">
      <w:pPr>
        <w:spacing w:after="0" w:line="360" w:lineRule="auto"/>
        <w:ind w:firstLine="851"/>
        <w:jc w:val="both"/>
        <w:rPr>
          <w:rFonts w:ascii="Times New Roman" w:hAnsi="Times New Roman"/>
          <w:sz w:val="28"/>
          <w:szCs w:val="28"/>
          <w:lang w:val="en-US"/>
        </w:rPr>
      </w:pPr>
      <w:r w:rsidRPr="006C3C9A">
        <w:rPr>
          <w:rFonts w:ascii="Times New Roman" w:hAnsi="Times New Roman"/>
          <w:sz w:val="28"/>
          <w:szCs w:val="28"/>
          <w:lang w:val="en-US"/>
        </w:rPr>
        <w:lastRenderedPageBreak/>
        <w:t xml:space="preserve">The analysis conducted showed a directly proportional connection between the diameter of the common bile duct and the level of </w:t>
      </w:r>
      <w:proofErr w:type="spellStart"/>
      <w:r w:rsidRPr="006C3C9A">
        <w:rPr>
          <w:rFonts w:ascii="Times New Roman" w:hAnsi="Times New Roman"/>
          <w:sz w:val="28"/>
          <w:szCs w:val="28"/>
          <w:lang w:val="en-US"/>
        </w:rPr>
        <w:t>bilirubin</w:t>
      </w:r>
      <w:proofErr w:type="spellEnd"/>
      <w:r w:rsidRPr="006C3C9A">
        <w:rPr>
          <w:rFonts w:ascii="Times New Roman" w:hAnsi="Times New Roman"/>
          <w:sz w:val="28"/>
          <w:szCs w:val="28"/>
          <w:lang w:val="en-US"/>
        </w:rPr>
        <w:t xml:space="preserve"> in blood. However, in six (18.2%) patients with </w:t>
      </w:r>
      <w:proofErr w:type="spellStart"/>
      <w:r w:rsidRPr="006C3C9A">
        <w:rPr>
          <w:rFonts w:ascii="Times New Roman" w:hAnsi="Times New Roman"/>
          <w:sz w:val="28"/>
          <w:szCs w:val="28"/>
          <w:lang w:val="en-US"/>
        </w:rPr>
        <w:t>hyperbilirubinemia</w:t>
      </w:r>
      <w:proofErr w:type="spellEnd"/>
      <w:r w:rsidRPr="006C3C9A">
        <w:rPr>
          <w:rFonts w:ascii="Times New Roman" w:hAnsi="Times New Roman"/>
          <w:sz w:val="28"/>
          <w:szCs w:val="28"/>
          <w:lang w:val="en-US"/>
        </w:rPr>
        <w:t xml:space="preserve">, common bile duct was not dilated; and in seven patients, dilation of the common bile duct took place with normal ranges of </w:t>
      </w:r>
      <w:proofErr w:type="spellStart"/>
      <w:r w:rsidRPr="006C3C9A">
        <w:rPr>
          <w:rFonts w:ascii="Times New Roman" w:hAnsi="Times New Roman"/>
          <w:sz w:val="28"/>
          <w:szCs w:val="28"/>
          <w:lang w:val="en-US"/>
        </w:rPr>
        <w:t>bilirubin</w:t>
      </w:r>
      <w:proofErr w:type="spellEnd"/>
      <w:r w:rsidRPr="006C3C9A">
        <w:rPr>
          <w:rFonts w:ascii="Times New Roman" w:hAnsi="Times New Roman"/>
          <w:sz w:val="28"/>
          <w:szCs w:val="28"/>
          <w:lang w:val="en-US"/>
        </w:rPr>
        <w:t xml:space="preserve"> in the blood.</w:t>
      </w:r>
    </w:p>
    <w:p w:rsidR="001548A5" w:rsidRPr="006C3C9A" w:rsidRDefault="005E3820" w:rsidP="005E3820">
      <w:pPr>
        <w:spacing w:after="0" w:line="360" w:lineRule="auto"/>
        <w:ind w:firstLine="851"/>
        <w:jc w:val="both"/>
        <w:rPr>
          <w:rFonts w:ascii="Times New Roman" w:hAnsi="Times New Roman"/>
          <w:sz w:val="28"/>
          <w:szCs w:val="28"/>
        </w:rPr>
      </w:pPr>
      <w:r w:rsidRPr="006C3C9A">
        <w:rPr>
          <w:rFonts w:ascii="Times New Roman" w:hAnsi="Times New Roman"/>
          <w:sz w:val="28"/>
          <w:szCs w:val="28"/>
          <w:lang w:val="en-US"/>
        </w:rPr>
        <w:t xml:space="preserve">In 14 patients of the first group, we studied the interconnection between BH and the level of </w:t>
      </w:r>
      <w:proofErr w:type="spellStart"/>
      <w:r w:rsidRPr="006C3C9A">
        <w:rPr>
          <w:rFonts w:ascii="Times New Roman" w:hAnsi="Times New Roman"/>
          <w:sz w:val="28"/>
          <w:szCs w:val="28"/>
          <w:lang w:val="en-US"/>
        </w:rPr>
        <w:t>bilirubin</w:t>
      </w:r>
      <w:proofErr w:type="spellEnd"/>
      <w:r w:rsidRPr="006C3C9A">
        <w:rPr>
          <w:rFonts w:ascii="Times New Roman" w:hAnsi="Times New Roman"/>
          <w:sz w:val="28"/>
          <w:szCs w:val="28"/>
          <w:lang w:val="en-US"/>
        </w:rPr>
        <w:t xml:space="preserve"> in blood serum (table 3).</w:t>
      </w:r>
      <w:r w:rsidR="001548A5" w:rsidRPr="006C3C9A">
        <w:rPr>
          <w:rFonts w:ascii="Times New Roman" w:hAnsi="Times New Roman"/>
          <w:sz w:val="28"/>
          <w:szCs w:val="28"/>
        </w:rPr>
        <w:t xml:space="preserve"> </w:t>
      </w:r>
    </w:p>
    <w:p w:rsidR="009E0F09" w:rsidRPr="0039009E" w:rsidRDefault="00864E99" w:rsidP="0039009E">
      <w:pPr>
        <w:spacing w:after="0" w:line="360" w:lineRule="auto"/>
        <w:jc w:val="right"/>
        <w:rPr>
          <w:rFonts w:ascii="Times New Roman" w:hAnsi="Times New Roman"/>
          <w:sz w:val="28"/>
          <w:szCs w:val="28"/>
          <w:lang w:val="ru-RU"/>
        </w:rPr>
      </w:pPr>
      <w:r w:rsidRPr="006C3C9A">
        <w:rPr>
          <w:rFonts w:ascii="Times New Roman" w:hAnsi="Times New Roman"/>
          <w:sz w:val="28"/>
          <w:szCs w:val="28"/>
          <w:lang w:val="en-US"/>
        </w:rPr>
        <w:t>Table</w:t>
      </w:r>
      <w:r w:rsidR="009E0F09" w:rsidRPr="006C3C9A">
        <w:rPr>
          <w:rFonts w:ascii="Times New Roman" w:hAnsi="Times New Roman"/>
          <w:sz w:val="28"/>
          <w:szCs w:val="28"/>
        </w:rPr>
        <w:t xml:space="preserve"> 3</w:t>
      </w:r>
    </w:p>
    <w:p w:rsidR="001548A5" w:rsidRPr="006C3C9A" w:rsidRDefault="00864E99" w:rsidP="00E35879">
      <w:pPr>
        <w:jc w:val="center"/>
        <w:rPr>
          <w:rFonts w:ascii="Times New Roman" w:hAnsi="Times New Roman"/>
          <w:b/>
          <w:sz w:val="28"/>
          <w:szCs w:val="28"/>
          <w:lang w:eastAsia="uk-UA"/>
        </w:rPr>
      </w:pPr>
      <w:r w:rsidRPr="006C3C9A">
        <w:rPr>
          <w:rFonts w:ascii="Times New Roman" w:hAnsi="Times New Roman"/>
          <w:b/>
          <w:sz w:val="28"/>
          <w:szCs w:val="28"/>
          <w:lang w:val="en-US" w:eastAsia="uk-UA"/>
        </w:rPr>
        <w:t>Interconnection</w:t>
      </w:r>
      <w:r w:rsidRPr="006C3C9A">
        <w:rPr>
          <w:rFonts w:ascii="Times New Roman" w:hAnsi="Times New Roman"/>
          <w:b/>
          <w:sz w:val="28"/>
          <w:szCs w:val="28"/>
          <w:lang w:eastAsia="uk-UA"/>
        </w:rPr>
        <w:t xml:space="preserve"> </w:t>
      </w:r>
      <w:r w:rsidRPr="006C3C9A">
        <w:rPr>
          <w:rFonts w:ascii="Times New Roman" w:hAnsi="Times New Roman"/>
          <w:b/>
          <w:sz w:val="28"/>
          <w:szCs w:val="28"/>
          <w:lang w:val="en-US" w:eastAsia="uk-UA"/>
        </w:rPr>
        <w:t>of</w:t>
      </w:r>
      <w:r w:rsidRPr="006C3C9A">
        <w:rPr>
          <w:rFonts w:ascii="Times New Roman" w:hAnsi="Times New Roman"/>
          <w:b/>
          <w:sz w:val="28"/>
          <w:szCs w:val="28"/>
          <w:lang w:eastAsia="uk-UA"/>
        </w:rPr>
        <w:t xml:space="preserve"> </w:t>
      </w:r>
      <w:r w:rsidRPr="006C3C9A">
        <w:rPr>
          <w:rFonts w:ascii="Times New Roman" w:hAnsi="Times New Roman"/>
          <w:b/>
          <w:sz w:val="28"/>
          <w:szCs w:val="28"/>
          <w:lang w:val="en-US" w:eastAsia="uk-UA"/>
        </w:rPr>
        <w:t>BH</w:t>
      </w:r>
      <w:r w:rsidRPr="006C3C9A">
        <w:rPr>
          <w:rFonts w:ascii="Times New Roman" w:hAnsi="Times New Roman"/>
          <w:b/>
          <w:sz w:val="28"/>
          <w:szCs w:val="28"/>
          <w:lang w:eastAsia="uk-UA"/>
        </w:rPr>
        <w:t xml:space="preserve"> </w:t>
      </w:r>
      <w:r w:rsidRPr="006C3C9A">
        <w:rPr>
          <w:rFonts w:ascii="Times New Roman" w:hAnsi="Times New Roman"/>
          <w:b/>
          <w:sz w:val="28"/>
          <w:szCs w:val="28"/>
          <w:lang w:val="en-US" w:eastAsia="uk-UA"/>
        </w:rPr>
        <w:t>and</w:t>
      </w:r>
      <w:r w:rsidRPr="006C3C9A">
        <w:rPr>
          <w:rFonts w:ascii="Times New Roman" w:hAnsi="Times New Roman"/>
          <w:b/>
          <w:sz w:val="28"/>
          <w:szCs w:val="28"/>
          <w:lang w:eastAsia="uk-UA"/>
        </w:rPr>
        <w:t xml:space="preserve"> </w:t>
      </w:r>
      <w:proofErr w:type="spellStart"/>
      <w:r w:rsidRPr="006C3C9A">
        <w:rPr>
          <w:rFonts w:ascii="Times New Roman" w:hAnsi="Times New Roman"/>
          <w:b/>
          <w:sz w:val="28"/>
          <w:szCs w:val="28"/>
          <w:lang w:val="en-US" w:eastAsia="uk-UA"/>
        </w:rPr>
        <w:t>hyperbilirubinaemia</w:t>
      </w:r>
      <w:proofErr w:type="spellEnd"/>
    </w:p>
    <w:tbl>
      <w:tblPr>
        <w:tblStyle w:val="af3"/>
        <w:tblW w:w="0" w:type="auto"/>
        <w:tblLook w:val="04A0"/>
      </w:tblPr>
      <w:tblGrid>
        <w:gridCol w:w="1900"/>
        <w:gridCol w:w="1858"/>
        <w:gridCol w:w="1862"/>
        <w:gridCol w:w="1862"/>
        <w:gridCol w:w="1864"/>
      </w:tblGrid>
      <w:tr w:rsidR="006C3C9A" w:rsidRPr="006C3C9A" w:rsidTr="005E3820">
        <w:tc>
          <w:tcPr>
            <w:tcW w:w="1900" w:type="dxa"/>
            <w:vMerge w:val="restart"/>
          </w:tcPr>
          <w:p w:rsidR="001548A5" w:rsidRPr="006C3C9A" w:rsidRDefault="00864E99" w:rsidP="00E35879">
            <w:pPr>
              <w:jc w:val="center"/>
              <w:rPr>
                <w:rFonts w:ascii="Times New Roman" w:hAnsi="Times New Roman"/>
                <w:sz w:val="28"/>
                <w:szCs w:val="28"/>
              </w:rPr>
            </w:pPr>
            <w:proofErr w:type="spellStart"/>
            <w:r w:rsidRPr="006C3C9A">
              <w:rPr>
                <w:rFonts w:ascii="Times New Roman" w:hAnsi="Times New Roman"/>
                <w:sz w:val="28"/>
                <w:szCs w:val="28"/>
                <w:lang w:val="en-US"/>
              </w:rPr>
              <w:t>Bilirubin</w:t>
            </w:r>
            <w:proofErr w:type="spellEnd"/>
            <w:r w:rsidR="001548A5" w:rsidRPr="006C3C9A">
              <w:rPr>
                <w:rFonts w:ascii="Times New Roman" w:hAnsi="Times New Roman"/>
                <w:sz w:val="28"/>
                <w:szCs w:val="28"/>
              </w:rPr>
              <w:t xml:space="preserve">, </w:t>
            </w:r>
            <w:proofErr w:type="spellStart"/>
            <w:r w:rsidRPr="006C3C9A">
              <w:rPr>
                <w:rFonts w:ascii="Times New Roman" w:hAnsi="Times New Roman"/>
                <w:sz w:val="28"/>
                <w:szCs w:val="28"/>
              </w:rPr>
              <w:t>micromole</w:t>
            </w:r>
            <w:proofErr w:type="spellEnd"/>
            <w:r w:rsidRPr="006C3C9A">
              <w:rPr>
                <w:rFonts w:ascii="Times New Roman" w:hAnsi="Times New Roman"/>
                <w:sz w:val="28"/>
                <w:szCs w:val="28"/>
              </w:rPr>
              <w:t>/l</w:t>
            </w:r>
          </w:p>
        </w:tc>
        <w:tc>
          <w:tcPr>
            <w:tcW w:w="7446" w:type="dxa"/>
            <w:gridSpan w:val="4"/>
          </w:tcPr>
          <w:p w:rsidR="001548A5" w:rsidRPr="006C3C9A" w:rsidRDefault="00864E99" w:rsidP="00E35879">
            <w:pPr>
              <w:jc w:val="center"/>
              <w:rPr>
                <w:rFonts w:ascii="Times New Roman" w:hAnsi="Times New Roman"/>
                <w:sz w:val="28"/>
                <w:szCs w:val="28"/>
              </w:rPr>
            </w:pPr>
            <w:r w:rsidRPr="006C3C9A">
              <w:rPr>
                <w:rFonts w:ascii="Times New Roman" w:hAnsi="Times New Roman"/>
                <w:sz w:val="28"/>
                <w:szCs w:val="28"/>
                <w:lang w:val="en-US"/>
              </w:rPr>
              <w:t xml:space="preserve">Indicators of </w:t>
            </w:r>
            <w:proofErr w:type="spellStart"/>
            <w:r w:rsidRPr="006C3C9A">
              <w:rPr>
                <w:rFonts w:ascii="Times New Roman" w:hAnsi="Times New Roman"/>
                <w:sz w:val="28"/>
                <w:szCs w:val="28"/>
                <w:lang w:val="en-US"/>
              </w:rPr>
              <w:t>biliary</w:t>
            </w:r>
            <w:proofErr w:type="spellEnd"/>
            <w:r w:rsidRPr="006C3C9A">
              <w:rPr>
                <w:rFonts w:ascii="Times New Roman" w:hAnsi="Times New Roman"/>
                <w:sz w:val="28"/>
                <w:szCs w:val="28"/>
                <w:lang w:val="en-US"/>
              </w:rPr>
              <w:t xml:space="preserve"> pressure, mm </w:t>
            </w:r>
            <w:proofErr w:type="spellStart"/>
            <w:r w:rsidRPr="006C3C9A">
              <w:rPr>
                <w:rFonts w:ascii="Times New Roman" w:hAnsi="Times New Roman"/>
                <w:sz w:val="28"/>
                <w:szCs w:val="28"/>
                <w:lang w:val="en-US"/>
              </w:rPr>
              <w:t>w.g</w:t>
            </w:r>
            <w:proofErr w:type="spellEnd"/>
            <w:r w:rsidRPr="006C3C9A">
              <w:rPr>
                <w:rFonts w:ascii="Times New Roman" w:hAnsi="Times New Roman"/>
                <w:sz w:val="28"/>
                <w:szCs w:val="28"/>
                <w:lang w:val="en-US"/>
              </w:rPr>
              <w:t xml:space="preserve">. </w:t>
            </w:r>
          </w:p>
        </w:tc>
      </w:tr>
      <w:tr w:rsidR="006C3C9A" w:rsidRPr="006C3C9A" w:rsidTr="005E3820">
        <w:tc>
          <w:tcPr>
            <w:tcW w:w="1900" w:type="dxa"/>
            <w:vMerge/>
          </w:tcPr>
          <w:p w:rsidR="001548A5" w:rsidRPr="006C3C9A" w:rsidRDefault="001548A5" w:rsidP="00E35879">
            <w:pPr>
              <w:jc w:val="center"/>
              <w:rPr>
                <w:rFonts w:ascii="Times New Roman" w:hAnsi="Times New Roman"/>
                <w:b/>
                <w:sz w:val="28"/>
                <w:szCs w:val="28"/>
              </w:rPr>
            </w:pPr>
          </w:p>
        </w:tc>
        <w:tc>
          <w:tcPr>
            <w:tcW w:w="1858"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150 -200</w:t>
            </w:r>
          </w:p>
        </w:tc>
        <w:tc>
          <w:tcPr>
            <w:tcW w:w="1862"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201 - 251</w:t>
            </w:r>
          </w:p>
        </w:tc>
        <w:tc>
          <w:tcPr>
            <w:tcW w:w="1862"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251 - 300</w:t>
            </w:r>
          </w:p>
        </w:tc>
        <w:tc>
          <w:tcPr>
            <w:tcW w:w="1864" w:type="dxa"/>
          </w:tcPr>
          <w:p w:rsidR="001548A5" w:rsidRPr="006C3C9A" w:rsidRDefault="00864E99" w:rsidP="00E35879">
            <w:pPr>
              <w:jc w:val="center"/>
              <w:rPr>
                <w:rFonts w:ascii="Times New Roman" w:hAnsi="Times New Roman"/>
                <w:sz w:val="28"/>
                <w:szCs w:val="28"/>
              </w:rPr>
            </w:pPr>
            <w:r w:rsidRPr="006C3C9A">
              <w:rPr>
                <w:rFonts w:ascii="Times New Roman" w:hAnsi="Times New Roman"/>
                <w:sz w:val="28"/>
                <w:szCs w:val="28"/>
                <w:lang w:val="en-US"/>
              </w:rPr>
              <w:t>over</w:t>
            </w:r>
            <w:r w:rsidR="001548A5" w:rsidRPr="006C3C9A">
              <w:rPr>
                <w:rFonts w:ascii="Times New Roman" w:hAnsi="Times New Roman"/>
                <w:sz w:val="28"/>
                <w:szCs w:val="28"/>
              </w:rPr>
              <w:t xml:space="preserve"> 300</w:t>
            </w:r>
          </w:p>
        </w:tc>
      </w:tr>
      <w:tr w:rsidR="006C3C9A" w:rsidRPr="006C3C9A" w:rsidTr="005E3820">
        <w:tc>
          <w:tcPr>
            <w:tcW w:w="1900"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21-50</w:t>
            </w:r>
          </w:p>
        </w:tc>
        <w:tc>
          <w:tcPr>
            <w:tcW w:w="1858"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1</w:t>
            </w:r>
            <w:r w:rsidR="001548A5" w:rsidRPr="006C3C9A">
              <w:rPr>
                <w:rFonts w:ascii="Times New Roman" w:hAnsi="Times New Roman"/>
                <w:sz w:val="28"/>
                <w:szCs w:val="28"/>
              </w:rPr>
              <w:t xml:space="preserve"> (</w:t>
            </w:r>
            <w:r w:rsidR="00864E99" w:rsidRPr="006C3C9A">
              <w:rPr>
                <w:rFonts w:ascii="Times New Roman" w:hAnsi="Times New Roman"/>
                <w:sz w:val="28"/>
                <w:szCs w:val="28"/>
              </w:rPr>
              <w:t>7.</w:t>
            </w:r>
            <w:r w:rsidRPr="006C3C9A">
              <w:rPr>
                <w:rFonts w:ascii="Times New Roman" w:hAnsi="Times New Roman"/>
                <w:sz w:val="28"/>
                <w:szCs w:val="28"/>
              </w:rPr>
              <w:t xml:space="preserve">1 </w:t>
            </w:r>
            <w:r w:rsidR="001548A5"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1</w:t>
            </w:r>
            <w:r w:rsidR="001548A5" w:rsidRPr="006C3C9A">
              <w:rPr>
                <w:rFonts w:ascii="Times New Roman" w:hAnsi="Times New Roman"/>
                <w:sz w:val="28"/>
                <w:szCs w:val="28"/>
              </w:rPr>
              <w:t xml:space="preserve"> (</w:t>
            </w:r>
            <w:r w:rsidR="00864E99" w:rsidRPr="006C3C9A">
              <w:rPr>
                <w:rFonts w:ascii="Times New Roman" w:hAnsi="Times New Roman"/>
                <w:sz w:val="28"/>
                <w:szCs w:val="28"/>
              </w:rPr>
              <w:t>7.</w:t>
            </w:r>
            <w:r w:rsidRPr="006C3C9A">
              <w:rPr>
                <w:rFonts w:ascii="Times New Roman" w:hAnsi="Times New Roman"/>
                <w:sz w:val="28"/>
                <w:szCs w:val="28"/>
              </w:rPr>
              <w:t xml:space="preserve">1 </w:t>
            </w:r>
            <w:r w:rsidR="001548A5"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w:t>
            </w:r>
          </w:p>
        </w:tc>
        <w:tc>
          <w:tcPr>
            <w:tcW w:w="1864"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w:t>
            </w:r>
          </w:p>
        </w:tc>
      </w:tr>
      <w:tr w:rsidR="006C3C9A" w:rsidRPr="006C3C9A" w:rsidTr="005E3820">
        <w:tc>
          <w:tcPr>
            <w:tcW w:w="1900"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51-100</w:t>
            </w:r>
          </w:p>
        </w:tc>
        <w:tc>
          <w:tcPr>
            <w:tcW w:w="1858"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1</w:t>
            </w:r>
            <w:r w:rsidR="001548A5" w:rsidRPr="006C3C9A">
              <w:rPr>
                <w:rFonts w:ascii="Times New Roman" w:hAnsi="Times New Roman"/>
                <w:sz w:val="28"/>
                <w:szCs w:val="28"/>
              </w:rPr>
              <w:t xml:space="preserve"> (</w:t>
            </w:r>
            <w:r w:rsidR="00864E99" w:rsidRPr="006C3C9A">
              <w:rPr>
                <w:rFonts w:ascii="Times New Roman" w:hAnsi="Times New Roman"/>
                <w:sz w:val="28"/>
                <w:szCs w:val="28"/>
              </w:rPr>
              <w:t>7.</w:t>
            </w:r>
            <w:r w:rsidRPr="006C3C9A">
              <w:rPr>
                <w:rFonts w:ascii="Times New Roman" w:hAnsi="Times New Roman"/>
                <w:sz w:val="28"/>
                <w:szCs w:val="28"/>
              </w:rPr>
              <w:t xml:space="preserve">1 </w:t>
            </w:r>
            <w:r w:rsidR="001548A5"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2</w:t>
            </w:r>
            <w:r w:rsidR="001548A5" w:rsidRPr="006C3C9A">
              <w:rPr>
                <w:rFonts w:ascii="Times New Roman" w:hAnsi="Times New Roman"/>
                <w:sz w:val="28"/>
                <w:szCs w:val="28"/>
              </w:rPr>
              <w:t xml:space="preserve"> (</w:t>
            </w:r>
            <w:r w:rsidRPr="006C3C9A">
              <w:rPr>
                <w:rFonts w:ascii="Times New Roman" w:hAnsi="Times New Roman"/>
                <w:sz w:val="28"/>
                <w:szCs w:val="28"/>
              </w:rPr>
              <w:t>14</w:t>
            </w:r>
            <w:r w:rsidR="00864E99" w:rsidRPr="006C3C9A">
              <w:rPr>
                <w:rFonts w:ascii="Times New Roman" w:hAnsi="Times New Roman"/>
                <w:sz w:val="28"/>
                <w:szCs w:val="28"/>
                <w:lang w:val="en-US"/>
              </w:rPr>
              <w:t>.</w:t>
            </w:r>
            <w:r w:rsidRPr="006C3C9A">
              <w:rPr>
                <w:rFonts w:ascii="Times New Roman" w:hAnsi="Times New Roman"/>
                <w:sz w:val="28"/>
                <w:szCs w:val="28"/>
              </w:rPr>
              <w:t xml:space="preserve">2 </w:t>
            </w:r>
            <w:r w:rsidR="001548A5"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1</w:t>
            </w:r>
            <w:r w:rsidR="001548A5" w:rsidRPr="006C3C9A">
              <w:rPr>
                <w:rFonts w:ascii="Times New Roman" w:hAnsi="Times New Roman"/>
                <w:sz w:val="28"/>
                <w:szCs w:val="28"/>
              </w:rPr>
              <w:t xml:space="preserve"> (</w:t>
            </w:r>
            <w:r w:rsidR="00864E99" w:rsidRPr="006C3C9A">
              <w:rPr>
                <w:rFonts w:ascii="Times New Roman" w:hAnsi="Times New Roman"/>
                <w:sz w:val="28"/>
                <w:szCs w:val="28"/>
              </w:rPr>
              <w:t>7.</w:t>
            </w:r>
            <w:r w:rsidRPr="006C3C9A">
              <w:rPr>
                <w:rFonts w:ascii="Times New Roman" w:hAnsi="Times New Roman"/>
                <w:sz w:val="28"/>
                <w:szCs w:val="28"/>
              </w:rPr>
              <w:t xml:space="preserve">1 </w:t>
            </w:r>
            <w:r w:rsidR="001548A5" w:rsidRPr="006C3C9A">
              <w:rPr>
                <w:rFonts w:ascii="Times New Roman" w:hAnsi="Times New Roman"/>
                <w:sz w:val="28"/>
                <w:szCs w:val="28"/>
              </w:rPr>
              <w:t>%)</w:t>
            </w:r>
          </w:p>
        </w:tc>
        <w:tc>
          <w:tcPr>
            <w:tcW w:w="1864"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w:t>
            </w:r>
          </w:p>
        </w:tc>
      </w:tr>
      <w:tr w:rsidR="006C3C9A" w:rsidRPr="006C3C9A" w:rsidTr="005E3820">
        <w:tc>
          <w:tcPr>
            <w:tcW w:w="1900"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101-200</w:t>
            </w:r>
          </w:p>
        </w:tc>
        <w:tc>
          <w:tcPr>
            <w:tcW w:w="1858"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2</w:t>
            </w:r>
            <w:r w:rsidR="001548A5" w:rsidRPr="006C3C9A">
              <w:rPr>
                <w:rFonts w:ascii="Times New Roman" w:hAnsi="Times New Roman"/>
                <w:sz w:val="28"/>
                <w:szCs w:val="28"/>
              </w:rPr>
              <w:t xml:space="preserve"> (</w:t>
            </w:r>
            <w:r w:rsidR="00864E99" w:rsidRPr="006C3C9A">
              <w:rPr>
                <w:rFonts w:ascii="Times New Roman" w:hAnsi="Times New Roman"/>
                <w:sz w:val="28"/>
                <w:szCs w:val="28"/>
              </w:rPr>
              <w:t>14.</w:t>
            </w:r>
            <w:r w:rsidRPr="006C3C9A">
              <w:rPr>
                <w:rFonts w:ascii="Times New Roman" w:hAnsi="Times New Roman"/>
                <w:sz w:val="28"/>
                <w:szCs w:val="28"/>
              </w:rPr>
              <w:t xml:space="preserve">2 </w:t>
            </w:r>
            <w:r w:rsidR="001548A5"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1</w:t>
            </w:r>
            <w:r w:rsidR="001548A5" w:rsidRPr="006C3C9A">
              <w:rPr>
                <w:rFonts w:ascii="Times New Roman" w:hAnsi="Times New Roman"/>
                <w:sz w:val="28"/>
                <w:szCs w:val="28"/>
              </w:rPr>
              <w:t xml:space="preserve"> (</w:t>
            </w:r>
            <w:r w:rsidR="00864E99" w:rsidRPr="006C3C9A">
              <w:rPr>
                <w:rFonts w:ascii="Times New Roman" w:hAnsi="Times New Roman"/>
                <w:sz w:val="28"/>
                <w:szCs w:val="28"/>
              </w:rPr>
              <w:t>7.</w:t>
            </w:r>
            <w:r w:rsidRPr="006C3C9A">
              <w:rPr>
                <w:rFonts w:ascii="Times New Roman" w:hAnsi="Times New Roman"/>
                <w:sz w:val="28"/>
                <w:szCs w:val="28"/>
              </w:rPr>
              <w:t xml:space="preserve">1 </w:t>
            </w:r>
            <w:r w:rsidR="001548A5" w:rsidRPr="006C3C9A">
              <w:rPr>
                <w:rFonts w:ascii="Times New Roman" w:hAnsi="Times New Roman"/>
                <w:sz w:val="28"/>
                <w:szCs w:val="28"/>
              </w:rPr>
              <w:t>%)</w:t>
            </w:r>
          </w:p>
        </w:tc>
        <w:tc>
          <w:tcPr>
            <w:tcW w:w="1864"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w:t>
            </w:r>
          </w:p>
        </w:tc>
      </w:tr>
      <w:tr w:rsidR="006C3C9A" w:rsidRPr="006C3C9A" w:rsidTr="005E3820">
        <w:tc>
          <w:tcPr>
            <w:tcW w:w="1900" w:type="dxa"/>
          </w:tcPr>
          <w:p w:rsidR="001548A5" w:rsidRPr="006C3C9A" w:rsidRDefault="001548A5" w:rsidP="00E35879">
            <w:pPr>
              <w:jc w:val="center"/>
              <w:rPr>
                <w:rFonts w:ascii="Times New Roman" w:hAnsi="Times New Roman"/>
                <w:sz w:val="28"/>
                <w:szCs w:val="28"/>
              </w:rPr>
            </w:pPr>
            <w:r w:rsidRPr="006C3C9A">
              <w:rPr>
                <w:rFonts w:ascii="Times New Roman" w:hAnsi="Times New Roman"/>
                <w:sz w:val="28"/>
                <w:szCs w:val="28"/>
              </w:rPr>
              <w:t>&gt; 200</w:t>
            </w:r>
          </w:p>
        </w:tc>
        <w:tc>
          <w:tcPr>
            <w:tcW w:w="1858"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w:t>
            </w:r>
          </w:p>
        </w:tc>
        <w:tc>
          <w:tcPr>
            <w:tcW w:w="1862" w:type="dxa"/>
            <w:vAlign w:val="center"/>
          </w:tcPr>
          <w:p w:rsidR="001548A5" w:rsidRPr="006C3C9A" w:rsidRDefault="00864E99" w:rsidP="00E35879">
            <w:pPr>
              <w:jc w:val="center"/>
              <w:rPr>
                <w:rFonts w:ascii="Times New Roman" w:hAnsi="Times New Roman"/>
                <w:sz w:val="28"/>
                <w:szCs w:val="28"/>
              </w:rPr>
            </w:pPr>
            <w:r w:rsidRPr="006C3C9A">
              <w:rPr>
                <w:rFonts w:ascii="Times New Roman" w:hAnsi="Times New Roman"/>
                <w:sz w:val="28"/>
                <w:szCs w:val="28"/>
              </w:rPr>
              <w:t>2 (14.</w:t>
            </w:r>
            <w:r w:rsidR="009E0F09" w:rsidRPr="006C3C9A">
              <w:rPr>
                <w:rFonts w:ascii="Times New Roman" w:hAnsi="Times New Roman"/>
                <w:sz w:val="28"/>
                <w:szCs w:val="28"/>
              </w:rPr>
              <w:t xml:space="preserve">2 </w:t>
            </w:r>
            <w:r w:rsidR="001548A5" w:rsidRPr="006C3C9A">
              <w:rPr>
                <w:rFonts w:ascii="Times New Roman" w:hAnsi="Times New Roman"/>
                <w:sz w:val="28"/>
                <w:szCs w:val="28"/>
              </w:rPr>
              <w:t>%)</w:t>
            </w:r>
          </w:p>
        </w:tc>
        <w:tc>
          <w:tcPr>
            <w:tcW w:w="1862"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2</w:t>
            </w:r>
            <w:r w:rsidR="001548A5" w:rsidRPr="006C3C9A">
              <w:rPr>
                <w:rFonts w:ascii="Times New Roman" w:hAnsi="Times New Roman"/>
                <w:sz w:val="28"/>
                <w:szCs w:val="28"/>
              </w:rPr>
              <w:t xml:space="preserve"> (</w:t>
            </w:r>
            <w:r w:rsidRPr="006C3C9A">
              <w:rPr>
                <w:rFonts w:ascii="Times New Roman" w:hAnsi="Times New Roman"/>
                <w:sz w:val="28"/>
                <w:szCs w:val="28"/>
              </w:rPr>
              <w:t>14</w:t>
            </w:r>
            <w:r w:rsidR="00864E99" w:rsidRPr="006C3C9A">
              <w:rPr>
                <w:rFonts w:ascii="Times New Roman" w:hAnsi="Times New Roman"/>
                <w:sz w:val="28"/>
                <w:szCs w:val="28"/>
                <w:lang w:val="en-US"/>
              </w:rPr>
              <w:t>.</w:t>
            </w:r>
            <w:r w:rsidRPr="006C3C9A">
              <w:rPr>
                <w:rFonts w:ascii="Times New Roman" w:hAnsi="Times New Roman"/>
                <w:sz w:val="28"/>
                <w:szCs w:val="28"/>
              </w:rPr>
              <w:t xml:space="preserve">2 </w:t>
            </w:r>
            <w:r w:rsidR="001548A5" w:rsidRPr="006C3C9A">
              <w:rPr>
                <w:rFonts w:ascii="Times New Roman" w:hAnsi="Times New Roman"/>
                <w:sz w:val="28"/>
                <w:szCs w:val="28"/>
              </w:rPr>
              <w:t>%)</w:t>
            </w:r>
          </w:p>
        </w:tc>
        <w:tc>
          <w:tcPr>
            <w:tcW w:w="1864" w:type="dxa"/>
            <w:vAlign w:val="center"/>
          </w:tcPr>
          <w:p w:rsidR="001548A5" w:rsidRPr="006C3C9A" w:rsidRDefault="009E0F09" w:rsidP="00E35879">
            <w:pPr>
              <w:jc w:val="center"/>
              <w:rPr>
                <w:rFonts w:ascii="Times New Roman" w:hAnsi="Times New Roman"/>
                <w:sz w:val="28"/>
                <w:szCs w:val="28"/>
              </w:rPr>
            </w:pPr>
            <w:r w:rsidRPr="006C3C9A">
              <w:rPr>
                <w:rFonts w:ascii="Times New Roman" w:hAnsi="Times New Roman"/>
                <w:sz w:val="28"/>
                <w:szCs w:val="28"/>
              </w:rPr>
              <w:t xml:space="preserve">1 </w:t>
            </w:r>
            <w:r w:rsidR="001548A5" w:rsidRPr="006C3C9A">
              <w:rPr>
                <w:rFonts w:ascii="Times New Roman" w:hAnsi="Times New Roman"/>
                <w:sz w:val="28"/>
                <w:szCs w:val="28"/>
              </w:rPr>
              <w:t>(</w:t>
            </w:r>
            <w:r w:rsidR="00864E99" w:rsidRPr="006C3C9A">
              <w:rPr>
                <w:rFonts w:ascii="Times New Roman" w:hAnsi="Times New Roman"/>
                <w:sz w:val="28"/>
                <w:szCs w:val="28"/>
              </w:rPr>
              <w:t>7.</w:t>
            </w:r>
            <w:r w:rsidRPr="006C3C9A">
              <w:rPr>
                <w:rFonts w:ascii="Times New Roman" w:hAnsi="Times New Roman"/>
                <w:sz w:val="28"/>
                <w:szCs w:val="28"/>
              </w:rPr>
              <w:t xml:space="preserve">1 </w:t>
            </w:r>
            <w:r w:rsidR="001548A5" w:rsidRPr="006C3C9A">
              <w:rPr>
                <w:rFonts w:ascii="Times New Roman" w:hAnsi="Times New Roman"/>
                <w:sz w:val="28"/>
                <w:szCs w:val="28"/>
              </w:rPr>
              <w:t>%)</w:t>
            </w:r>
          </w:p>
        </w:tc>
      </w:tr>
    </w:tbl>
    <w:p w:rsidR="0039009E" w:rsidRDefault="0039009E" w:rsidP="005E3820">
      <w:pPr>
        <w:pStyle w:val="a7"/>
        <w:spacing w:after="0" w:line="360" w:lineRule="auto"/>
        <w:ind w:left="851"/>
        <w:jc w:val="both"/>
        <w:rPr>
          <w:rFonts w:ascii="Times New Roman" w:eastAsia="Times New Roman" w:hAnsi="Times New Roman"/>
          <w:sz w:val="28"/>
          <w:szCs w:val="28"/>
          <w:lang w:val="ru-RU" w:eastAsia="uk-UA"/>
        </w:rPr>
      </w:pP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The data received allowed determining a directly proportional connection between the value of </w:t>
      </w:r>
      <w:proofErr w:type="spellStart"/>
      <w:r w:rsidRPr="006C3C9A">
        <w:rPr>
          <w:rFonts w:ascii="Times New Roman" w:eastAsia="Times New Roman" w:hAnsi="Times New Roman"/>
          <w:sz w:val="28"/>
          <w:szCs w:val="28"/>
          <w:lang w:val="en-US" w:eastAsia="uk-UA"/>
        </w:rPr>
        <w:t>biliary</w:t>
      </w:r>
      <w:proofErr w:type="spellEnd"/>
      <w:r w:rsidRPr="006C3C9A">
        <w:rPr>
          <w:rFonts w:ascii="Times New Roman" w:eastAsia="Times New Roman" w:hAnsi="Times New Roman"/>
          <w:sz w:val="28"/>
          <w:szCs w:val="28"/>
          <w:lang w:val="en-US" w:eastAsia="uk-UA"/>
        </w:rPr>
        <w:t xml:space="preserve"> pressure and the level of </w:t>
      </w:r>
      <w:proofErr w:type="spellStart"/>
      <w:r w:rsidRPr="006C3C9A">
        <w:rPr>
          <w:rFonts w:ascii="Times New Roman" w:eastAsia="Times New Roman" w:hAnsi="Times New Roman"/>
          <w:sz w:val="28"/>
          <w:szCs w:val="28"/>
          <w:lang w:val="en-US" w:eastAsia="uk-UA"/>
        </w:rPr>
        <w:t>bilirubin</w:t>
      </w:r>
      <w:proofErr w:type="spellEnd"/>
      <w:r w:rsidRPr="006C3C9A">
        <w:rPr>
          <w:rFonts w:ascii="Times New Roman" w:eastAsia="Times New Roman" w:hAnsi="Times New Roman"/>
          <w:sz w:val="28"/>
          <w:szCs w:val="28"/>
          <w:lang w:val="en-US" w:eastAsia="uk-UA"/>
        </w:rPr>
        <w:t xml:space="preserve"> in blood serum. The higher is the </w:t>
      </w:r>
      <w:proofErr w:type="spellStart"/>
      <w:r w:rsidRPr="006C3C9A">
        <w:rPr>
          <w:rFonts w:ascii="Times New Roman" w:eastAsia="Times New Roman" w:hAnsi="Times New Roman"/>
          <w:sz w:val="28"/>
          <w:szCs w:val="28"/>
          <w:lang w:val="en-US" w:eastAsia="uk-UA"/>
        </w:rPr>
        <w:t>biliary</w:t>
      </w:r>
      <w:proofErr w:type="spellEnd"/>
      <w:r w:rsidRPr="006C3C9A">
        <w:rPr>
          <w:rFonts w:ascii="Times New Roman" w:eastAsia="Times New Roman" w:hAnsi="Times New Roman"/>
          <w:sz w:val="28"/>
          <w:szCs w:val="28"/>
          <w:lang w:val="en-US" w:eastAsia="uk-UA"/>
        </w:rPr>
        <w:t xml:space="preserve"> pressure, the more manifest is the </w:t>
      </w:r>
      <w:proofErr w:type="spellStart"/>
      <w:r w:rsidRPr="006C3C9A">
        <w:rPr>
          <w:rFonts w:ascii="Times New Roman" w:eastAsia="Times New Roman" w:hAnsi="Times New Roman"/>
          <w:sz w:val="28"/>
          <w:szCs w:val="28"/>
          <w:lang w:val="en-US" w:eastAsia="uk-UA"/>
        </w:rPr>
        <w:t>hyperbilirubinemia</w:t>
      </w:r>
      <w:proofErr w:type="spellEnd"/>
      <w:r w:rsidRPr="006C3C9A">
        <w:rPr>
          <w:rFonts w:ascii="Times New Roman" w:eastAsia="Times New Roman" w:hAnsi="Times New Roman"/>
          <w:sz w:val="28"/>
          <w:szCs w:val="28"/>
          <w:lang w:val="en-US" w:eastAsia="uk-UA"/>
        </w:rPr>
        <w:t xml:space="preserve">. </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Our experience of surgical treatment of 163 patients with complicated forms of CP allowed determining that BH with underlying other manifestations of CP is an absolute indication for surgical treatment. An essential condition for determining the surgical indications is a stable clinical picture and manifest </w:t>
      </w:r>
      <w:proofErr w:type="spellStart"/>
      <w:r w:rsidRPr="006C3C9A">
        <w:rPr>
          <w:rFonts w:ascii="Times New Roman" w:eastAsia="Times New Roman" w:hAnsi="Times New Roman"/>
          <w:sz w:val="28"/>
          <w:szCs w:val="28"/>
          <w:lang w:val="en-US" w:eastAsia="uk-UA"/>
        </w:rPr>
        <w:t>pathomorphological</w:t>
      </w:r>
      <w:proofErr w:type="spellEnd"/>
      <w:r w:rsidRPr="006C3C9A">
        <w:rPr>
          <w:rFonts w:ascii="Times New Roman" w:eastAsia="Times New Roman" w:hAnsi="Times New Roman"/>
          <w:sz w:val="28"/>
          <w:szCs w:val="28"/>
          <w:lang w:val="en-US" w:eastAsia="uk-UA"/>
        </w:rPr>
        <w:t xml:space="preserve"> changes in the pancreas. The progress of pathological changes in the head of the pancreas facilitates the spread of the process to the terminal division of the common bile duct with the development of tubular </w:t>
      </w:r>
      <w:proofErr w:type="spellStart"/>
      <w:r w:rsidRPr="006C3C9A">
        <w:rPr>
          <w:rFonts w:ascii="Times New Roman" w:eastAsia="Times New Roman" w:hAnsi="Times New Roman"/>
          <w:sz w:val="28"/>
          <w:szCs w:val="28"/>
          <w:lang w:val="en-US" w:eastAsia="uk-UA"/>
        </w:rPr>
        <w:t>stenosis</w:t>
      </w:r>
      <w:proofErr w:type="spellEnd"/>
      <w:r w:rsidRPr="006C3C9A">
        <w:rPr>
          <w:rFonts w:ascii="Times New Roman" w:eastAsia="Times New Roman" w:hAnsi="Times New Roman"/>
          <w:sz w:val="28"/>
          <w:szCs w:val="28"/>
          <w:lang w:val="en-US" w:eastAsia="uk-UA"/>
        </w:rPr>
        <w:t xml:space="preserve">. The presence of </w:t>
      </w:r>
      <w:proofErr w:type="spellStart"/>
      <w:r w:rsidRPr="006C3C9A">
        <w:rPr>
          <w:rFonts w:ascii="Times New Roman" w:eastAsia="Times New Roman" w:hAnsi="Times New Roman"/>
          <w:sz w:val="28"/>
          <w:szCs w:val="28"/>
          <w:lang w:val="en-US" w:eastAsia="uk-UA"/>
        </w:rPr>
        <w:t>concrements</w:t>
      </w:r>
      <w:proofErr w:type="spellEnd"/>
      <w:r w:rsidRPr="006C3C9A">
        <w:rPr>
          <w:rFonts w:ascii="Times New Roman" w:eastAsia="Times New Roman" w:hAnsi="Times New Roman"/>
          <w:sz w:val="28"/>
          <w:szCs w:val="28"/>
          <w:lang w:val="en-US" w:eastAsia="uk-UA"/>
        </w:rPr>
        <w:t xml:space="preserve"> in the main pancreatic duct is not a reason of BH development by itself. However, </w:t>
      </w:r>
      <w:proofErr w:type="spellStart"/>
      <w:r w:rsidRPr="006C3C9A">
        <w:rPr>
          <w:rFonts w:ascii="Times New Roman" w:eastAsia="Times New Roman" w:hAnsi="Times New Roman"/>
          <w:sz w:val="28"/>
          <w:szCs w:val="28"/>
          <w:lang w:val="en-US" w:eastAsia="uk-UA"/>
        </w:rPr>
        <w:t>Wirsung’s</w:t>
      </w:r>
      <w:proofErr w:type="spellEnd"/>
      <w:r w:rsidRPr="006C3C9A">
        <w:rPr>
          <w:rFonts w:ascii="Times New Roman" w:eastAsia="Times New Roman" w:hAnsi="Times New Roman"/>
          <w:sz w:val="28"/>
          <w:szCs w:val="28"/>
          <w:lang w:val="en-US" w:eastAsia="uk-UA"/>
        </w:rPr>
        <w:t xml:space="preserve"> duct </w:t>
      </w:r>
      <w:proofErr w:type="spellStart"/>
      <w:r w:rsidRPr="006C3C9A">
        <w:rPr>
          <w:rFonts w:ascii="Times New Roman" w:eastAsia="Times New Roman" w:hAnsi="Times New Roman"/>
          <w:sz w:val="28"/>
          <w:szCs w:val="28"/>
          <w:lang w:val="en-US" w:eastAsia="uk-UA"/>
        </w:rPr>
        <w:t>lithiasis</w:t>
      </w:r>
      <w:proofErr w:type="spellEnd"/>
      <w:r w:rsidRPr="006C3C9A">
        <w:rPr>
          <w:rFonts w:ascii="Times New Roman" w:eastAsia="Times New Roman" w:hAnsi="Times New Roman"/>
          <w:sz w:val="28"/>
          <w:szCs w:val="28"/>
          <w:lang w:val="en-US" w:eastAsia="uk-UA"/>
        </w:rPr>
        <w:t xml:space="preserve"> contributes to the progress of CP and appearance of other complications. Therefore, a combination of the </w:t>
      </w:r>
      <w:proofErr w:type="spellStart"/>
      <w:r w:rsidRPr="006C3C9A">
        <w:rPr>
          <w:rFonts w:ascii="Times New Roman" w:eastAsia="Times New Roman" w:hAnsi="Times New Roman"/>
          <w:sz w:val="28"/>
          <w:szCs w:val="28"/>
          <w:lang w:val="en-US" w:eastAsia="uk-UA"/>
        </w:rPr>
        <w:t>Wirsung’s</w:t>
      </w:r>
      <w:proofErr w:type="spellEnd"/>
      <w:r w:rsidRPr="006C3C9A">
        <w:rPr>
          <w:rFonts w:ascii="Times New Roman" w:eastAsia="Times New Roman" w:hAnsi="Times New Roman"/>
          <w:sz w:val="28"/>
          <w:szCs w:val="28"/>
          <w:lang w:val="en-US" w:eastAsia="uk-UA"/>
        </w:rPr>
        <w:t xml:space="preserve"> duct </w:t>
      </w:r>
      <w:proofErr w:type="spellStart"/>
      <w:r w:rsidRPr="006C3C9A">
        <w:rPr>
          <w:rFonts w:ascii="Times New Roman" w:eastAsia="Times New Roman" w:hAnsi="Times New Roman"/>
          <w:sz w:val="28"/>
          <w:szCs w:val="28"/>
          <w:lang w:val="en-US" w:eastAsia="uk-UA"/>
        </w:rPr>
        <w:t>lithiasis</w:t>
      </w:r>
      <w:proofErr w:type="spellEnd"/>
      <w:r w:rsidRPr="006C3C9A">
        <w:rPr>
          <w:rFonts w:ascii="Times New Roman" w:eastAsia="Times New Roman" w:hAnsi="Times New Roman"/>
          <w:sz w:val="28"/>
          <w:szCs w:val="28"/>
          <w:lang w:val="en-US" w:eastAsia="uk-UA"/>
        </w:rPr>
        <w:t xml:space="preserve"> and BH is also an undeniable surgical indication in patients with CP.</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lastRenderedPageBreak/>
        <w:t xml:space="preserve">In some cases, fibrous-degenerative changes in the head of the pancreas or pancreatic </w:t>
      </w:r>
      <w:proofErr w:type="spellStart"/>
      <w:r w:rsidRPr="006C3C9A">
        <w:rPr>
          <w:rFonts w:ascii="Times New Roman" w:eastAsia="Times New Roman" w:hAnsi="Times New Roman"/>
          <w:sz w:val="28"/>
          <w:szCs w:val="28"/>
          <w:lang w:val="en-US" w:eastAsia="uk-UA"/>
        </w:rPr>
        <w:t>pseudotumor</w:t>
      </w:r>
      <w:proofErr w:type="spellEnd"/>
      <w:r w:rsidRPr="006C3C9A">
        <w:rPr>
          <w:rFonts w:ascii="Times New Roman" w:eastAsia="Times New Roman" w:hAnsi="Times New Roman"/>
          <w:sz w:val="28"/>
          <w:szCs w:val="28"/>
          <w:lang w:val="en-US" w:eastAsia="uk-UA"/>
        </w:rPr>
        <w:t xml:space="preserve"> with signs of BH stimulated the </w:t>
      </w:r>
      <w:proofErr w:type="spellStart"/>
      <w:r w:rsidRPr="006C3C9A">
        <w:rPr>
          <w:rFonts w:ascii="Times New Roman" w:eastAsia="Times New Roman" w:hAnsi="Times New Roman"/>
          <w:sz w:val="28"/>
          <w:szCs w:val="28"/>
          <w:lang w:val="en-US" w:eastAsia="uk-UA"/>
        </w:rPr>
        <w:t>tumorous</w:t>
      </w:r>
      <w:proofErr w:type="spellEnd"/>
      <w:r w:rsidRPr="006C3C9A">
        <w:rPr>
          <w:rFonts w:ascii="Times New Roman" w:eastAsia="Times New Roman" w:hAnsi="Times New Roman"/>
          <w:sz w:val="28"/>
          <w:szCs w:val="28"/>
          <w:lang w:val="en-US" w:eastAsia="uk-UA"/>
        </w:rPr>
        <w:t xml:space="preserve"> process of the head of the pancreas. Modern laboratory and instrumental methods of examination used at the preoperative stage do not always enable full exclusion of the malignant process. Therefore, one of the surgical indications was a suspected </w:t>
      </w:r>
      <w:proofErr w:type="spellStart"/>
      <w:r w:rsidRPr="006C3C9A">
        <w:rPr>
          <w:rFonts w:ascii="Times New Roman" w:eastAsia="Times New Roman" w:hAnsi="Times New Roman"/>
          <w:sz w:val="28"/>
          <w:szCs w:val="28"/>
          <w:lang w:val="en-US" w:eastAsia="uk-UA"/>
        </w:rPr>
        <w:t>tumorous</w:t>
      </w:r>
      <w:proofErr w:type="spellEnd"/>
      <w:r w:rsidRPr="006C3C9A">
        <w:rPr>
          <w:rFonts w:ascii="Times New Roman" w:eastAsia="Times New Roman" w:hAnsi="Times New Roman"/>
          <w:sz w:val="28"/>
          <w:szCs w:val="28"/>
          <w:lang w:val="en-US" w:eastAsia="uk-UA"/>
        </w:rPr>
        <w:t xml:space="preserve"> process in the head of the pancreas. </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During the preparation for surgical intervention, patients with CP accompanied by BH required complex personalized preoperative preparation. Not only pathological changes in the pancreas but also the general condition of patients, concomitant diseases, the degree of pathological changes in adjacent organs (liver, stomach, duodenum, etc.) should be taken into account.</w:t>
      </w:r>
    </w:p>
    <w:p w:rsidR="005E3820" w:rsidRPr="006C3C9A" w:rsidRDefault="00270B34" w:rsidP="0039009E">
      <w:pPr>
        <w:pStyle w:val="a7"/>
        <w:spacing w:after="0" w:line="360" w:lineRule="auto"/>
        <w:ind w:left="0" w:firstLine="709"/>
        <w:jc w:val="both"/>
        <w:rPr>
          <w:rFonts w:ascii="Times New Roman" w:eastAsia="Times New Roman" w:hAnsi="Times New Roman"/>
          <w:sz w:val="28"/>
          <w:szCs w:val="28"/>
          <w:lang w:val="en-US" w:eastAsia="uk-UA"/>
        </w:rPr>
      </w:pPr>
      <w:r>
        <w:rPr>
          <w:rFonts w:ascii="Times New Roman" w:eastAsia="Times New Roman" w:hAnsi="Times New Roman"/>
          <w:sz w:val="28"/>
          <w:szCs w:val="28"/>
          <w:lang w:val="en-US" w:eastAsia="uk-UA"/>
        </w:rPr>
        <w:t xml:space="preserve"> </w:t>
      </w:r>
      <w:r w:rsidR="005E3820" w:rsidRPr="006C3C9A">
        <w:rPr>
          <w:rFonts w:ascii="Times New Roman" w:eastAsia="Times New Roman" w:hAnsi="Times New Roman"/>
          <w:sz w:val="28"/>
          <w:szCs w:val="28"/>
          <w:lang w:val="en-US" w:eastAsia="uk-UA"/>
        </w:rPr>
        <w:t>General principles of preoperative preparation included:</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 </w:t>
      </w:r>
      <w:proofErr w:type="gramStart"/>
      <w:r w:rsidRPr="006C3C9A">
        <w:rPr>
          <w:rFonts w:ascii="Times New Roman" w:eastAsia="Times New Roman" w:hAnsi="Times New Roman"/>
          <w:sz w:val="28"/>
          <w:szCs w:val="28"/>
          <w:lang w:val="en-US" w:eastAsia="uk-UA"/>
        </w:rPr>
        <w:t>elimination</w:t>
      </w:r>
      <w:proofErr w:type="gramEnd"/>
      <w:r w:rsidRPr="006C3C9A">
        <w:rPr>
          <w:rFonts w:ascii="Times New Roman" w:eastAsia="Times New Roman" w:hAnsi="Times New Roman"/>
          <w:sz w:val="28"/>
          <w:szCs w:val="28"/>
          <w:lang w:val="en-US" w:eastAsia="uk-UA"/>
        </w:rPr>
        <w:t xml:space="preserve"> of pain syndrome;</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 </w:t>
      </w:r>
      <w:proofErr w:type="gramStart"/>
      <w:r w:rsidRPr="006C3C9A">
        <w:rPr>
          <w:rFonts w:ascii="Times New Roman" w:eastAsia="Times New Roman" w:hAnsi="Times New Roman"/>
          <w:sz w:val="28"/>
          <w:szCs w:val="28"/>
          <w:lang w:val="en-US" w:eastAsia="uk-UA"/>
        </w:rPr>
        <w:t>restoration</w:t>
      </w:r>
      <w:proofErr w:type="gramEnd"/>
      <w:r w:rsidRPr="006C3C9A">
        <w:rPr>
          <w:rFonts w:ascii="Times New Roman" w:eastAsia="Times New Roman" w:hAnsi="Times New Roman"/>
          <w:sz w:val="28"/>
          <w:szCs w:val="28"/>
          <w:lang w:val="en-US" w:eastAsia="uk-UA"/>
        </w:rPr>
        <w:t xml:space="preserve"> of </w:t>
      </w:r>
      <w:proofErr w:type="spellStart"/>
      <w:r w:rsidRPr="006C3C9A">
        <w:rPr>
          <w:rFonts w:ascii="Times New Roman" w:eastAsia="Times New Roman" w:hAnsi="Times New Roman"/>
          <w:sz w:val="28"/>
          <w:szCs w:val="28"/>
          <w:lang w:val="en-US" w:eastAsia="uk-UA"/>
        </w:rPr>
        <w:t>hemostasis</w:t>
      </w:r>
      <w:proofErr w:type="spellEnd"/>
      <w:r w:rsidRPr="006C3C9A">
        <w:rPr>
          <w:rFonts w:ascii="Times New Roman" w:eastAsia="Times New Roman" w:hAnsi="Times New Roman"/>
          <w:sz w:val="28"/>
          <w:szCs w:val="28"/>
          <w:lang w:val="en-US" w:eastAsia="uk-UA"/>
        </w:rPr>
        <w:t xml:space="preserve"> indicators;</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 </w:t>
      </w:r>
      <w:proofErr w:type="gramStart"/>
      <w:r w:rsidRPr="006C3C9A">
        <w:rPr>
          <w:rFonts w:ascii="Times New Roman" w:eastAsia="Times New Roman" w:hAnsi="Times New Roman"/>
          <w:sz w:val="28"/>
          <w:szCs w:val="28"/>
          <w:lang w:val="en-US" w:eastAsia="uk-UA"/>
        </w:rPr>
        <w:t>prevention</w:t>
      </w:r>
      <w:proofErr w:type="gramEnd"/>
      <w:r w:rsidRPr="006C3C9A">
        <w:rPr>
          <w:rFonts w:ascii="Times New Roman" w:eastAsia="Times New Roman" w:hAnsi="Times New Roman"/>
          <w:sz w:val="28"/>
          <w:szCs w:val="28"/>
          <w:lang w:val="en-US" w:eastAsia="uk-UA"/>
        </w:rPr>
        <w:t xml:space="preserve"> of acute inflammatory changes in the pancreas;</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 </w:t>
      </w:r>
      <w:proofErr w:type="gramStart"/>
      <w:r w:rsidRPr="006C3C9A">
        <w:rPr>
          <w:rFonts w:ascii="Times New Roman" w:eastAsia="Times New Roman" w:hAnsi="Times New Roman"/>
          <w:sz w:val="28"/>
          <w:szCs w:val="28"/>
          <w:lang w:val="en-US" w:eastAsia="uk-UA"/>
        </w:rPr>
        <w:t>prevention</w:t>
      </w:r>
      <w:proofErr w:type="gramEnd"/>
      <w:r w:rsidRPr="006C3C9A">
        <w:rPr>
          <w:rFonts w:ascii="Times New Roman" w:eastAsia="Times New Roman" w:hAnsi="Times New Roman"/>
          <w:sz w:val="28"/>
          <w:szCs w:val="28"/>
          <w:lang w:val="en-US" w:eastAsia="uk-UA"/>
        </w:rPr>
        <w:t xml:space="preserve"> of possible complications in regard to other organs and systems.</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proofErr w:type="spellStart"/>
      <w:r w:rsidRPr="006C3C9A">
        <w:rPr>
          <w:rFonts w:ascii="Times New Roman" w:eastAsia="Times New Roman" w:hAnsi="Times New Roman"/>
          <w:sz w:val="28"/>
          <w:szCs w:val="28"/>
          <w:lang w:val="en-US" w:eastAsia="uk-UA"/>
        </w:rPr>
        <w:t>Perioperative</w:t>
      </w:r>
      <w:proofErr w:type="spellEnd"/>
      <w:r w:rsidRPr="006C3C9A">
        <w:rPr>
          <w:rFonts w:ascii="Times New Roman" w:eastAsia="Times New Roman" w:hAnsi="Times New Roman"/>
          <w:sz w:val="28"/>
          <w:szCs w:val="28"/>
          <w:lang w:val="en-US" w:eastAsia="uk-UA"/>
        </w:rPr>
        <w:t xml:space="preserve"> management of CP patients with obstructive jaundice presupposed correction of a number of specific abnormalities related to chronic pancreatitis and complications of </w:t>
      </w:r>
      <w:proofErr w:type="spellStart"/>
      <w:r w:rsidRPr="006C3C9A">
        <w:rPr>
          <w:rFonts w:ascii="Times New Roman" w:eastAsia="Times New Roman" w:hAnsi="Times New Roman"/>
          <w:sz w:val="28"/>
          <w:szCs w:val="28"/>
          <w:lang w:val="en-US" w:eastAsia="uk-UA"/>
        </w:rPr>
        <w:t>cholaemia</w:t>
      </w:r>
      <w:proofErr w:type="spellEnd"/>
      <w:r w:rsidRPr="006C3C9A">
        <w:rPr>
          <w:rFonts w:ascii="Times New Roman" w:eastAsia="Times New Roman" w:hAnsi="Times New Roman"/>
          <w:sz w:val="28"/>
          <w:szCs w:val="28"/>
          <w:lang w:val="en-US" w:eastAsia="uk-UA"/>
        </w:rPr>
        <w:t xml:space="preserve">. </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The level of blood albumin does not reflect the patient’s nutritional status. However, preoperative </w:t>
      </w:r>
      <w:proofErr w:type="spellStart"/>
      <w:r w:rsidRPr="006C3C9A">
        <w:rPr>
          <w:rFonts w:ascii="Times New Roman" w:eastAsia="Times New Roman" w:hAnsi="Times New Roman"/>
          <w:sz w:val="28"/>
          <w:szCs w:val="28"/>
          <w:lang w:val="en-US" w:eastAsia="uk-UA"/>
        </w:rPr>
        <w:t>hypoalbuminemia</w:t>
      </w:r>
      <w:proofErr w:type="spellEnd"/>
      <w:r w:rsidRPr="006C3C9A">
        <w:rPr>
          <w:rFonts w:ascii="Times New Roman" w:eastAsia="Times New Roman" w:hAnsi="Times New Roman"/>
          <w:sz w:val="28"/>
          <w:szCs w:val="28"/>
          <w:lang w:val="en-US" w:eastAsia="uk-UA"/>
        </w:rPr>
        <w:t xml:space="preserve"> (&lt;40 g/l) has a clear correlation with postoperative complications [8, 9]. Therefore, surgical intervention was postponed by 10-14 days for correction of the nutritional status in cases where at least one of the following criteria was found: </w:t>
      </w:r>
      <w:proofErr w:type="spellStart"/>
      <w:r w:rsidRPr="006C3C9A">
        <w:rPr>
          <w:rFonts w:ascii="Times New Roman" w:eastAsia="Times New Roman" w:hAnsi="Times New Roman"/>
          <w:sz w:val="28"/>
          <w:szCs w:val="28"/>
          <w:lang w:val="en-US" w:eastAsia="uk-UA"/>
        </w:rPr>
        <w:t>hypoalbuminemia</w:t>
      </w:r>
      <w:proofErr w:type="spellEnd"/>
      <w:r w:rsidRPr="006C3C9A">
        <w:rPr>
          <w:rFonts w:ascii="Times New Roman" w:eastAsia="Times New Roman" w:hAnsi="Times New Roman"/>
          <w:sz w:val="28"/>
          <w:szCs w:val="28"/>
          <w:lang w:val="en-US" w:eastAsia="uk-UA"/>
        </w:rPr>
        <w:t xml:space="preserve"> &lt; 30 g/l, body-weight index &lt; 18.5 kg/m2, body weight loss over 6 months exceeded 10-15 % [11]. Wherever it was impossible to apply adequate </w:t>
      </w:r>
      <w:proofErr w:type="spellStart"/>
      <w:r w:rsidRPr="006C3C9A">
        <w:rPr>
          <w:rFonts w:ascii="Times New Roman" w:eastAsia="Times New Roman" w:hAnsi="Times New Roman"/>
          <w:sz w:val="28"/>
          <w:szCs w:val="28"/>
          <w:lang w:val="en-US" w:eastAsia="uk-UA"/>
        </w:rPr>
        <w:t>enteral</w:t>
      </w:r>
      <w:proofErr w:type="spellEnd"/>
      <w:r w:rsidRPr="006C3C9A">
        <w:rPr>
          <w:rFonts w:ascii="Times New Roman" w:eastAsia="Times New Roman" w:hAnsi="Times New Roman"/>
          <w:sz w:val="28"/>
          <w:szCs w:val="28"/>
          <w:lang w:val="en-US" w:eastAsia="uk-UA"/>
        </w:rPr>
        <w:t xml:space="preserve"> feeding, </w:t>
      </w:r>
      <w:proofErr w:type="spellStart"/>
      <w:r w:rsidRPr="006C3C9A">
        <w:rPr>
          <w:rFonts w:ascii="Times New Roman" w:eastAsia="Times New Roman" w:hAnsi="Times New Roman"/>
          <w:sz w:val="28"/>
          <w:szCs w:val="28"/>
          <w:lang w:val="en-US" w:eastAsia="uk-UA"/>
        </w:rPr>
        <w:t>parenteral</w:t>
      </w:r>
      <w:proofErr w:type="spellEnd"/>
      <w:r w:rsidRPr="006C3C9A">
        <w:rPr>
          <w:rFonts w:ascii="Times New Roman" w:eastAsia="Times New Roman" w:hAnsi="Times New Roman"/>
          <w:sz w:val="28"/>
          <w:szCs w:val="28"/>
          <w:lang w:val="en-US" w:eastAsia="uk-UA"/>
        </w:rPr>
        <w:t xml:space="preserve"> feeding (“three-in-one” systems: “</w:t>
      </w:r>
      <w:proofErr w:type="spellStart"/>
      <w:r w:rsidRPr="006C3C9A">
        <w:rPr>
          <w:rFonts w:ascii="Times New Roman" w:eastAsia="Times New Roman" w:hAnsi="Times New Roman"/>
          <w:sz w:val="28"/>
          <w:szCs w:val="28"/>
          <w:lang w:val="en-US" w:eastAsia="uk-UA"/>
        </w:rPr>
        <w:t>Kabiven</w:t>
      </w:r>
      <w:proofErr w:type="spellEnd"/>
      <w:r w:rsidRPr="006C3C9A">
        <w:rPr>
          <w:rFonts w:ascii="Times New Roman" w:eastAsia="Times New Roman" w:hAnsi="Times New Roman"/>
          <w:sz w:val="28"/>
          <w:szCs w:val="28"/>
          <w:lang w:val="en-US" w:eastAsia="uk-UA"/>
        </w:rPr>
        <w:t>” and “</w:t>
      </w:r>
      <w:proofErr w:type="spellStart"/>
      <w:r w:rsidRPr="006C3C9A">
        <w:rPr>
          <w:rFonts w:ascii="Times New Roman" w:eastAsia="Times New Roman" w:hAnsi="Times New Roman"/>
          <w:sz w:val="28"/>
          <w:szCs w:val="28"/>
          <w:lang w:val="en-US" w:eastAsia="uk-UA"/>
        </w:rPr>
        <w:t>Oliclinomel</w:t>
      </w:r>
      <w:proofErr w:type="spellEnd"/>
      <w:r w:rsidRPr="006C3C9A">
        <w:rPr>
          <w:rFonts w:ascii="Times New Roman" w:eastAsia="Times New Roman" w:hAnsi="Times New Roman"/>
          <w:sz w:val="28"/>
          <w:szCs w:val="28"/>
          <w:lang w:val="en-US" w:eastAsia="uk-UA"/>
        </w:rPr>
        <w:t xml:space="preserve">”) was used. </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To prevent </w:t>
      </w:r>
      <w:proofErr w:type="spellStart"/>
      <w:r w:rsidRPr="006C3C9A">
        <w:rPr>
          <w:rFonts w:ascii="Times New Roman" w:eastAsia="Times New Roman" w:hAnsi="Times New Roman"/>
          <w:sz w:val="28"/>
          <w:szCs w:val="28"/>
          <w:lang w:val="en-US" w:eastAsia="uk-UA"/>
        </w:rPr>
        <w:t>thromboembolic</w:t>
      </w:r>
      <w:proofErr w:type="spellEnd"/>
      <w:r w:rsidRPr="006C3C9A">
        <w:rPr>
          <w:rFonts w:ascii="Times New Roman" w:eastAsia="Times New Roman" w:hAnsi="Times New Roman"/>
          <w:sz w:val="28"/>
          <w:szCs w:val="28"/>
          <w:lang w:val="en-US" w:eastAsia="uk-UA"/>
        </w:rPr>
        <w:t xml:space="preserve"> episodes in high-risk patients, low molecular weight heparins were used; the first dose was prescribed 12 hours prior to the </w:t>
      </w:r>
      <w:r w:rsidRPr="006C3C9A">
        <w:rPr>
          <w:rFonts w:ascii="Times New Roman" w:eastAsia="Times New Roman" w:hAnsi="Times New Roman"/>
          <w:sz w:val="28"/>
          <w:szCs w:val="28"/>
          <w:lang w:val="en-US" w:eastAsia="uk-UA"/>
        </w:rPr>
        <w:lastRenderedPageBreak/>
        <w:t xml:space="preserve">beginning of the surgery (which is associated with low risk of </w:t>
      </w:r>
      <w:proofErr w:type="spellStart"/>
      <w:r w:rsidRPr="006C3C9A">
        <w:rPr>
          <w:rFonts w:ascii="Times New Roman" w:eastAsia="Times New Roman" w:hAnsi="Times New Roman"/>
          <w:sz w:val="28"/>
          <w:szCs w:val="28"/>
          <w:lang w:val="en-US" w:eastAsia="uk-UA"/>
        </w:rPr>
        <w:t>intraoperative</w:t>
      </w:r>
      <w:proofErr w:type="spellEnd"/>
      <w:r w:rsidRPr="006C3C9A">
        <w:rPr>
          <w:rFonts w:ascii="Times New Roman" w:eastAsia="Times New Roman" w:hAnsi="Times New Roman"/>
          <w:sz w:val="28"/>
          <w:szCs w:val="28"/>
          <w:lang w:val="en-US" w:eastAsia="uk-UA"/>
        </w:rPr>
        <w:t xml:space="preserve"> hemorrhage). Pharmacological prevention decreases the risk of pulmonary embolism in surgical patients by 75 % [7].</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It was considered that maintenance of </w:t>
      </w:r>
      <w:proofErr w:type="spellStart"/>
      <w:r w:rsidRPr="006C3C9A">
        <w:rPr>
          <w:rFonts w:ascii="Times New Roman" w:eastAsia="Times New Roman" w:hAnsi="Times New Roman"/>
          <w:sz w:val="28"/>
          <w:szCs w:val="28"/>
          <w:lang w:val="en-US" w:eastAsia="uk-UA"/>
        </w:rPr>
        <w:t>glycemia</w:t>
      </w:r>
      <w:proofErr w:type="spellEnd"/>
      <w:r w:rsidRPr="006C3C9A">
        <w:rPr>
          <w:rFonts w:ascii="Times New Roman" w:eastAsia="Times New Roman" w:hAnsi="Times New Roman"/>
          <w:sz w:val="28"/>
          <w:szCs w:val="28"/>
          <w:lang w:val="en-US" w:eastAsia="uk-UA"/>
        </w:rPr>
        <w:t xml:space="preserve"> at the level not exceeding 8-9 </w:t>
      </w:r>
      <w:proofErr w:type="spellStart"/>
      <w:r w:rsidRPr="006C3C9A">
        <w:rPr>
          <w:rFonts w:ascii="Times New Roman" w:eastAsia="Times New Roman" w:hAnsi="Times New Roman"/>
          <w:sz w:val="28"/>
          <w:szCs w:val="28"/>
          <w:lang w:val="en-US" w:eastAsia="uk-UA"/>
        </w:rPr>
        <w:t>millimole</w:t>
      </w:r>
      <w:proofErr w:type="spellEnd"/>
      <w:r w:rsidRPr="006C3C9A">
        <w:rPr>
          <w:rFonts w:ascii="Times New Roman" w:eastAsia="Times New Roman" w:hAnsi="Times New Roman"/>
          <w:sz w:val="28"/>
          <w:szCs w:val="28"/>
          <w:lang w:val="en-US" w:eastAsia="uk-UA"/>
        </w:rPr>
        <w:t xml:space="preserve">/l during the </w:t>
      </w:r>
      <w:proofErr w:type="spellStart"/>
      <w:r w:rsidRPr="006C3C9A">
        <w:rPr>
          <w:rFonts w:ascii="Times New Roman" w:eastAsia="Times New Roman" w:hAnsi="Times New Roman"/>
          <w:sz w:val="28"/>
          <w:szCs w:val="28"/>
          <w:lang w:val="en-US" w:eastAsia="uk-UA"/>
        </w:rPr>
        <w:t>perioperative</w:t>
      </w:r>
      <w:proofErr w:type="spellEnd"/>
      <w:r w:rsidRPr="006C3C9A">
        <w:rPr>
          <w:rFonts w:ascii="Times New Roman" w:eastAsia="Times New Roman" w:hAnsi="Times New Roman"/>
          <w:sz w:val="28"/>
          <w:szCs w:val="28"/>
          <w:lang w:val="en-US" w:eastAsia="uk-UA"/>
        </w:rPr>
        <w:t xml:space="preserve"> period in patients with diabetes mellitus to be of vital importance. Over a period of several days, the patients received regular insulin only. Due to the fact that in stress conditions and in conditions of </w:t>
      </w:r>
      <w:proofErr w:type="spellStart"/>
      <w:r w:rsidRPr="006C3C9A">
        <w:rPr>
          <w:rFonts w:ascii="Times New Roman" w:eastAsia="Times New Roman" w:hAnsi="Times New Roman"/>
          <w:sz w:val="28"/>
          <w:szCs w:val="28"/>
          <w:lang w:val="en-US" w:eastAsia="uk-UA"/>
        </w:rPr>
        <w:t>contrinsular</w:t>
      </w:r>
      <w:proofErr w:type="spellEnd"/>
      <w:r w:rsidRPr="006C3C9A">
        <w:rPr>
          <w:rFonts w:ascii="Times New Roman" w:eastAsia="Times New Roman" w:hAnsi="Times New Roman"/>
          <w:sz w:val="28"/>
          <w:szCs w:val="28"/>
          <w:lang w:val="en-US" w:eastAsia="uk-UA"/>
        </w:rPr>
        <w:t xml:space="preserve"> hormones discharge (</w:t>
      </w:r>
      <w:proofErr w:type="spellStart"/>
      <w:r w:rsidRPr="006C3C9A">
        <w:rPr>
          <w:rFonts w:ascii="Times New Roman" w:eastAsia="Times New Roman" w:hAnsi="Times New Roman"/>
          <w:sz w:val="28"/>
          <w:szCs w:val="28"/>
          <w:lang w:val="en-US" w:eastAsia="uk-UA"/>
        </w:rPr>
        <w:t>catechol</w:t>
      </w:r>
      <w:proofErr w:type="spellEnd"/>
      <w:r w:rsidRPr="006C3C9A">
        <w:rPr>
          <w:rFonts w:ascii="Times New Roman" w:eastAsia="Times New Roman" w:hAnsi="Times New Roman"/>
          <w:sz w:val="28"/>
          <w:szCs w:val="28"/>
          <w:lang w:val="en-US" w:eastAsia="uk-UA"/>
        </w:rPr>
        <w:t xml:space="preserve"> amines, </w:t>
      </w:r>
      <w:proofErr w:type="spellStart"/>
      <w:r w:rsidRPr="006C3C9A">
        <w:rPr>
          <w:rFonts w:ascii="Times New Roman" w:eastAsia="Times New Roman" w:hAnsi="Times New Roman"/>
          <w:sz w:val="28"/>
          <w:szCs w:val="28"/>
          <w:lang w:val="en-US" w:eastAsia="uk-UA"/>
        </w:rPr>
        <w:t>cortisol</w:t>
      </w:r>
      <w:proofErr w:type="spellEnd"/>
      <w:r w:rsidRPr="006C3C9A">
        <w:rPr>
          <w:rFonts w:ascii="Times New Roman" w:eastAsia="Times New Roman" w:hAnsi="Times New Roman"/>
          <w:sz w:val="28"/>
          <w:szCs w:val="28"/>
          <w:lang w:val="en-US" w:eastAsia="uk-UA"/>
        </w:rPr>
        <w:t xml:space="preserve">, growth hormone) the level of hyperglycemia may become unpredictable, we deemed it necessary to conduct a thorough monitoring of blood glucose. Prevention of </w:t>
      </w:r>
      <w:proofErr w:type="spellStart"/>
      <w:r w:rsidRPr="006C3C9A">
        <w:rPr>
          <w:rFonts w:ascii="Times New Roman" w:eastAsia="Times New Roman" w:hAnsi="Times New Roman"/>
          <w:sz w:val="28"/>
          <w:szCs w:val="28"/>
          <w:lang w:val="en-US" w:eastAsia="uk-UA"/>
        </w:rPr>
        <w:t>acetonemia</w:t>
      </w:r>
      <w:proofErr w:type="spellEnd"/>
      <w:r w:rsidRPr="006C3C9A">
        <w:rPr>
          <w:rFonts w:ascii="Times New Roman" w:eastAsia="Times New Roman" w:hAnsi="Times New Roman"/>
          <w:sz w:val="28"/>
          <w:szCs w:val="28"/>
          <w:lang w:val="en-US" w:eastAsia="uk-UA"/>
        </w:rPr>
        <w:t xml:space="preserve"> was achieved by infusion of glucose with insulin until the nutrition support was restored. We noticed that the risk of transitory hyperglycemia increased dramatically during the infusion of solutions for </w:t>
      </w:r>
      <w:proofErr w:type="spellStart"/>
      <w:r w:rsidRPr="006C3C9A">
        <w:rPr>
          <w:rFonts w:ascii="Times New Roman" w:eastAsia="Times New Roman" w:hAnsi="Times New Roman"/>
          <w:sz w:val="28"/>
          <w:szCs w:val="28"/>
          <w:lang w:val="en-US" w:eastAsia="uk-UA"/>
        </w:rPr>
        <w:t>parenteral</w:t>
      </w:r>
      <w:proofErr w:type="spellEnd"/>
      <w:r w:rsidRPr="006C3C9A">
        <w:rPr>
          <w:rFonts w:ascii="Times New Roman" w:eastAsia="Times New Roman" w:hAnsi="Times New Roman"/>
          <w:sz w:val="28"/>
          <w:szCs w:val="28"/>
          <w:lang w:val="en-US" w:eastAsia="uk-UA"/>
        </w:rPr>
        <w:t xml:space="preserve"> feeding. Administration of an additional dose of insulin into the infusion bottle/pack according to the carbohydrates content in it prevented the excessive hyperglycemia. In all cases of doubt, we made an express test to determine the glucose level, for example, using a </w:t>
      </w:r>
      <w:proofErr w:type="spellStart"/>
      <w:r w:rsidRPr="006C3C9A">
        <w:rPr>
          <w:rFonts w:ascii="Times New Roman" w:eastAsia="Times New Roman" w:hAnsi="Times New Roman"/>
          <w:sz w:val="28"/>
          <w:szCs w:val="28"/>
          <w:lang w:val="en-US" w:eastAsia="uk-UA"/>
        </w:rPr>
        <w:t>glucometer</w:t>
      </w:r>
      <w:proofErr w:type="spellEnd"/>
      <w:r w:rsidRPr="006C3C9A">
        <w:rPr>
          <w:rFonts w:ascii="Times New Roman" w:eastAsia="Times New Roman" w:hAnsi="Times New Roman"/>
          <w:sz w:val="28"/>
          <w:szCs w:val="28"/>
          <w:lang w:val="en-US" w:eastAsia="uk-UA"/>
        </w:rPr>
        <w:t>. In our opinion, this device should be available in every surgical hospital where large-scale abdominal interventions on the pancreas are performed.</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Prevention of wound infection envisaged the following: adequate oxygenation, maintenance of </w:t>
      </w:r>
      <w:proofErr w:type="spellStart"/>
      <w:r w:rsidRPr="006C3C9A">
        <w:rPr>
          <w:rFonts w:ascii="Times New Roman" w:eastAsia="Times New Roman" w:hAnsi="Times New Roman"/>
          <w:sz w:val="28"/>
          <w:szCs w:val="28"/>
          <w:lang w:val="en-US" w:eastAsia="uk-UA"/>
        </w:rPr>
        <w:t>normothermia</w:t>
      </w:r>
      <w:proofErr w:type="spellEnd"/>
      <w:r w:rsidRPr="006C3C9A">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normoglycemia</w:t>
      </w:r>
      <w:proofErr w:type="spellEnd"/>
      <w:r w:rsidRPr="006C3C9A">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euvolemia</w:t>
      </w:r>
      <w:proofErr w:type="spellEnd"/>
      <w:r w:rsidRPr="006C3C9A">
        <w:rPr>
          <w:rFonts w:ascii="Times New Roman" w:eastAsia="Times New Roman" w:hAnsi="Times New Roman"/>
          <w:sz w:val="28"/>
          <w:szCs w:val="28"/>
          <w:lang w:val="en-US" w:eastAsia="uk-UA"/>
        </w:rPr>
        <w:t xml:space="preserve">, blood transfusion, if necessary, and preventive antibiotics. Administration of the first dose of antibiotic was done 30-60 min. before the incision; repeated administration was done during a prolonged surgery and large blood loss. Administration of two doses is quite acceptable during interventions on the pancreas. The interval between them depended on the half-life of the prescribed antibiotic. </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Epidural analgesia was adjusted during preparation to surgery. Moreover, the combination of general anesthesia with thoracic epidural anesthesia is a method of choice in anesthetic support of the large-scale abdominal surgery. Application of epidural anesthesia/analgesia pursued the following goals: anesthetization proper (which is more effective than </w:t>
      </w:r>
      <w:proofErr w:type="spellStart"/>
      <w:r w:rsidRPr="006C3C9A">
        <w:rPr>
          <w:rFonts w:ascii="Times New Roman" w:eastAsia="Times New Roman" w:hAnsi="Times New Roman"/>
          <w:sz w:val="28"/>
          <w:szCs w:val="28"/>
          <w:lang w:val="en-US" w:eastAsia="uk-UA"/>
        </w:rPr>
        <w:t>opioids</w:t>
      </w:r>
      <w:proofErr w:type="spellEnd"/>
      <w:r w:rsidRPr="006C3C9A">
        <w:rPr>
          <w:rFonts w:ascii="Times New Roman" w:eastAsia="Times New Roman" w:hAnsi="Times New Roman"/>
          <w:sz w:val="28"/>
          <w:szCs w:val="28"/>
          <w:lang w:val="en-US" w:eastAsia="uk-UA"/>
        </w:rPr>
        <w:t xml:space="preserve">) with an emphasis on the upper part of the </w:t>
      </w:r>
      <w:r w:rsidRPr="006C3C9A">
        <w:rPr>
          <w:rFonts w:ascii="Times New Roman" w:eastAsia="Times New Roman" w:hAnsi="Times New Roman"/>
          <w:sz w:val="28"/>
          <w:szCs w:val="28"/>
          <w:lang w:val="en-US" w:eastAsia="uk-UA"/>
        </w:rPr>
        <w:lastRenderedPageBreak/>
        <w:t>abdomen; stimulation of intestinal motility; and improvement of</w:t>
      </w:r>
      <w:r w:rsidR="00270B34">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splanchnic</w:t>
      </w:r>
      <w:proofErr w:type="spellEnd"/>
      <w:r w:rsidRPr="006C3C9A">
        <w:rPr>
          <w:rFonts w:ascii="Times New Roman" w:eastAsia="Times New Roman" w:hAnsi="Times New Roman"/>
          <w:sz w:val="28"/>
          <w:szCs w:val="28"/>
          <w:lang w:val="en-US" w:eastAsia="uk-UA"/>
        </w:rPr>
        <w:t xml:space="preserve"> perfusion. In addition, we took into account the fact that epidural analgesia decreases the frequency of occurrence of </w:t>
      </w:r>
      <w:proofErr w:type="spellStart"/>
      <w:r w:rsidRPr="006C3C9A">
        <w:rPr>
          <w:rFonts w:ascii="Times New Roman" w:eastAsia="Times New Roman" w:hAnsi="Times New Roman"/>
          <w:sz w:val="28"/>
          <w:szCs w:val="28"/>
          <w:lang w:val="en-US" w:eastAsia="uk-UA"/>
        </w:rPr>
        <w:t>thromboembolic</w:t>
      </w:r>
      <w:proofErr w:type="spellEnd"/>
      <w:r w:rsidRPr="006C3C9A">
        <w:rPr>
          <w:rFonts w:ascii="Times New Roman" w:eastAsia="Times New Roman" w:hAnsi="Times New Roman"/>
          <w:sz w:val="28"/>
          <w:szCs w:val="28"/>
          <w:lang w:val="en-US" w:eastAsia="uk-UA"/>
        </w:rPr>
        <w:t xml:space="preserve"> events, complications on the part of the respiratory system, decreases the level of </w:t>
      </w:r>
      <w:proofErr w:type="spellStart"/>
      <w:r w:rsidRPr="006C3C9A">
        <w:rPr>
          <w:rFonts w:ascii="Times New Roman" w:eastAsia="Times New Roman" w:hAnsi="Times New Roman"/>
          <w:sz w:val="28"/>
          <w:szCs w:val="28"/>
          <w:lang w:val="en-US" w:eastAsia="uk-UA"/>
        </w:rPr>
        <w:t>catastatic</w:t>
      </w:r>
      <w:proofErr w:type="spellEnd"/>
      <w:r w:rsidRPr="006C3C9A">
        <w:rPr>
          <w:rFonts w:ascii="Times New Roman" w:eastAsia="Times New Roman" w:hAnsi="Times New Roman"/>
          <w:sz w:val="28"/>
          <w:szCs w:val="28"/>
          <w:lang w:val="en-US" w:eastAsia="uk-UA"/>
        </w:rPr>
        <w:t xml:space="preserve"> response to surgical trauma and release of stress hormones, decreases insulin resistance, and facilitates early energizing in the postoperative period. Catheterization of the epidural space was done at levels Th5-Th8. The safest local anesthetic for pre- and postoperative epidural analgesia still remains </w:t>
      </w:r>
      <w:proofErr w:type="spellStart"/>
      <w:r w:rsidRPr="006C3C9A">
        <w:rPr>
          <w:rFonts w:ascii="Times New Roman" w:eastAsia="Times New Roman" w:hAnsi="Times New Roman"/>
          <w:sz w:val="28"/>
          <w:szCs w:val="28"/>
          <w:lang w:val="en-US" w:eastAsia="uk-UA"/>
        </w:rPr>
        <w:t>Ropivacaine</w:t>
      </w:r>
      <w:proofErr w:type="spellEnd"/>
      <w:r w:rsidRPr="006C3C9A">
        <w:rPr>
          <w:rFonts w:ascii="Times New Roman" w:eastAsia="Times New Roman" w:hAnsi="Times New Roman"/>
          <w:sz w:val="28"/>
          <w:szCs w:val="28"/>
          <w:lang w:val="en-US" w:eastAsia="uk-UA"/>
        </w:rPr>
        <w:t xml:space="preserve"> (we used “</w:t>
      </w:r>
      <w:proofErr w:type="spellStart"/>
      <w:r w:rsidRPr="006C3C9A">
        <w:rPr>
          <w:rFonts w:ascii="Times New Roman" w:eastAsia="Times New Roman" w:hAnsi="Times New Roman"/>
          <w:sz w:val="28"/>
          <w:szCs w:val="28"/>
          <w:lang w:val="en-US" w:eastAsia="uk-UA"/>
        </w:rPr>
        <w:t>Naropin</w:t>
      </w:r>
      <w:proofErr w:type="spellEnd"/>
      <w:r w:rsidRPr="006C3C9A">
        <w:rPr>
          <w:rFonts w:ascii="Times New Roman" w:eastAsia="Times New Roman" w:hAnsi="Times New Roman"/>
          <w:sz w:val="28"/>
          <w:szCs w:val="28"/>
          <w:lang w:val="en-US" w:eastAsia="uk-UA"/>
        </w:rPr>
        <w:t xml:space="preserve">” with the concentration of 2 mg/ml). </w:t>
      </w:r>
      <w:proofErr w:type="spellStart"/>
      <w:r w:rsidRPr="006C3C9A">
        <w:rPr>
          <w:rFonts w:ascii="Times New Roman" w:eastAsia="Times New Roman" w:hAnsi="Times New Roman"/>
          <w:sz w:val="28"/>
          <w:szCs w:val="28"/>
          <w:lang w:val="en-US" w:eastAsia="uk-UA"/>
        </w:rPr>
        <w:t>Bupivicaine</w:t>
      </w:r>
      <w:proofErr w:type="spellEnd"/>
      <w:r w:rsidRPr="006C3C9A">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Marcaine</w:t>
      </w:r>
      <w:proofErr w:type="spellEnd"/>
      <w:r w:rsidRPr="006C3C9A">
        <w:rPr>
          <w:rFonts w:ascii="Times New Roman" w:eastAsia="Times New Roman" w:hAnsi="Times New Roman"/>
          <w:sz w:val="28"/>
          <w:szCs w:val="28"/>
          <w:lang w:val="en-US" w:eastAsia="uk-UA"/>
        </w:rPr>
        <w:t xml:space="preserve">” 0.25%) was used for </w:t>
      </w:r>
      <w:proofErr w:type="spellStart"/>
      <w:r w:rsidRPr="006C3C9A">
        <w:rPr>
          <w:rFonts w:ascii="Times New Roman" w:eastAsia="Times New Roman" w:hAnsi="Times New Roman"/>
          <w:sz w:val="28"/>
          <w:szCs w:val="28"/>
          <w:lang w:val="en-US" w:eastAsia="uk-UA"/>
        </w:rPr>
        <w:t>intraoperative</w:t>
      </w:r>
      <w:proofErr w:type="spellEnd"/>
      <w:r w:rsidRPr="006C3C9A">
        <w:rPr>
          <w:rFonts w:ascii="Times New Roman" w:eastAsia="Times New Roman" w:hAnsi="Times New Roman"/>
          <w:sz w:val="28"/>
          <w:szCs w:val="28"/>
          <w:lang w:val="en-US" w:eastAsia="uk-UA"/>
        </w:rPr>
        <w:t xml:space="preserve"> anesthesia.</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Patients with obstructive jaundice required a specific approach. Obstruction of </w:t>
      </w:r>
      <w:proofErr w:type="spellStart"/>
      <w:r w:rsidRPr="006C3C9A">
        <w:rPr>
          <w:rFonts w:ascii="Times New Roman" w:eastAsia="Times New Roman" w:hAnsi="Times New Roman"/>
          <w:sz w:val="28"/>
          <w:szCs w:val="28"/>
          <w:lang w:val="en-US" w:eastAsia="uk-UA"/>
        </w:rPr>
        <w:t>bile</w:t>
      </w:r>
      <w:proofErr w:type="spellEnd"/>
      <w:r w:rsidRPr="006C3C9A">
        <w:rPr>
          <w:rFonts w:ascii="Times New Roman" w:eastAsia="Times New Roman" w:hAnsi="Times New Roman"/>
          <w:sz w:val="28"/>
          <w:szCs w:val="28"/>
          <w:lang w:val="en-US" w:eastAsia="uk-UA"/>
        </w:rPr>
        <w:t xml:space="preserve"> passages with considerable </w:t>
      </w:r>
      <w:proofErr w:type="spellStart"/>
      <w:r w:rsidRPr="006C3C9A">
        <w:rPr>
          <w:rFonts w:ascii="Times New Roman" w:eastAsia="Times New Roman" w:hAnsi="Times New Roman"/>
          <w:sz w:val="28"/>
          <w:szCs w:val="28"/>
          <w:lang w:val="en-US" w:eastAsia="uk-UA"/>
        </w:rPr>
        <w:t>cholaemia</w:t>
      </w:r>
      <w:proofErr w:type="spellEnd"/>
      <w:r w:rsidRPr="006C3C9A">
        <w:rPr>
          <w:rFonts w:ascii="Times New Roman" w:eastAsia="Times New Roman" w:hAnsi="Times New Roman"/>
          <w:sz w:val="28"/>
          <w:szCs w:val="28"/>
          <w:lang w:val="en-US" w:eastAsia="uk-UA"/>
        </w:rPr>
        <w:t xml:space="preserve"> leads to damage of important functional systems. In regard to the cardiovascular system, it may cause the decrease of myocardial </w:t>
      </w:r>
      <w:proofErr w:type="spellStart"/>
      <w:r w:rsidRPr="006C3C9A">
        <w:rPr>
          <w:rFonts w:ascii="Times New Roman" w:eastAsia="Times New Roman" w:hAnsi="Times New Roman"/>
          <w:sz w:val="28"/>
          <w:szCs w:val="28"/>
          <w:lang w:val="en-US" w:eastAsia="uk-UA"/>
        </w:rPr>
        <w:t>contractivity</w:t>
      </w:r>
      <w:proofErr w:type="spellEnd"/>
      <w:r w:rsidRPr="006C3C9A">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brachycardia</w:t>
      </w:r>
      <w:proofErr w:type="spellEnd"/>
      <w:r w:rsidRPr="006C3C9A">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vasodilation</w:t>
      </w:r>
      <w:proofErr w:type="spellEnd"/>
      <w:r w:rsidRPr="006C3C9A">
        <w:rPr>
          <w:rFonts w:ascii="Times New Roman" w:eastAsia="Times New Roman" w:hAnsi="Times New Roman"/>
          <w:sz w:val="28"/>
          <w:szCs w:val="28"/>
          <w:lang w:val="en-US" w:eastAsia="uk-UA"/>
        </w:rPr>
        <w:t xml:space="preserve"> with the decrease in the ability to mobilize blood from the </w:t>
      </w:r>
      <w:proofErr w:type="spellStart"/>
      <w:r w:rsidRPr="006C3C9A">
        <w:rPr>
          <w:rFonts w:ascii="Times New Roman" w:eastAsia="Times New Roman" w:hAnsi="Times New Roman"/>
          <w:sz w:val="28"/>
          <w:szCs w:val="28"/>
          <w:lang w:val="en-US" w:eastAsia="uk-UA"/>
        </w:rPr>
        <w:t>splanchnic</w:t>
      </w:r>
      <w:proofErr w:type="spellEnd"/>
      <w:r w:rsidRPr="006C3C9A">
        <w:rPr>
          <w:rFonts w:ascii="Times New Roman" w:eastAsia="Times New Roman" w:hAnsi="Times New Roman"/>
          <w:sz w:val="28"/>
          <w:szCs w:val="28"/>
          <w:lang w:val="en-US" w:eastAsia="uk-UA"/>
        </w:rPr>
        <w:t xml:space="preserve"> basin in case of a hemorrhage. The risk of </w:t>
      </w:r>
      <w:proofErr w:type="spellStart"/>
      <w:r w:rsidRPr="006C3C9A">
        <w:rPr>
          <w:rFonts w:ascii="Times New Roman" w:eastAsia="Times New Roman" w:hAnsi="Times New Roman"/>
          <w:sz w:val="28"/>
          <w:szCs w:val="28"/>
          <w:lang w:val="en-US" w:eastAsia="uk-UA"/>
        </w:rPr>
        <w:t>intraoperative</w:t>
      </w:r>
      <w:proofErr w:type="spellEnd"/>
      <w:r w:rsidRPr="006C3C9A">
        <w:rPr>
          <w:rFonts w:ascii="Times New Roman" w:eastAsia="Times New Roman" w:hAnsi="Times New Roman"/>
          <w:sz w:val="28"/>
          <w:szCs w:val="28"/>
          <w:lang w:val="en-US" w:eastAsia="uk-UA"/>
        </w:rPr>
        <w:t xml:space="preserve"> hypotension / circulatory collapse increases; sensitivity to vasoconstrictors decreases. What concerns the urinary system, the risk of acute kidney damage (lowered intravascular volume, myocardial insufficiency, the </w:t>
      </w:r>
      <w:proofErr w:type="spellStart"/>
      <w:r w:rsidRPr="006C3C9A">
        <w:rPr>
          <w:rFonts w:ascii="Times New Roman" w:eastAsia="Times New Roman" w:hAnsi="Times New Roman"/>
          <w:sz w:val="28"/>
          <w:szCs w:val="28"/>
          <w:lang w:val="en-US" w:eastAsia="uk-UA"/>
        </w:rPr>
        <w:t>nephrotoxic</w:t>
      </w:r>
      <w:proofErr w:type="spellEnd"/>
      <w:r w:rsidRPr="006C3C9A">
        <w:rPr>
          <w:rFonts w:ascii="Times New Roman" w:eastAsia="Times New Roman" w:hAnsi="Times New Roman"/>
          <w:sz w:val="28"/>
          <w:szCs w:val="28"/>
          <w:lang w:val="en-US" w:eastAsia="uk-UA"/>
        </w:rPr>
        <w:t xml:space="preserve"> influence of the circulating bile salts) </w:t>
      </w:r>
      <w:proofErr w:type="gramStart"/>
      <w:r w:rsidRPr="006C3C9A">
        <w:rPr>
          <w:rFonts w:ascii="Times New Roman" w:eastAsia="Times New Roman" w:hAnsi="Times New Roman"/>
          <w:sz w:val="28"/>
          <w:szCs w:val="28"/>
          <w:lang w:val="en-US" w:eastAsia="uk-UA"/>
        </w:rPr>
        <w:t>increases.</w:t>
      </w:r>
      <w:proofErr w:type="gramEnd"/>
      <w:r w:rsidRPr="006C3C9A">
        <w:rPr>
          <w:rFonts w:ascii="Times New Roman" w:eastAsia="Times New Roman" w:hAnsi="Times New Roman"/>
          <w:sz w:val="28"/>
          <w:szCs w:val="28"/>
          <w:lang w:val="en-US" w:eastAsia="uk-UA"/>
        </w:rPr>
        <w:t xml:space="preserve"> Finally, the level of </w:t>
      </w:r>
      <w:proofErr w:type="spellStart"/>
      <w:r w:rsidRPr="006C3C9A">
        <w:rPr>
          <w:rFonts w:ascii="Times New Roman" w:eastAsia="Times New Roman" w:hAnsi="Times New Roman"/>
          <w:sz w:val="28"/>
          <w:szCs w:val="28"/>
          <w:lang w:val="en-US" w:eastAsia="uk-UA"/>
        </w:rPr>
        <w:t>hyperbilirubinemia</w:t>
      </w:r>
      <w:proofErr w:type="spellEnd"/>
      <w:r w:rsidRPr="006C3C9A">
        <w:rPr>
          <w:rFonts w:ascii="Times New Roman" w:eastAsia="Times New Roman" w:hAnsi="Times New Roman"/>
          <w:sz w:val="28"/>
          <w:szCs w:val="28"/>
          <w:lang w:val="en-US" w:eastAsia="uk-UA"/>
        </w:rPr>
        <w:t xml:space="preserve"> correlates with the postoperative decrease of the </w:t>
      </w:r>
      <w:proofErr w:type="spellStart"/>
      <w:r w:rsidRPr="006C3C9A">
        <w:rPr>
          <w:rFonts w:ascii="Times New Roman" w:eastAsia="Times New Roman" w:hAnsi="Times New Roman"/>
          <w:sz w:val="28"/>
          <w:szCs w:val="28"/>
          <w:lang w:val="en-US" w:eastAsia="uk-UA"/>
        </w:rPr>
        <w:t>creatine</w:t>
      </w:r>
      <w:proofErr w:type="spellEnd"/>
      <w:r w:rsidRPr="006C3C9A">
        <w:rPr>
          <w:rFonts w:ascii="Times New Roman" w:eastAsia="Times New Roman" w:hAnsi="Times New Roman"/>
          <w:sz w:val="28"/>
          <w:szCs w:val="28"/>
          <w:lang w:val="en-US" w:eastAsia="uk-UA"/>
        </w:rPr>
        <w:t xml:space="preserve"> clearance. Clotting system: </w:t>
      </w:r>
      <w:proofErr w:type="spellStart"/>
      <w:r w:rsidRPr="006C3C9A">
        <w:rPr>
          <w:rFonts w:ascii="Times New Roman" w:eastAsia="Times New Roman" w:hAnsi="Times New Roman"/>
          <w:sz w:val="28"/>
          <w:szCs w:val="28"/>
          <w:lang w:val="en-US" w:eastAsia="uk-UA"/>
        </w:rPr>
        <w:t>malabsorption</w:t>
      </w:r>
      <w:proofErr w:type="spellEnd"/>
      <w:r w:rsidRPr="006C3C9A">
        <w:rPr>
          <w:rFonts w:ascii="Times New Roman" w:eastAsia="Times New Roman" w:hAnsi="Times New Roman"/>
          <w:sz w:val="28"/>
          <w:szCs w:val="28"/>
          <w:lang w:val="en-US" w:eastAsia="uk-UA"/>
        </w:rPr>
        <w:t xml:space="preserve"> of vitamin K because of</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bile acids</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and bile salts not getting into the intestinal tract leads to a reduction of </w:t>
      </w:r>
      <w:proofErr w:type="spellStart"/>
      <w:r w:rsidRPr="006C3C9A">
        <w:rPr>
          <w:rFonts w:ascii="Times New Roman" w:eastAsia="Times New Roman" w:hAnsi="Times New Roman"/>
          <w:sz w:val="28"/>
          <w:szCs w:val="28"/>
          <w:lang w:val="en-US" w:eastAsia="uk-UA"/>
        </w:rPr>
        <w:t>procoagulant</w:t>
      </w:r>
      <w:proofErr w:type="spellEnd"/>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factors (II, VII, IX, X) synthesis</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 decrease in </w:t>
      </w:r>
      <w:proofErr w:type="spellStart"/>
      <w:r w:rsidRPr="006C3C9A">
        <w:rPr>
          <w:rFonts w:ascii="Times New Roman" w:eastAsia="Times New Roman" w:hAnsi="Times New Roman"/>
          <w:sz w:val="28"/>
          <w:szCs w:val="28"/>
          <w:lang w:val="en-US" w:eastAsia="uk-UA"/>
        </w:rPr>
        <w:t>prothrombin</w:t>
      </w:r>
      <w:proofErr w:type="spellEnd"/>
      <w:r w:rsidRPr="006C3C9A">
        <w:rPr>
          <w:rFonts w:ascii="Times New Roman" w:eastAsia="Times New Roman" w:hAnsi="Times New Roman"/>
          <w:sz w:val="28"/>
          <w:szCs w:val="28"/>
          <w:lang w:val="en-US" w:eastAsia="uk-UA"/>
        </w:rPr>
        <w:t xml:space="preserve"> ratio. </w:t>
      </w:r>
      <w:proofErr w:type="spellStart"/>
      <w:r w:rsidRPr="006C3C9A">
        <w:rPr>
          <w:rFonts w:ascii="Times New Roman" w:eastAsia="Times New Roman" w:hAnsi="Times New Roman"/>
          <w:sz w:val="28"/>
          <w:szCs w:val="28"/>
          <w:lang w:val="en-US" w:eastAsia="uk-UA"/>
        </w:rPr>
        <w:t>Malabsorption</w:t>
      </w:r>
      <w:proofErr w:type="spellEnd"/>
      <w:r w:rsidRPr="006C3C9A">
        <w:rPr>
          <w:rFonts w:ascii="Times New Roman" w:eastAsia="Times New Roman" w:hAnsi="Times New Roman"/>
          <w:sz w:val="28"/>
          <w:szCs w:val="28"/>
          <w:lang w:val="en-US" w:eastAsia="uk-UA"/>
        </w:rPr>
        <w:t xml:space="preserve"> of other fat-soluble vitamins A, D, and E increases the risk of hemorrhagic gastritis and stress ulcers and has a negative impact on the healing of the postoperative wound. Other infectious complications include: prolonged obstruction of </w:t>
      </w:r>
      <w:proofErr w:type="spellStart"/>
      <w:r w:rsidRPr="006C3C9A">
        <w:rPr>
          <w:rFonts w:ascii="Times New Roman" w:eastAsia="Times New Roman" w:hAnsi="Times New Roman"/>
          <w:sz w:val="28"/>
          <w:szCs w:val="28"/>
          <w:lang w:val="en-US" w:eastAsia="uk-UA"/>
        </w:rPr>
        <w:t>bile</w:t>
      </w:r>
      <w:proofErr w:type="spellEnd"/>
      <w:r w:rsidRPr="006C3C9A">
        <w:rPr>
          <w:rFonts w:ascii="Times New Roman" w:eastAsia="Times New Roman" w:hAnsi="Times New Roman"/>
          <w:sz w:val="28"/>
          <w:szCs w:val="28"/>
          <w:lang w:val="en-US" w:eastAsia="uk-UA"/>
        </w:rPr>
        <w:t xml:space="preserve"> passages can lead to </w:t>
      </w:r>
      <w:proofErr w:type="spellStart"/>
      <w:r w:rsidRPr="006C3C9A">
        <w:rPr>
          <w:rFonts w:ascii="Times New Roman" w:eastAsia="Times New Roman" w:hAnsi="Times New Roman"/>
          <w:sz w:val="28"/>
          <w:szCs w:val="28"/>
          <w:lang w:val="en-US" w:eastAsia="uk-UA"/>
        </w:rPr>
        <w:t>cholangitis</w:t>
      </w:r>
      <w:proofErr w:type="spellEnd"/>
      <w:r w:rsidRPr="006C3C9A">
        <w:rPr>
          <w:rFonts w:ascii="Times New Roman" w:eastAsia="Times New Roman" w:hAnsi="Times New Roman"/>
          <w:sz w:val="28"/>
          <w:szCs w:val="28"/>
          <w:lang w:val="en-US" w:eastAsia="uk-UA"/>
        </w:rPr>
        <w:t xml:space="preserve">; lack of bile inflow into the intestinal tract promotes translocation of bacterial blood into the portal blood flow which may result in the development of sepsis. Liver dysfunction impairs albumen synthesis, </w:t>
      </w:r>
      <w:r w:rsidRPr="006C3C9A">
        <w:rPr>
          <w:rFonts w:ascii="Times New Roman" w:eastAsia="Times New Roman" w:hAnsi="Times New Roman"/>
          <w:sz w:val="28"/>
          <w:szCs w:val="28"/>
          <w:lang w:val="en-US" w:eastAsia="uk-UA"/>
        </w:rPr>
        <w:lastRenderedPageBreak/>
        <w:t>medication metabolism, and, in complicated cases, a hepatic encephalopathy may develop.</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 xml:space="preserve">In view of the </w:t>
      </w:r>
      <w:proofErr w:type="spellStart"/>
      <w:r w:rsidRPr="006C3C9A">
        <w:rPr>
          <w:rFonts w:ascii="Times New Roman" w:eastAsia="Times New Roman" w:hAnsi="Times New Roman"/>
          <w:sz w:val="28"/>
          <w:szCs w:val="28"/>
          <w:lang w:val="en-US" w:eastAsia="uk-UA"/>
        </w:rPr>
        <w:t>abovementioned</w:t>
      </w:r>
      <w:proofErr w:type="spellEnd"/>
      <w:r w:rsidRPr="006C3C9A">
        <w:rPr>
          <w:rFonts w:ascii="Times New Roman" w:eastAsia="Times New Roman" w:hAnsi="Times New Roman"/>
          <w:sz w:val="28"/>
          <w:szCs w:val="28"/>
          <w:lang w:val="en-US" w:eastAsia="uk-UA"/>
        </w:rPr>
        <w:t xml:space="preserve">, the patients that have </w:t>
      </w:r>
      <w:proofErr w:type="spellStart"/>
      <w:r w:rsidRPr="006C3C9A">
        <w:rPr>
          <w:rFonts w:ascii="Times New Roman" w:eastAsia="Times New Roman" w:hAnsi="Times New Roman"/>
          <w:sz w:val="28"/>
          <w:szCs w:val="28"/>
          <w:lang w:val="en-US" w:eastAsia="uk-UA"/>
        </w:rPr>
        <w:t>biliary</w:t>
      </w:r>
      <w:proofErr w:type="spellEnd"/>
      <w:r w:rsidRPr="006C3C9A">
        <w:rPr>
          <w:rFonts w:ascii="Times New Roman" w:eastAsia="Times New Roman" w:hAnsi="Times New Roman"/>
          <w:sz w:val="28"/>
          <w:szCs w:val="28"/>
          <w:lang w:val="en-US" w:eastAsia="uk-UA"/>
        </w:rPr>
        <w:t xml:space="preserve"> hypertension with underlying CP underwent during the preoperative period the following procedures:</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1.</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Cleansing of the </w:t>
      </w:r>
      <w:proofErr w:type="spellStart"/>
      <w:r w:rsidRPr="006C3C9A">
        <w:rPr>
          <w:rFonts w:ascii="Times New Roman" w:eastAsia="Times New Roman" w:hAnsi="Times New Roman"/>
          <w:sz w:val="28"/>
          <w:szCs w:val="28"/>
          <w:lang w:val="en-US" w:eastAsia="uk-UA"/>
        </w:rPr>
        <w:t>bile</w:t>
      </w:r>
      <w:proofErr w:type="spellEnd"/>
      <w:r w:rsidRPr="006C3C9A">
        <w:rPr>
          <w:rFonts w:ascii="Times New Roman" w:eastAsia="Times New Roman" w:hAnsi="Times New Roman"/>
          <w:sz w:val="28"/>
          <w:szCs w:val="28"/>
          <w:lang w:val="en-US" w:eastAsia="uk-UA"/>
        </w:rPr>
        <w:t xml:space="preserve"> passages (under USG supervision or by endoscopic </w:t>
      </w:r>
      <w:proofErr w:type="spellStart"/>
      <w:r w:rsidRPr="006C3C9A">
        <w:rPr>
          <w:rFonts w:ascii="Times New Roman" w:eastAsia="Times New Roman" w:hAnsi="Times New Roman"/>
          <w:sz w:val="28"/>
          <w:szCs w:val="28"/>
          <w:lang w:val="en-US" w:eastAsia="uk-UA"/>
        </w:rPr>
        <w:t>stenting</w:t>
      </w:r>
      <w:proofErr w:type="spellEnd"/>
      <w:r w:rsidRPr="006C3C9A">
        <w:rPr>
          <w:rFonts w:ascii="Times New Roman" w:eastAsia="Times New Roman" w:hAnsi="Times New Roman"/>
          <w:sz w:val="28"/>
          <w:szCs w:val="28"/>
          <w:lang w:val="en-US" w:eastAsia="uk-UA"/>
        </w:rPr>
        <w:t xml:space="preserve">) in cases of a prolonged/serious jaundice (certainly in cases of </w:t>
      </w:r>
      <w:proofErr w:type="spellStart"/>
      <w:r w:rsidRPr="006C3C9A">
        <w:rPr>
          <w:rFonts w:ascii="Times New Roman" w:eastAsia="Times New Roman" w:hAnsi="Times New Roman"/>
          <w:sz w:val="28"/>
          <w:szCs w:val="28"/>
          <w:lang w:val="en-US" w:eastAsia="uk-UA"/>
        </w:rPr>
        <w:t>hyperbilirubinemia</w:t>
      </w:r>
      <w:proofErr w:type="spellEnd"/>
      <w:r w:rsidRPr="006C3C9A">
        <w:rPr>
          <w:rFonts w:ascii="Times New Roman" w:eastAsia="Times New Roman" w:hAnsi="Times New Roman"/>
          <w:sz w:val="28"/>
          <w:szCs w:val="28"/>
          <w:lang w:val="en-US" w:eastAsia="uk-UA"/>
        </w:rPr>
        <w:t xml:space="preserve"> </w:t>
      </w:r>
      <w:proofErr w:type="gramStart"/>
      <w:r w:rsidRPr="006C3C9A">
        <w:rPr>
          <w:rFonts w:ascii="Times New Roman" w:eastAsia="Times New Roman" w:hAnsi="Times New Roman"/>
          <w:sz w:val="28"/>
          <w:szCs w:val="28"/>
          <w:lang w:val="en-US" w:eastAsia="uk-UA"/>
        </w:rPr>
        <w:t>of over 250 micromole/l</w:t>
      </w:r>
      <w:proofErr w:type="gramEnd"/>
      <w:r w:rsidRPr="006C3C9A">
        <w:rPr>
          <w:rFonts w:ascii="Times New Roman" w:eastAsia="Times New Roman" w:hAnsi="Times New Roman"/>
          <w:sz w:val="28"/>
          <w:szCs w:val="28"/>
          <w:lang w:val="en-US" w:eastAsia="uk-UA"/>
        </w:rPr>
        <w:t>).</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2.</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Correction of </w:t>
      </w:r>
      <w:proofErr w:type="spellStart"/>
      <w:r w:rsidRPr="006C3C9A">
        <w:rPr>
          <w:rFonts w:ascii="Times New Roman" w:eastAsia="Times New Roman" w:hAnsi="Times New Roman"/>
          <w:sz w:val="28"/>
          <w:szCs w:val="28"/>
          <w:lang w:val="en-US" w:eastAsia="uk-UA"/>
        </w:rPr>
        <w:t>anhydration</w:t>
      </w:r>
      <w:proofErr w:type="spellEnd"/>
      <w:r w:rsidRPr="006C3C9A">
        <w:rPr>
          <w:rFonts w:ascii="Times New Roman" w:eastAsia="Times New Roman" w:hAnsi="Times New Roman"/>
          <w:sz w:val="28"/>
          <w:szCs w:val="28"/>
          <w:lang w:val="en-US" w:eastAsia="uk-UA"/>
        </w:rPr>
        <w:t>, water-electrolyte imbalance (balanced Hartman and Ringer's lactate saline solutions, glucose-potassium-insulin mixture).</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3.</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Refraining from the prescription of </w:t>
      </w:r>
      <w:proofErr w:type="spellStart"/>
      <w:r w:rsidRPr="006C3C9A">
        <w:rPr>
          <w:rFonts w:ascii="Times New Roman" w:eastAsia="Times New Roman" w:hAnsi="Times New Roman"/>
          <w:sz w:val="28"/>
          <w:szCs w:val="28"/>
          <w:lang w:val="en-US" w:eastAsia="uk-UA"/>
        </w:rPr>
        <w:t>hepato</w:t>
      </w:r>
      <w:proofErr w:type="spellEnd"/>
      <w:r w:rsidRPr="006C3C9A">
        <w:rPr>
          <w:rFonts w:ascii="Times New Roman" w:eastAsia="Times New Roman" w:hAnsi="Times New Roman"/>
          <w:sz w:val="28"/>
          <w:szCs w:val="28"/>
          <w:lang w:val="en-US" w:eastAsia="uk-UA"/>
        </w:rPr>
        <w:t xml:space="preserve">- and </w:t>
      </w:r>
      <w:proofErr w:type="spellStart"/>
      <w:r w:rsidRPr="006C3C9A">
        <w:rPr>
          <w:rFonts w:ascii="Times New Roman" w:eastAsia="Times New Roman" w:hAnsi="Times New Roman"/>
          <w:sz w:val="28"/>
          <w:szCs w:val="28"/>
          <w:lang w:val="en-US" w:eastAsia="uk-UA"/>
        </w:rPr>
        <w:t>nephrotoxic</w:t>
      </w:r>
      <w:proofErr w:type="spellEnd"/>
      <w:r w:rsidRPr="006C3C9A">
        <w:rPr>
          <w:rFonts w:ascii="Times New Roman" w:eastAsia="Times New Roman" w:hAnsi="Times New Roman"/>
          <w:sz w:val="28"/>
          <w:szCs w:val="28"/>
          <w:lang w:val="en-US" w:eastAsia="uk-UA"/>
        </w:rPr>
        <w:t xml:space="preserve"> medications (acetaminophen, </w:t>
      </w:r>
      <w:proofErr w:type="spellStart"/>
      <w:r w:rsidRPr="006C3C9A">
        <w:rPr>
          <w:rFonts w:ascii="Times New Roman" w:eastAsia="Times New Roman" w:hAnsi="Times New Roman"/>
          <w:sz w:val="28"/>
          <w:szCs w:val="28"/>
          <w:lang w:val="en-US" w:eastAsia="uk-UA"/>
        </w:rPr>
        <w:t>nonsteroidal</w:t>
      </w:r>
      <w:proofErr w:type="spellEnd"/>
      <w:r w:rsidRPr="006C3C9A">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antiinflammatory</w:t>
      </w:r>
      <w:proofErr w:type="spellEnd"/>
      <w:r w:rsidRPr="006C3C9A">
        <w:rPr>
          <w:rFonts w:ascii="Times New Roman" w:eastAsia="Times New Roman" w:hAnsi="Times New Roman"/>
          <w:sz w:val="28"/>
          <w:szCs w:val="28"/>
          <w:lang w:val="en-US" w:eastAsia="uk-UA"/>
        </w:rPr>
        <w:t xml:space="preserve"> drugs, </w:t>
      </w:r>
      <w:proofErr w:type="spellStart"/>
      <w:r w:rsidRPr="006C3C9A">
        <w:rPr>
          <w:rFonts w:ascii="Times New Roman" w:eastAsia="Times New Roman" w:hAnsi="Times New Roman"/>
          <w:sz w:val="28"/>
          <w:szCs w:val="28"/>
          <w:lang w:val="en-US" w:eastAsia="uk-UA"/>
        </w:rPr>
        <w:t>aminoglycosides</w:t>
      </w:r>
      <w:proofErr w:type="spellEnd"/>
      <w:r w:rsidRPr="006C3C9A">
        <w:rPr>
          <w:rFonts w:ascii="Times New Roman" w:eastAsia="Times New Roman" w:hAnsi="Times New Roman"/>
          <w:sz w:val="28"/>
          <w:szCs w:val="28"/>
          <w:lang w:val="en-US" w:eastAsia="uk-UA"/>
        </w:rPr>
        <w:t xml:space="preserve">), as well as from using benzodiazepines with a long half-life (diazepam) in the </w:t>
      </w:r>
      <w:proofErr w:type="spellStart"/>
      <w:r w:rsidRPr="006C3C9A">
        <w:rPr>
          <w:rFonts w:ascii="Times New Roman" w:eastAsia="Times New Roman" w:hAnsi="Times New Roman"/>
          <w:sz w:val="28"/>
          <w:szCs w:val="28"/>
          <w:lang w:val="en-US" w:eastAsia="uk-UA"/>
        </w:rPr>
        <w:t>perioperative</w:t>
      </w:r>
      <w:proofErr w:type="spellEnd"/>
      <w:r w:rsidRPr="006C3C9A">
        <w:rPr>
          <w:rFonts w:ascii="Times New Roman" w:eastAsia="Times New Roman" w:hAnsi="Times New Roman"/>
          <w:sz w:val="28"/>
          <w:szCs w:val="28"/>
          <w:lang w:val="en-US" w:eastAsia="uk-UA"/>
        </w:rPr>
        <w:t xml:space="preserve"> period, and thiopental</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and </w:t>
      </w:r>
      <w:proofErr w:type="spellStart"/>
      <w:r w:rsidRPr="006C3C9A">
        <w:rPr>
          <w:rFonts w:ascii="Times New Roman" w:eastAsia="Times New Roman" w:hAnsi="Times New Roman"/>
          <w:sz w:val="28"/>
          <w:szCs w:val="28"/>
          <w:lang w:val="en-US" w:eastAsia="uk-UA"/>
        </w:rPr>
        <w:t>halothan</w:t>
      </w:r>
      <w:proofErr w:type="spellEnd"/>
      <w:r w:rsidRPr="006C3C9A">
        <w:rPr>
          <w:rFonts w:ascii="Times New Roman" w:eastAsia="Times New Roman" w:hAnsi="Times New Roman"/>
          <w:sz w:val="28"/>
          <w:szCs w:val="28"/>
          <w:lang w:val="en-US" w:eastAsia="uk-UA"/>
        </w:rPr>
        <w:t xml:space="preserve"> during anesthesia.</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4.</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Refraining from the application of </w:t>
      </w:r>
      <w:proofErr w:type="spellStart"/>
      <w:r w:rsidRPr="006C3C9A">
        <w:rPr>
          <w:rFonts w:ascii="Times New Roman" w:eastAsia="Times New Roman" w:hAnsi="Times New Roman"/>
          <w:sz w:val="28"/>
          <w:szCs w:val="28"/>
          <w:lang w:val="en-US" w:eastAsia="uk-UA"/>
        </w:rPr>
        <w:t>opioids</w:t>
      </w:r>
      <w:proofErr w:type="spellEnd"/>
      <w:r w:rsidRPr="006C3C9A">
        <w:rPr>
          <w:rFonts w:ascii="Times New Roman" w:eastAsia="Times New Roman" w:hAnsi="Times New Roman"/>
          <w:sz w:val="28"/>
          <w:szCs w:val="28"/>
          <w:lang w:val="en-US" w:eastAsia="uk-UA"/>
        </w:rPr>
        <w:t xml:space="preserve">, especially </w:t>
      </w:r>
      <w:proofErr w:type="spellStart"/>
      <w:r w:rsidRPr="006C3C9A">
        <w:rPr>
          <w:rFonts w:ascii="Times New Roman" w:eastAsia="Times New Roman" w:hAnsi="Times New Roman"/>
          <w:sz w:val="28"/>
          <w:szCs w:val="28"/>
          <w:lang w:val="en-US" w:eastAsia="uk-UA"/>
        </w:rPr>
        <w:t>phentanyl</w:t>
      </w:r>
      <w:proofErr w:type="spellEnd"/>
      <w:r w:rsidRPr="006C3C9A">
        <w:rPr>
          <w:rFonts w:ascii="Times New Roman" w:eastAsia="Times New Roman" w:hAnsi="Times New Roman"/>
          <w:sz w:val="28"/>
          <w:szCs w:val="28"/>
          <w:lang w:val="en-US" w:eastAsia="uk-UA"/>
        </w:rPr>
        <w:t xml:space="preserve">, and morphine, for they may cause </w:t>
      </w:r>
      <w:proofErr w:type="spellStart"/>
      <w:r w:rsidRPr="006C3C9A">
        <w:rPr>
          <w:rFonts w:ascii="Times New Roman" w:eastAsia="Times New Roman" w:hAnsi="Times New Roman"/>
          <w:sz w:val="28"/>
          <w:szCs w:val="28"/>
          <w:lang w:val="en-US" w:eastAsia="uk-UA"/>
        </w:rPr>
        <w:t>Oddi's</w:t>
      </w:r>
      <w:proofErr w:type="spellEnd"/>
      <w:r w:rsidRPr="006C3C9A">
        <w:rPr>
          <w:rFonts w:ascii="Times New Roman" w:eastAsia="Times New Roman" w:hAnsi="Times New Roman"/>
          <w:sz w:val="28"/>
          <w:szCs w:val="28"/>
          <w:lang w:val="en-US" w:eastAsia="uk-UA"/>
        </w:rPr>
        <w:t xml:space="preserve"> sphincter spasm, which may aggravate </w:t>
      </w:r>
      <w:proofErr w:type="spellStart"/>
      <w:r w:rsidRPr="006C3C9A">
        <w:rPr>
          <w:rFonts w:ascii="Times New Roman" w:eastAsia="Times New Roman" w:hAnsi="Times New Roman"/>
          <w:sz w:val="28"/>
          <w:szCs w:val="28"/>
          <w:lang w:val="en-US" w:eastAsia="uk-UA"/>
        </w:rPr>
        <w:t>biliary</w:t>
      </w:r>
      <w:proofErr w:type="spellEnd"/>
      <w:r w:rsidRPr="006C3C9A">
        <w:rPr>
          <w:rFonts w:ascii="Times New Roman" w:eastAsia="Times New Roman" w:hAnsi="Times New Roman"/>
          <w:sz w:val="28"/>
          <w:szCs w:val="28"/>
          <w:lang w:val="en-US" w:eastAsia="uk-UA"/>
        </w:rPr>
        <w:t xml:space="preserve"> hypertension, as well as cause significant inaccuracies of monitoring of pressure in </w:t>
      </w:r>
      <w:proofErr w:type="spellStart"/>
      <w:r w:rsidRPr="006C3C9A">
        <w:rPr>
          <w:rFonts w:ascii="Times New Roman" w:eastAsia="Times New Roman" w:hAnsi="Times New Roman"/>
          <w:sz w:val="28"/>
          <w:szCs w:val="28"/>
          <w:lang w:val="en-US" w:eastAsia="uk-UA"/>
        </w:rPr>
        <w:t>bile</w:t>
      </w:r>
      <w:proofErr w:type="spellEnd"/>
      <w:r w:rsidRPr="006C3C9A">
        <w:rPr>
          <w:rFonts w:ascii="Times New Roman" w:eastAsia="Times New Roman" w:hAnsi="Times New Roman"/>
          <w:sz w:val="28"/>
          <w:szCs w:val="28"/>
          <w:lang w:val="en-US" w:eastAsia="uk-UA"/>
        </w:rPr>
        <w:t xml:space="preserve"> passages. </w:t>
      </w:r>
      <w:proofErr w:type="spellStart"/>
      <w:r w:rsidRPr="006C3C9A">
        <w:rPr>
          <w:rFonts w:ascii="Times New Roman" w:eastAsia="Times New Roman" w:hAnsi="Times New Roman"/>
          <w:sz w:val="28"/>
          <w:szCs w:val="28"/>
          <w:lang w:val="en-US" w:eastAsia="uk-UA"/>
        </w:rPr>
        <w:t>Naloxone</w:t>
      </w:r>
      <w:proofErr w:type="spellEnd"/>
      <w:r w:rsidRPr="006C3C9A">
        <w:rPr>
          <w:rFonts w:ascii="Times New Roman" w:eastAsia="Times New Roman" w:hAnsi="Times New Roman"/>
          <w:sz w:val="28"/>
          <w:szCs w:val="28"/>
          <w:lang w:val="en-US" w:eastAsia="uk-UA"/>
        </w:rPr>
        <w:t>, nitrate, and atropine annihilate this effect.</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5.</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To protect the mucous coat of the gastrointestinal tract, we used proton pump inhibitors (for example, </w:t>
      </w:r>
      <w:proofErr w:type="spellStart"/>
      <w:r w:rsidRPr="006C3C9A">
        <w:rPr>
          <w:rFonts w:ascii="Times New Roman" w:eastAsia="Times New Roman" w:hAnsi="Times New Roman"/>
          <w:sz w:val="28"/>
          <w:szCs w:val="28"/>
          <w:lang w:val="en-US" w:eastAsia="uk-UA"/>
        </w:rPr>
        <w:t>omeprazole</w:t>
      </w:r>
      <w:proofErr w:type="spellEnd"/>
      <w:r w:rsidRPr="006C3C9A">
        <w:rPr>
          <w:rFonts w:ascii="Times New Roman" w:eastAsia="Times New Roman" w:hAnsi="Times New Roman"/>
          <w:sz w:val="28"/>
          <w:szCs w:val="28"/>
          <w:lang w:val="en-US" w:eastAsia="uk-UA"/>
        </w:rPr>
        <w:t xml:space="preserve"> 20 mg BID) or H2 receptor antagonists (</w:t>
      </w:r>
      <w:proofErr w:type="spellStart"/>
      <w:r w:rsidRPr="006C3C9A">
        <w:rPr>
          <w:rFonts w:ascii="Times New Roman" w:eastAsia="Times New Roman" w:hAnsi="Times New Roman"/>
          <w:sz w:val="28"/>
          <w:szCs w:val="28"/>
          <w:lang w:val="en-US" w:eastAsia="uk-UA"/>
        </w:rPr>
        <w:t>famotidine</w:t>
      </w:r>
      <w:proofErr w:type="spellEnd"/>
      <w:r w:rsidRPr="006C3C9A">
        <w:rPr>
          <w:rFonts w:ascii="Times New Roman" w:eastAsia="Times New Roman" w:hAnsi="Times New Roman"/>
          <w:sz w:val="28"/>
          <w:szCs w:val="28"/>
          <w:lang w:val="en-US" w:eastAsia="uk-UA"/>
        </w:rPr>
        <w:t xml:space="preserve"> 20 mg BID).</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6.</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Treatment of </w:t>
      </w:r>
      <w:proofErr w:type="spellStart"/>
      <w:r w:rsidRPr="006C3C9A">
        <w:rPr>
          <w:rFonts w:ascii="Times New Roman" w:eastAsia="Times New Roman" w:hAnsi="Times New Roman"/>
          <w:sz w:val="28"/>
          <w:szCs w:val="28"/>
          <w:lang w:val="en-US" w:eastAsia="uk-UA"/>
        </w:rPr>
        <w:t>cholangitis</w:t>
      </w:r>
      <w:proofErr w:type="spellEnd"/>
      <w:r w:rsidRPr="006C3C9A">
        <w:rPr>
          <w:rFonts w:ascii="Times New Roman" w:eastAsia="Times New Roman" w:hAnsi="Times New Roman"/>
          <w:sz w:val="28"/>
          <w:szCs w:val="28"/>
          <w:lang w:val="en-US" w:eastAsia="uk-UA"/>
        </w:rPr>
        <w:t xml:space="preserve"> presupposed prescription of </w:t>
      </w:r>
      <w:proofErr w:type="spellStart"/>
      <w:r w:rsidRPr="006C3C9A">
        <w:rPr>
          <w:rFonts w:ascii="Times New Roman" w:eastAsia="Times New Roman" w:hAnsi="Times New Roman"/>
          <w:sz w:val="28"/>
          <w:szCs w:val="28"/>
          <w:lang w:val="en-US" w:eastAsia="uk-UA"/>
        </w:rPr>
        <w:t>cefoperazone</w:t>
      </w:r>
      <w:proofErr w:type="spellEnd"/>
      <w:r w:rsidRPr="006C3C9A">
        <w:rPr>
          <w:rFonts w:ascii="Times New Roman" w:eastAsia="Times New Roman" w:hAnsi="Times New Roman"/>
          <w:sz w:val="28"/>
          <w:szCs w:val="28"/>
          <w:lang w:val="en-US" w:eastAsia="uk-UA"/>
        </w:rPr>
        <w:t xml:space="preserve"> preparations (“</w:t>
      </w:r>
      <w:proofErr w:type="spellStart"/>
      <w:r w:rsidRPr="006C3C9A">
        <w:rPr>
          <w:rFonts w:ascii="Times New Roman" w:eastAsia="Times New Roman" w:hAnsi="Times New Roman"/>
          <w:sz w:val="28"/>
          <w:szCs w:val="28"/>
          <w:lang w:val="en-US" w:eastAsia="uk-UA"/>
        </w:rPr>
        <w:t>Sulperazone</w:t>
      </w:r>
      <w:proofErr w:type="spellEnd"/>
      <w:r w:rsidRPr="006C3C9A">
        <w:rPr>
          <w:rFonts w:ascii="Times New Roman" w:eastAsia="Times New Roman" w:hAnsi="Times New Roman"/>
          <w:sz w:val="28"/>
          <w:szCs w:val="28"/>
          <w:lang w:val="en-US" w:eastAsia="uk-UA"/>
        </w:rPr>
        <w:t>”) along with clearance of bile ducts.</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7.</w:t>
      </w:r>
      <w:r w:rsidR="00270B34">
        <w:rPr>
          <w:rFonts w:ascii="Times New Roman" w:eastAsia="Times New Roman" w:hAnsi="Times New Roman"/>
          <w:sz w:val="28"/>
          <w:szCs w:val="28"/>
          <w:lang w:val="en-US" w:eastAsia="uk-UA"/>
        </w:rPr>
        <w:t xml:space="preserve"> </w:t>
      </w:r>
      <w:proofErr w:type="spellStart"/>
      <w:r w:rsidRPr="006C3C9A">
        <w:rPr>
          <w:rFonts w:ascii="Times New Roman" w:eastAsia="Times New Roman" w:hAnsi="Times New Roman"/>
          <w:sz w:val="28"/>
          <w:szCs w:val="28"/>
          <w:lang w:val="en-US" w:eastAsia="uk-UA"/>
        </w:rPr>
        <w:t>Coagulopathy</w:t>
      </w:r>
      <w:proofErr w:type="spellEnd"/>
      <w:r w:rsidRPr="006C3C9A">
        <w:rPr>
          <w:rFonts w:ascii="Times New Roman" w:eastAsia="Times New Roman" w:hAnsi="Times New Roman"/>
          <w:sz w:val="28"/>
          <w:szCs w:val="28"/>
          <w:lang w:val="en-US" w:eastAsia="uk-UA"/>
        </w:rPr>
        <w:t xml:space="preserve"> </w:t>
      </w:r>
      <w:proofErr w:type="gramStart"/>
      <w:r w:rsidRPr="006C3C9A">
        <w:rPr>
          <w:rFonts w:ascii="Times New Roman" w:eastAsia="Times New Roman" w:hAnsi="Times New Roman"/>
          <w:sz w:val="28"/>
          <w:szCs w:val="28"/>
          <w:lang w:val="en-US" w:eastAsia="uk-UA"/>
        </w:rPr>
        <w:t>( an</w:t>
      </w:r>
      <w:proofErr w:type="gramEnd"/>
      <w:r w:rsidRPr="006C3C9A">
        <w:rPr>
          <w:rFonts w:ascii="Times New Roman" w:eastAsia="Times New Roman" w:hAnsi="Times New Roman"/>
          <w:sz w:val="28"/>
          <w:szCs w:val="28"/>
          <w:lang w:val="en-US" w:eastAsia="uk-UA"/>
        </w:rPr>
        <w:t xml:space="preserve"> excessive increase of the </w:t>
      </w:r>
      <w:proofErr w:type="spellStart"/>
      <w:r w:rsidRPr="006C3C9A">
        <w:rPr>
          <w:rFonts w:ascii="Times New Roman" w:eastAsia="Times New Roman" w:hAnsi="Times New Roman"/>
          <w:sz w:val="28"/>
          <w:szCs w:val="28"/>
          <w:lang w:val="en-US" w:eastAsia="uk-UA"/>
        </w:rPr>
        <w:t>prothrombin</w:t>
      </w:r>
      <w:proofErr w:type="spellEnd"/>
      <w:r w:rsidRPr="006C3C9A">
        <w:rPr>
          <w:rFonts w:ascii="Times New Roman" w:eastAsia="Times New Roman" w:hAnsi="Times New Roman"/>
          <w:sz w:val="28"/>
          <w:szCs w:val="28"/>
          <w:lang w:val="en-US" w:eastAsia="uk-UA"/>
        </w:rPr>
        <w:t xml:space="preserve"> index / international normalized ratio) required to administrate </w:t>
      </w:r>
      <w:proofErr w:type="spellStart"/>
      <w:r w:rsidRPr="006C3C9A">
        <w:rPr>
          <w:rFonts w:ascii="Times New Roman" w:eastAsia="Times New Roman" w:hAnsi="Times New Roman"/>
          <w:sz w:val="28"/>
          <w:szCs w:val="28"/>
          <w:lang w:val="en-US" w:eastAsia="uk-UA"/>
        </w:rPr>
        <w:t>parenteral</w:t>
      </w:r>
      <w:proofErr w:type="spellEnd"/>
      <w:r w:rsidRPr="006C3C9A">
        <w:rPr>
          <w:rFonts w:ascii="Times New Roman" w:eastAsia="Times New Roman" w:hAnsi="Times New Roman"/>
          <w:sz w:val="28"/>
          <w:szCs w:val="28"/>
          <w:lang w:val="en-US" w:eastAsia="uk-UA"/>
        </w:rPr>
        <w:t xml:space="preserve"> forms of vitamin K (“</w:t>
      </w:r>
      <w:proofErr w:type="spellStart"/>
      <w:r w:rsidRPr="006C3C9A">
        <w:rPr>
          <w:rFonts w:ascii="Times New Roman" w:eastAsia="Times New Roman" w:hAnsi="Times New Roman"/>
          <w:sz w:val="28"/>
          <w:szCs w:val="28"/>
          <w:lang w:val="en-US" w:eastAsia="uk-UA"/>
        </w:rPr>
        <w:t>Kanavit</w:t>
      </w:r>
      <w:proofErr w:type="spellEnd"/>
      <w:r w:rsidRPr="006C3C9A">
        <w:rPr>
          <w:rFonts w:ascii="Times New Roman" w:eastAsia="Times New Roman" w:hAnsi="Times New Roman"/>
          <w:sz w:val="28"/>
          <w:szCs w:val="28"/>
          <w:lang w:val="en-US" w:eastAsia="uk-UA"/>
        </w:rPr>
        <w:t>”) during the preparatory stage.</w:t>
      </w:r>
    </w:p>
    <w:p w:rsidR="005E3820" w:rsidRPr="006C3C9A" w:rsidRDefault="005E3820" w:rsidP="0039009E">
      <w:pPr>
        <w:pStyle w:val="a7"/>
        <w:spacing w:after="0" w:line="360" w:lineRule="auto"/>
        <w:ind w:left="0" w:firstLine="709"/>
        <w:jc w:val="both"/>
        <w:rPr>
          <w:rFonts w:ascii="Times New Roman" w:eastAsia="Times New Roman" w:hAnsi="Times New Roman"/>
          <w:sz w:val="28"/>
          <w:szCs w:val="28"/>
          <w:lang w:val="en-US" w:eastAsia="uk-UA"/>
        </w:rPr>
      </w:pPr>
      <w:r w:rsidRPr="006C3C9A">
        <w:rPr>
          <w:rFonts w:ascii="Times New Roman" w:eastAsia="Times New Roman" w:hAnsi="Times New Roman"/>
          <w:sz w:val="28"/>
          <w:szCs w:val="28"/>
          <w:lang w:val="en-US" w:eastAsia="uk-UA"/>
        </w:rPr>
        <w:t>8.</w:t>
      </w:r>
      <w:r w:rsidR="00270B34">
        <w:rPr>
          <w:rFonts w:ascii="Times New Roman" w:eastAsia="Times New Roman" w:hAnsi="Times New Roman"/>
          <w:sz w:val="28"/>
          <w:szCs w:val="28"/>
          <w:lang w:val="en-US" w:eastAsia="uk-UA"/>
        </w:rPr>
        <w:t xml:space="preserve"> </w:t>
      </w:r>
      <w:r w:rsidRPr="006C3C9A">
        <w:rPr>
          <w:rFonts w:ascii="Times New Roman" w:eastAsia="Times New Roman" w:hAnsi="Times New Roman"/>
          <w:sz w:val="28"/>
          <w:szCs w:val="28"/>
          <w:lang w:val="en-US" w:eastAsia="uk-UA"/>
        </w:rPr>
        <w:t xml:space="preserve">To reduce the risk of Gram-negative bacteria translocation and prevent/reduce hepatic encephalopathy, </w:t>
      </w:r>
      <w:proofErr w:type="spellStart"/>
      <w:r w:rsidRPr="006C3C9A">
        <w:rPr>
          <w:rFonts w:ascii="Times New Roman" w:eastAsia="Times New Roman" w:hAnsi="Times New Roman"/>
          <w:sz w:val="28"/>
          <w:szCs w:val="28"/>
          <w:lang w:val="en-US" w:eastAsia="uk-UA"/>
        </w:rPr>
        <w:t>lactulose</w:t>
      </w:r>
      <w:proofErr w:type="spellEnd"/>
      <w:r w:rsidRPr="006C3C9A">
        <w:rPr>
          <w:rFonts w:ascii="Times New Roman" w:eastAsia="Times New Roman" w:hAnsi="Times New Roman"/>
          <w:sz w:val="28"/>
          <w:szCs w:val="28"/>
          <w:lang w:val="en-US" w:eastAsia="uk-UA"/>
        </w:rPr>
        <w:t xml:space="preserve"> (for example, “</w:t>
      </w:r>
      <w:proofErr w:type="spellStart"/>
      <w:r w:rsidRPr="006C3C9A">
        <w:rPr>
          <w:rFonts w:ascii="Times New Roman" w:eastAsia="Times New Roman" w:hAnsi="Times New Roman"/>
          <w:sz w:val="28"/>
          <w:szCs w:val="28"/>
          <w:lang w:val="en-US" w:eastAsia="uk-UA"/>
        </w:rPr>
        <w:t>Duphalac</w:t>
      </w:r>
      <w:proofErr w:type="spellEnd"/>
      <w:r w:rsidRPr="006C3C9A">
        <w:rPr>
          <w:rFonts w:ascii="Times New Roman" w:eastAsia="Times New Roman" w:hAnsi="Times New Roman"/>
          <w:sz w:val="28"/>
          <w:szCs w:val="28"/>
          <w:lang w:val="en-US" w:eastAsia="uk-UA"/>
        </w:rPr>
        <w:t xml:space="preserve">” 30 ml </w:t>
      </w:r>
      <w:proofErr w:type="spellStart"/>
      <w:r w:rsidRPr="006C3C9A">
        <w:rPr>
          <w:rFonts w:ascii="Times New Roman" w:eastAsia="Times New Roman" w:hAnsi="Times New Roman"/>
          <w:sz w:val="28"/>
          <w:szCs w:val="28"/>
          <w:lang w:val="en-US" w:eastAsia="uk-UA"/>
        </w:rPr>
        <w:t>quater</w:t>
      </w:r>
      <w:proofErr w:type="spellEnd"/>
      <w:r w:rsidRPr="006C3C9A">
        <w:rPr>
          <w:rFonts w:ascii="Times New Roman" w:eastAsia="Times New Roman" w:hAnsi="Times New Roman"/>
          <w:sz w:val="28"/>
          <w:szCs w:val="28"/>
          <w:lang w:val="en-US" w:eastAsia="uk-UA"/>
        </w:rPr>
        <w:t xml:space="preserve"> in die) was used. </w:t>
      </w:r>
    </w:p>
    <w:p w:rsidR="00E12C65" w:rsidRPr="006C3C9A" w:rsidRDefault="005E3820" w:rsidP="0039009E">
      <w:pPr>
        <w:pStyle w:val="a7"/>
        <w:spacing w:after="0" w:line="360" w:lineRule="auto"/>
        <w:ind w:left="0" w:firstLine="709"/>
        <w:jc w:val="both"/>
        <w:rPr>
          <w:rFonts w:ascii="Times New Roman" w:hAnsi="Times New Roman"/>
          <w:sz w:val="28"/>
          <w:szCs w:val="28"/>
        </w:rPr>
      </w:pPr>
      <w:r w:rsidRPr="006C3C9A">
        <w:rPr>
          <w:rFonts w:ascii="Times New Roman" w:eastAsia="Times New Roman" w:hAnsi="Times New Roman"/>
          <w:sz w:val="28"/>
          <w:szCs w:val="28"/>
          <w:lang w:val="en-US" w:eastAsia="uk-UA"/>
        </w:rPr>
        <w:t>All patients underwent surgical treatment (table 4).</w:t>
      </w:r>
    </w:p>
    <w:p w:rsidR="006F7789" w:rsidRPr="0039009E" w:rsidRDefault="006657F9" w:rsidP="0039009E">
      <w:pPr>
        <w:spacing w:after="0" w:line="240" w:lineRule="auto"/>
        <w:jc w:val="right"/>
        <w:rPr>
          <w:rFonts w:ascii="Times New Roman" w:hAnsi="Times New Roman"/>
          <w:sz w:val="28"/>
          <w:szCs w:val="28"/>
          <w:lang w:val="ru-RU"/>
        </w:rPr>
      </w:pPr>
      <w:r w:rsidRPr="0039009E">
        <w:rPr>
          <w:rFonts w:ascii="Times New Roman" w:hAnsi="Times New Roman"/>
          <w:sz w:val="28"/>
          <w:szCs w:val="28"/>
          <w:lang w:val="en-US"/>
        </w:rPr>
        <w:lastRenderedPageBreak/>
        <w:t>Table</w:t>
      </w:r>
      <w:r w:rsidR="006F7789" w:rsidRPr="0039009E">
        <w:rPr>
          <w:rFonts w:ascii="Times New Roman" w:hAnsi="Times New Roman"/>
          <w:sz w:val="28"/>
          <w:szCs w:val="28"/>
        </w:rPr>
        <w:t xml:space="preserve"> </w:t>
      </w:r>
      <w:r w:rsidR="0079651F" w:rsidRPr="0039009E">
        <w:rPr>
          <w:rFonts w:ascii="Times New Roman" w:hAnsi="Times New Roman"/>
          <w:sz w:val="28"/>
          <w:szCs w:val="28"/>
        </w:rPr>
        <w:t>4</w:t>
      </w:r>
    </w:p>
    <w:p w:rsidR="006F7789" w:rsidRPr="006C3C9A" w:rsidRDefault="006657F9" w:rsidP="00E35879">
      <w:pPr>
        <w:spacing w:after="0" w:line="240" w:lineRule="auto"/>
        <w:jc w:val="center"/>
        <w:rPr>
          <w:rFonts w:ascii="Times New Roman" w:hAnsi="Times New Roman"/>
          <w:b/>
          <w:sz w:val="28"/>
          <w:szCs w:val="28"/>
        </w:rPr>
      </w:pPr>
      <w:r w:rsidRPr="006C3C9A">
        <w:rPr>
          <w:rFonts w:ascii="Times New Roman" w:hAnsi="Times New Roman"/>
          <w:b/>
          <w:sz w:val="28"/>
          <w:szCs w:val="28"/>
          <w:lang w:val="en-US"/>
        </w:rPr>
        <w:t>Methods</w:t>
      </w:r>
      <w:r w:rsidRPr="006C3C9A">
        <w:rPr>
          <w:rFonts w:ascii="Times New Roman" w:hAnsi="Times New Roman"/>
          <w:b/>
          <w:sz w:val="28"/>
          <w:szCs w:val="28"/>
        </w:rPr>
        <w:t xml:space="preserve"> </w:t>
      </w:r>
      <w:r w:rsidRPr="006C3C9A">
        <w:rPr>
          <w:rFonts w:ascii="Times New Roman" w:hAnsi="Times New Roman"/>
          <w:b/>
          <w:sz w:val="28"/>
          <w:szCs w:val="28"/>
          <w:lang w:val="en-US"/>
        </w:rPr>
        <w:t>of</w:t>
      </w:r>
      <w:r w:rsidRPr="006C3C9A">
        <w:rPr>
          <w:rFonts w:ascii="Times New Roman" w:hAnsi="Times New Roman"/>
          <w:b/>
          <w:sz w:val="28"/>
          <w:szCs w:val="28"/>
        </w:rPr>
        <w:t xml:space="preserve"> </w:t>
      </w:r>
      <w:r w:rsidRPr="006C3C9A">
        <w:rPr>
          <w:rFonts w:ascii="Times New Roman" w:hAnsi="Times New Roman"/>
          <w:b/>
          <w:sz w:val="28"/>
          <w:szCs w:val="28"/>
          <w:lang w:val="en-US"/>
        </w:rPr>
        <w:t>surgical</w:t>
      </w:r>
      <w:r w:rsidRPr="006C3C9A">
        <w:rPr>
          <w:rFonts w:ascii="Times New Roman" w:hAnsi="Times New Roman"/>
          <w:b/>
          <w:sz w:val="28"/>
          <w:szCs w:val="28"/>
        </w:rPr>
        <w:t xml:space="preserve"> </w:t>
      </w:r>
      <w:r w:rsidRPr="006C3C9A">
        <w:rPr>
          <w:rFonts w:ascii="Times New Roman" w:hAnsi="Times New Roman"/>
          <w:b/>
          <w:sz w:val="28"/>
          <w:szCs w:val="28"/>
          <w:lang w:val="en-US"/>
        </w:rPr>
        <w:t>correction</w:t>
      </w:r>
      <w:r w:rsidRPr="006C3C9A">
        <w:rPr>
          <w:rFonts w:ascii="Times New Roman" w:hAnsi="Times New Roman"/>
          <w:b/>
          <w:sz w:val="28"/>
          <w:szCs w:val="28"/>
        </w:rPr>
        <w:t xml:space="preserve"> </w:t>
      </w:r>
      <w:r w:rsidRPr="006C3C9A">
        <w:rPr>
          <w:rFonts w:ascii="Times New Roman" w:hAnsi="Times New Roman"/>
          <w:b/>
          <w:sz w:val="28"/>
          <w:szCs w:val="28"/>
          <w:lang w:val="en-US"/>
        </w:rPr>
        <w:t>of</w:t>
      </w:r>
      <w:r w:rsidRPr="006C3C9A">
        <w:rPr>
          <w:rFonts w:ascii="Times New Roman" w:hAnsi="Times New Roman"/>
          <w:b/>
          <w:sz w:val="28"/>
          <w:szCs w:val="28"/>
        </w:rPr>
        <w:t xml:space="preserve"> </w:t>
      </w:r>
      <w:proofErr w:type="spellStart"/>
      <w:r w:rsidRPr="006C3C9A">
        <w:rPr>
          <w:rFonts w:ascii="Times New Roman" w:hAnsi="Times New Roman"/>
          <w:b/>
          <w:sz w:val="28"/>
          <w:szCs w:val="28"/>
          <w:lang w:val="en-US"/>
        </w:rPr>
        <w:t>biliary</w:t>
      </w:r>
      <w:proofErr w:type="spellEnd"/>
      <w:r w:rsidRPr="006C3C9A">
        <w:rPr>
          <w:rFonts w:ascii="Times New Roman" w:hAnsi="Times New Roman"/>
          <w:b/>
          <w:sz w:val="28"/>
          <w:szCs w:val="28"/>
        </w:rPr>
        <w:t xml:space="preserve"> </w:t>
      </w:r>
      <w:r w:rsidRPr="006C3C9A">
        <w:rPr>
          <w:rFonts w:ascii="Times New Roman" w:hAnsi="Times New Roman"/>
          <w:b/>
          <w:sz w:val="28"/>
          <w:szCs w:val="28"/>
          <w:lang w:val="en-US"/>
        </w:rPr>
        <w:t>hypertension</w:t>
      </w:r>
      <w:r w:rsidRPr="006C3C9A">
        <w:rPr>
          <w:rFonts w:ascii="Times New Roman" w:hAnsi="Times New Roman"/>
          <w:b/>
          <w:sz w:val="28"/>
          <w:szCs w:val="28"/>
        </w:rPr>
        <w:t xml:space="preserve"> </w:t>
      </w:r>
      <w:r w:rsidRPr="006C3C9A">
        <w:rPr>
          <w:rFonts w:ascii="Times New Roman" w:hAnsi="Times New Roman"/>
          <w:b/>
          <w:sz w:val="28"/>
          <w:szCs w:val="28"/>
          <w:lang w:val="en-US"/>
        </w:rPr>
        <w:t>in</w:t>
      </w:r>
      <w:r w:rsidRPr="006C3C9A">
        <w:rPr>
          <w:rFonts w:ascii="Times New Roman" w:hAnsi="Times New Roman"/>
          <w:b/>
          <w:sz w:val="28"/>
          <w:szCs w:val="28"/>
        </w:rPr>
        <w:t xml:space="preserve"> </w:t>
      </w:r>
      <w:r w:rsidRPr="006C3C9A">
        <w:rPr>
          <w:rFonts w:ascii="Times New Roman" w:hAnsi="Times New Roman"/>
          <w:b/>
          <w:sz w:val="28"/>
          <w:szCs w:val="28"/>
          <w:lang w:val="en-US"/>
        </w:rPr>
        <w:t>patients</w:t>
      </w:r>
      <w:r w:rsidRPr="006C3C9A">
        <w:rPr>
          <w:rFonts w:ascii="Times New Roman" w:hAnsi="Times New Roman"/>
          <w:b/>
          <w:sz w:val="28"/>
          <w:szCs w:val="28"/>
        </w:rPr>
        <w:t xml:space="preserve"> </w:t>
      </w:r>
      <w:r w:rsidRPr="006C3C9A">
        <w:rPr>
          <w:rFonts w:ascii="Times New Roman" w:hAnsi="Times New Roman"/>
          <w:b/>
          <w:sz w:val="28"/>
          <w:szCs w:val="28"/>
          <w:lang w:val="en-US"/>
        </w:rPr>
        <w:t>with</w:t>
      </w:r>
      <w:r w:rsidRPr="006C3C9A">
        <w:rPr>
          <w:rFonts w:ascii="Times New Roman" w:hAnsi="Times New Roman"/>
          <w:b/>
          <w:sz w:val="28"/>
          <w:szCs w:val="28"/>
        </w:rPr>
        <w:t xml:space="preserve"> </w:t>
      </w:r>
      <w:r w:rsidRPr="006C3C9A">
        <w:rPr>
          <w:rFonts w:ascii="Times New Roman" w:hAnsi="Times New Roman"/>
          <w:b/>
          <w:sz w:val="28"/>
          <w:szCs w:val="28"/>
          <w:lang w:val="en-US"/>
        </w:rPr>
        <w:t>chronic</w:t>
      </w:r>
      <w:r w:rsidRPr="006C3C9A">
        <w:rPr>
          <w:rFonts w:ascii="Times New Roman" w:hAnsi="Times New Roman"/>
          <w:b/>
          <w:sz w:val="28"/>
          <w:szCs w:val="28"/>
        </w:rPr>
        <w:t xml:space="preserve"> </w:t>
      </w:r>
      <w:r w:rsidRPr="006C3C9A">
        <w:rPr>
          <w:rFonts w:ascii="Times New Roman" w:hAnsi="Times New Roman"/>
          <w:b/>
          <w:sz w:val="28"/>
          <w:szCs w:val="28"/>
          <w:lang w:val="en-US"/>
        </w:rPr>
        <w:t>pancreatitis</w:t>
      </w:r>
    </w:p>
    <w:p w:rsidR="006F7789" w:rsidRPr="006C3C9A" w:rsidRDefault="006F7789" w:rsidP="00E35879">
      <w:pPr>
        <w:spacing w:after="0" w:line="240" w:lineRule="auto"/>
        <w:rPr>
          <w:rFonts w:ascii="Times New Roman" w:hAnsi="Times New Roman"/>
          <w:b/>
          <w:sz w:val="28"/>
          <w:szCs w:val="28"/>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7"/>
        <w:gridCol w:w="2268"/>
        <w:gridCol w:w="2239"/>
      </w:tblGrid>
      <w:tr w:rsidR="006C3C9A" w:rsidRPr="006C3C9A" w:rsidTr="00CC2364">
        <w:tc>
          <w:tcPr>
            <w:tcW w:w="4707" w:type="dxa"/>
          </w:tcPr>
          <w:p w:rsidR="006F7789" w:rsidRPr="006C3C9A" w:rsidRDefault="006657F9" w:rsidP="00E35879">
            <w:pPr>
              <w:spacing w:after="0" w:line="360" w:lineRule="auto"/>
              <w:jc w:val="center"/>
              <w:rPr>
                <w:rFonts w:ascii="Times New Roman" w:hAnsi="Times New Roman"/>
                <w:b/>
                <w:sz w:val="24"/>
                <w:szCs w:val="24"/>
                <w:lang w:val="en-US"/>
              </w:rPr>
            </w:pPr>
            <w:r w:rsidRPr="006C3C9A">
              <w:rPr>
                <w:rFonts w:ascii="Times New Roman" w:hAnsi="Times New Roman"/>
                <w:b/>
                <w:sz w:val="24"/>
                <w:szCs w:val="24"/>
                <w:lang w:val="en-US"/>
              </w:rPr>
              <w:t>Surgery</w:t>
            </w:r>
          </w:p>
        </w:tc>
        <w:tc>
          <w:tcPr>
            <w:tcW w:w="2268" w:type="dxa"/>
          </w:tcPr>
          <w:p w:rsidR="006F7789" w:rsidRPr="006C3C9A" w:rsidRDefault="006657F9" w:rsidP="00E35879">
            <w:pPr>
              <w:jc w:val="center"/>
              <w:rPr>
                <w:rFonts w:ascii="Times New Roman" w:hAnsi="Times New Roman"/>
                <w:sz w:val="28"/>
                <w:szCs w:val="28"/>
              </w:rPr>
            </w:pPr>
            <w:r w:rsidRPr="006C3C9A">
              <w:rPr>
                <w:rFonts w:ascii="Times New Roman" w:hAnsi="Times New Roman"/>
                <w:sz w:val="28"/>
                <w:szCs w:val="28"/>
                <w:lang w:val="en-US"/>
              </w:rPr>
              <w:t xml:space="preserve">1st group (with monitoring of </w:t>
            </w:r>
            <w:proofErr w:type="spellStart"/>
            <w:r w:rsidRPr="006C3C9A">
              <w:rPr>
                <w:rFonts w:ascii="Times New Roman" w:hAnsi="Times New Roman"/>
                <w:sz w:val="28"/>
                <w:szCs w:val="28"/>
                <w:lang w:val="en-US"/>
              </w:rPr>
              <w:t>biliary</w:t>
            </w:r>
            <w:proofErr w:type="spellEnd"/>
            <w:r w:rsidRPr="006C3C9A">
              <w:rPr>
                <w:rFonts w:ascii="Times New Roman" w:hAnsi="Times New Roman"/>
                <w:sz w:val="28"/>
                <w:szCs w:val="28"/>
                <w:lang w:val="en-US"/>
              </w:rPr>
              <w:t xml:space="preserve"> pressure)</w:t>
            </w:r>
            <w:r w:rsidR="00270B34">
              <w:rPr>
                <w:rFonts w:ascii="Times New Roman" w:hAnsi="Times New Roman"/>
                <w:sz w:val="28"/>
                <w:szCs w:val="28"/>
              </w:rPr>
              <w:t xml:space="preserve"> </w:t>
            </w:r>
            <w:r w:rsidR="00CC2364" w:rsidRPr="006C3C9A">
              <w:rPr>
                <w:rFonts w:ascii="Times New Roman" w:hAnsi="Times New Roman"/>
                <w:sz w:val="28"/>
                <w:szCs w:val="28"/>
              </w:rPr>
              <w:t>(</w:t>
            </w:r>
            <w:r w:rsidR="00CC2364" w:rsidRPr="006C3C9A">
              <w:rPr>
                <w:rFonts w:ascii="Times New Roman" w:hAnsi="Times New Roman"/>
                <w:sz w:val="28"/>
                <w:szCs w:val="28"/>
                <w:lang w:val="en-US"/>
              </w:rPr>
              <w:t>n=14)</w:t>
            </w:r>
          </w:p>
        </w:tc>
        <w:tc>
          <w:tcPr>
            <w:tcW w:w="2239" w:type="dxa"/>
          </w:tcPr>
          <w:p w:rsidR="006F7789" w:rsidRPr="006C3C9A" w:rsidRDefault="006657F9" w:rsidP="00E35879">
            <w:pPr>
              <w:jc w:val="center"/>
              <w:rPr>
                <w:rFonts w:ascii="Times New Roman" w:hAnsi="Times New Roman"/>
                <w:b/>
                <w:sz w:val="24"/>
                <w:szCs w:val="24"/>
              </w:rPr>
            </w:pPr>
            <w:r w:rsidRPr="006C3C9A">
              <w:rPr>
                <w:rFonts w:ascii="Times New Roman" w:hAnsi="Times New Roman"/>
                <w:sz w:val="28"/>
                <w:szCs w:val="28"/>
                <w:lang w:val="en-US"/>
              </w:rPr>
              <w:t>2</w:t>
            </w:r>
            <w:r w:rsidRPr="006C3C9A">
              <w:rPr>
                <w:rFonts w:ascii="Times New Roman" w:hAnsi="Times New Roman"/>
                <w:sz w:val="28"/>
                <w:szCs w:val="28"/>
                <w:vertAlign w:val="superscript"/>
                <w:lang w:val="en-US"/>
              </w:rPr>
              <w:t>nd</w:t>
            </w:r>
            <w:r w:rsidRPr="006C3C9A">
              <w:rPr>
                <w:rFonts w:ascii="Times New Roman" w:hAnsi="Times New Roman"/>
                <w:sz w:val="28"/>
                <w:szCs w:val="28"/>
                <w:lang w:val="en-US"/>
              </w:rPr>
              <w:t xml:space="preserve"> group (without monitoring of </w:t>
            </w:r>
            <w:proofErr w:type="spellStart"/>
            <w:r w:rsidRPr="006C3C9A">
              <w:rPr>
                <w:rFonts w:ascii="Times New Roman" w:hAnsi="Times New Roman"/>
                <w:sz w:val="28"/>
                <w:szCs w:val="28"/>
                <w:lang w:val="en-US"/>
              </w:rPr>
              <w:t>biliary</w:t>
            </w:r>
            <w:proofErr w:type="spellEnd"/>
            <w:r w:rsidRPr="006C3C9A">
              <w:rPr>
                <w:rFonts w:ascii="Times New Roman" w:hAnsi="Times New Roman"/>
                <w:sz w:val="28"/>
                <w:szCs w:val="28"/>
                <w:lang w:val="en-US"/>
              </w:rPr>
              <w:t xml:space="preserve"> pressure)</w:t>
            </w:r>
            <w:r w:rsidR="00CC2364" w:rsidRPr="006C3C9A">
              <w:rPr>
                <w:rFonts w:ascii="Times New Roman" w:hAnsi="Times New Roman"/>
                <w:sz w:val="28"/>
                <w:szCs w:val="28"/>
              </w:rPr>
              <w:t xml:space="preserve"> (</w:t>
            </w:r>
            <w:r w:rsidR="00CC2364" w:rsidRPr="006C3C9A">
              <w:rPr>
                <w:rFonts w:ascii="Times New Roman" w:hAnsi="Times New Roman"/>
                <w:sz w:val="28"/>
                <w:szCs w:val="28"/>
                <w:lang w:val="en-US"/>
              </w:rPr>
              <w:t>n=</w:t>
            </w:r>
            <w:r w:rsidR="00CC2364" w:rsidRPr="006C3C9A">
              <w:rPr>
                <w:rFonts w:ascii="Times New Roman" w:hAnsi="Times New Roman"/>
                <w:sz w:val="28"/>
                <w:szCs w:val="28"/>
              </w:rPr>
              <w:t>35)</w:t>
            </w:r>
          </w:p>
        </w:tc>
      </w:tr>
      <w:tr w:rsidR="006C3C9A" w:rsidRPr="006C3C9A" w:rsidTr="00CC2364">
        <w:tc>
          <w:tcPr>
            <w:tcW w:w="4707" w:type="dxa"/>
          </w:tcPr>
          <w:p w:rsidR="006F7789" w:rsidRPr="006C3C9A" w:rsidRDefault="006657F9" w:rsidP="00E35879">
            <w:pPr>
              <w:spacing w:after="0" w:line="360" w:lineRule="auto"/>
              <w:jc w:val="both"/>
              <w:rPr>
                <w:rFonts w:ascii="Times New Roman" w:hAnsi="Times New Roman"/>
                <w:b/>
                <w:sz w:val="24"/>
                <w:szCs w:val="24"/>
                <w:lang w:val="en-US"/>
              </w:rPr>
            </w:pPr>
            <w:r w:rsidRPr="006C3C9A">
              <w:rPr>
                <w:rFonts w:ascii="Times New Roman" w:hAnsi="Times New Roman"/>
                <w:b/>
                <w:sz w:val="24"/>
                <w:szCs w:val="24"/>
                <w:lang w:val="en-US"/>
              </w:rPr>
              <w:t>Frey’s procedure</w:t>
            </w:r>
          </w:p>
        </w:tc>
        <w:tc>
          <w:tcPr>
            <w:tcW w:w="2268" w:type="dxa"/>
          </w:tcPr>
          <w:p w:rsidR="006F7789" w:rsidRPr="006C3C9A" w:rsidRDefault="00CF1FBD"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13</w:t>
            </w:r>
            <w:r w:rsidR="006F7789" w:rsidRPr="006C3C9A">
              <w:rPr>
                <w:rFonts w:ascii="Times New Roman" w:hAnsi="Times New Roman"/>
                <w:b/>
                <w:sz w:val="24"/>
                <w:szCs w:val="24"/>
              </w:rPr>
              <w:t xml:space="preserve"> ( </w:t>
            </w:r>
            <w:r w:rsidR="00B77D8F" w:rsidRPr="006C3C9A">
              <w:rPr>
                <w:rFonts w:ascii="Times New Roman" w:hAnsi="Times New Roman"/>
                <w:b/>
                <w:sz w:val="24"/>
                <w:szCs w:val="24"/>
              </w:rPr>
              <w:t>92.</w:t>
            </w:r>
            <w:r w:rsidR="00CB1511" w:rsidRPr="006C3C9A">
              <w:rPr>
                <w:rFonts w:ascii="Times New Roman" w:hAnsi="Times New Roman"/>
                <w:b/>
                <w:sz w:val="24"/>
                <w:szCs w:val="24"/>
              </w:rPr>
              <w:t xml:space="preserve">8 </w:t>
            </w:r>
            <w:r w:rsidR="006F7789" w:rsidRPr="006C3C9A">
              <w:rPr>
                <w:rFonts w:ascii="Times New Roman" w:hAnsi="Times New Roman"/>
                <w:b/>
                <w:sz w:val="24"/>
                <w:szCs w:val="24"/>
              </w:rPr>
              <w:t>%)</w:t>
            </w:r>
          </w:p>
        </w:tc>
        <w:tc>
          <w:tcPr>
            <w:tcW w:w="2239" w:type="dxa"/>
          </w:tcPr>
          <w:p w:rsidR="006F7789" w:rsidRPr="006C3C9A" w:rsidRDefault="00CF1FBD"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10</w:t>
            </w:r>
            <w:r w:rsidR="006F7789" w:rsidRPr="006C3C9A">
              <w:rPr>
                <w:rFonts w:ascii="Times New Roman" w:hAnsi="Times New Roman"/>
                <w:b/>
                <w:sz w:val="24"/>
                <w:szCs w:val="24"/>
                <w:lang w:val="ru-RU"/>
              </w:rPr>
              <w:t xml:space="preserve"> (</w:t>
            </w:r>
            <w:r w:rsidR="00CB1511" w:rsidRPr="006C3C9A">
              <w:rPr>
                <w:rFonts w:ascii="Times New Roman" w:hAnsi="Times New Roman"/>
                <w:b/>
                <w:sz w:val="24"/>
                <w:szCs w:val="24"/>
                <w:lang w:val="ru-RU"/>
              </w:rPr>
              <w:t>28</w:t>
            </w:r>
            <w:r w:rsidR="00B77D8F" w:rsidRPr="006C3C9A">
              <w:rPr>
                <w:rFonts w:ascii="Times New Roman" w:hAnsi="Times New Roman"/>
                <w:b/>
                <w:sz w:val="24"/>
                <w:szCs w:val="24"/>
                <w:lang w:val="ru-RU"/>
              </w:rPr>
              <w:t>.</w:t>
            </w:r>
            <w:r w:rsidR="00CB1511" w:rsidRPr="006C3C9A">
              <w:rPr>
                <w:rFonts w:ascii="Times New Roman" w:hAnsi="Times New Roman"/>
                <w:b/>
                <w:sz w:val="24"/>
                <w:szCs w:val="24"/>
                <w:lang w:val="ru-RU"/>
              </w:rPr>
              <w:t>6</w:t>
            </w:r>
            <w:r w:rsidR="006F7789" w:rsidRPr="006C3C9A">
              <w:rPr>
                <w:rFonts w:ascii="Times New Roman" w:hAnsi="Times New Roman"/>
                <w:b/>
                <w:sz w:val="24"/>
                <w:szCs w:val="24"/>
                <w:lang w:val="ru-RU"/>
              </w:rPr>
              <w:t xml:space="preserve"> %)</w:t>
            </w:r>
          </w:p>
        </w:tc>
      </w:tr>
      <w:tr w:rsidR="006C3C9A" w:rsidRPr="006C3C9A" w:rsidTr="00CC2364">
        <w:tc>
          <w:tcPr>
            <w:tcW w:w="4707" w:type="dxa"/>
          </w:tcPr>
          <w:p w:rsidR="006F7789" w:rsidRPr="006C3C9A" w:rsidRDefault="00FC5582" w:rsidP="00E35879">
            <w:pPr>
              <w:spacing w:after="0" w:line="360" w:lineRule="auto"/>
              <w:ind w:firstLine="488"/>
              <w:jc w:val="both"/>
              <w:rPr>
                <w:rFonts w:ascii="Times New Roman" w:hAnsi="Times New Roman"/>
                <w:i/>
                <w:sz w:val="24"/>
                <w:szCs w:val="24"/>
                <w:lang w:val="en-US"/>
              </w:rPr>
            </w:pPr>
            <w:r w:rsidRPr="006C3C9A">
              <w:rPr>
                <w:rFonts w:ascii="Times New Roman" w:hAnsi="Times New Roman"/>
                <w:i/>
                <w:sz w:val="24"/>
                <w:szCs w:val="24"/>
                <w:lang w:val="en-US"/>
              </w:rPr>
              <w:t>standard</w:t>
            </w:r>
          </w:p>
        </w:tc>
        <w:tc>
          <w:tcPr>
            <w:tcW w:w="2268"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6</w:t>
            </w:r>
          </w:p>
        </w:tc>
        <w:tc>
          <w:tcPr>
            <w:tcW w:w="2239"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5</w:t>
            </w:r>
          </w:p>
        </w:tc>
      </w:tr>
      <w:tr w:rsidR="006C3C9A" w:rsidRPr="006C3C9A" w:rsidTr="00CC2364">
        <w:tc>
          <w:tcPr>
            <w:tcW w:w="4707" w:type="dxa"/>
          </w:tcPr>
          <w:p w:rsidR="006F7789" w:rsidRPr="006C3C9A" w:rsidRDefault="00FC5582" w:rsidP="00E35879">
            <w:pPr>
              <w:spacing w:after="0" w:line="360" w:lineRule="auto"/>
              <w:ind w:firstLine="488"/>
              <w:jc w:val="both"/>
              <w:rPr>
                <w:rFonts w:ascii="Times New Roman" w:hAnsi="Times New Roman"/>
                <w:sz w:val="24"/>
                <w:szCs w:val="24"/>
                <w:lang w:val="en-US"/>
              </w:rPr>
            </w:pPr>
            <w:r w:rsidRPr="006C3C9A">
              <w:rPr>
                <w:rFonts w:ascii="Times New Roman" w:hAnsi="Times New Roman"/>
                <w:i/>
                <w:sz w:val="24"/>
                <w:szCs w:val="24"/>
                <w:lang w:val="en-US"/>
              </w:rPr>
              <w:t xml:space="preserve">with </w:t>
            </w:r>
            <w:proofErr w:type="spellStart"/>
            <w:r w:rsidRPr="006C3C9A">
              <w:rPr>
                <w:rFonts w:ascii="Times New Roman" w:hAnsi="Times New Roman"/>
                <w:i/>
                <w:sz w:val="24"/>
                <w:szCs w:val="24"/>
                <w:lang w:val="en-US"/>
              </w:rPr>
              <w:t>hepaticoenteroanastomosis</w:t>
            </w:r>
            <w:proofErr w:type="spellEnd"/>
            <w:r w:rsidRPr="006C3C9A">
              <w:rPr>
                <w:rFonts w:ascii="Times New Roman" w:hAnsi="Times New Roman"/>
                <w:i/>
                <w:sz w:val="24"/>
                <w:szCs w:val="24"/>
                <w:lang w:val="en-US"/>
              </w:rPr>
              <w:t xml:space="preserve"> (HEA)</w:t>
            </w:r>
          </w:p>
        </w:tc>
        <w:tc>
          <w:tcPr>
            <w:tcW w:w="2268"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3</w:t>
            </w:r>
          </w:p>
        </w:tc>
        <w:tc>
          <w:tcPr>
            <w:tcW w:w="2239"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4</w:t>
            </w:r>
          </w:p>
        </w:tc>
      </w:tr>
      <w:tr w:rsidR="006C3C9A" w:rsidRPr="006C3C9A" w:rsidTr="00CC2364">
        <w:tc>
          <w:tcPr>
            <w:tcW w:w="4707" w:type="dxa"/>
          </w:tcPr>
          <w:p w:rsidR="006F7789" w:rsidRPr="006C3C9A" w:rsidRDefault="00FC5582" w:rsidP="00F94A5C">
            <w:pPr>
              <w:spacing w:after="0" w:line="360" w:lineRule="auto"/>
              <w:ind w:firstLine="488"/>
              <w:jc w:val="both"/>
              <w:rPr>
                <w:rFonts w:ascii="Times New Roman" w:hAnsi="Times New Roman"/>
                <w:i/>
                <w:sz w:val="24"/>
                <w:szCs w:val="24"/>
                <w:lang w:val="en-US"/>
              </w:rPr>
            </w:pPr>
            <w:r w:rsidRPr="006C3C9A">
              <w:rPr>
                <w:rFonts w:ascii="Times New Roman" w:hAnsi="Times New Roman"/>
                <w:i/>
                <w:sz w:val="24"/>
                <w:szCs w:val="24"/>
                <w:lang w:val="en-US"/>
              </w:rPr>
              <w:t xml:space="preserve">including with insertion according to </w:t>
            </w:r>
            <w:proofErr w:type="spellStart"/>
            <w:r w:rsidRPr="006C3C9A">
              <w:rPr>
                <w:rFonts w:ascii="Times New Roman" w:hAnsi="Times New Roman"/>
                <w:i/>
                <w:sz w:val="24"/>
                <w:szCs w:val="24"/>
                <w:lang w:val="en-US"/>
              </w:rPr>
              <w:t>Kopchak</w:t>
            </w:r>
            <w:proofErr w:type="spellEnd"/>
            <w:r w:rsidRPr="006C3C9A">
              <w:rPr>
                <w:rFonts w:ascii="Times New Roman" w:hAnsi="Times New Roman"/>
                <w:i/>
                <w:sz w:val="24"/>
                <w:szCs w:val="24"/>
                <w:lang w:val="en-US"/>
              </w:rPr>
              <w:t xml:space="preserve"> and</w:t>
            </w:r>
            <w:r w:rsidR="006F7789" w:rsidRPr="006C3C9A">
              <w:rPr>
                <w:rFonts w:ascii="Times New Roman" w:hAnsi="Times New Roman"/>
                <w:i/>
                <w:sz w:val="24"/>
                <w:szCs w:val="24"/>
              </w:rPr>
              <w:t xml:space="preserve"> </w:t>
            </w:r>
            <w:r w:rsidR="00F94A5C" w:rsidRPr="006C3C9A">
              <w:rPr>
                <w:rFonts w:ascii="Times New Roman" w:hAnsi="Times New Roman"/>
                <w:i/>
                <w:sz w:val="24"/>
                <w:szCs w:val="24"/>
                <w:lang w:val="en-US"/>
              </w:rPr>
              <w:t>HEA</w:t>
            </w:r>
          </w:p>
        </w:tc>
        <w:tc>
          <w:tcPr>
            <w:tcW w:w="2268"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3</w:t>
            </w:r>
          </w:p>
        </w:tc>
        <w:tc>
          <w:tcPr>
            <w:tcW w:w="2239" w:type="dxa"/>
          </w:tcPr>
          <w:p w:rsidR="006F7789" w:rsidRPr="006C3C9A" w:rsidRDefault="006F7789" w:rsidP="00E35879">
            <w:pPr>
              <w:spacing w:after="0" w:line="360" w:lineRule="auto"/>
              <w:jc w:val="center"/>
              <w:rPr>
                <w:rFonts w:ascii="Times New Roman" w:hAnsi="Times New Roman"/>
                <w:sz w:val="24"/>
                <w:szCs w:val="24"/>
              </w:rPr>
            </w:pPr>
            <w:r w:rsidRPr="006C3C9A">
              <w:rPr>
                <w:rFonts w:ascii="Times New Roman" w:hAnsi="Times New Roman"/>
                <w:sz w:val="24"/>
                <w:szCs w:val="24"/>
              </w:rPr>
              <w:t>1</w:t>
            </w:r>
          </w:p>
        </w:tc>
      </w:tr>
      <w:tr w:rsidR="006C3C9A" w:rsidRPr="006C3C9A" w:rsidTr="00CC2364">
        <w:tc>
          <w:tcPr>
            <w:tcW w:w="4707" w:type="dxa"/>
          </w:tcPr>
          <w:p w:rsidR="006F7789" w:rsidRPr="006C3C9A" w:rsidRDefault="0020111B" w:rsidP="00E35879">
            <w:pPr>
              <w:spacing w:after="0" w:line="240" w:lineRule="auto"/>
              <w:ind w:firstLine="488"/>
              <w:rPr>
                <w:i/>
                <w:sz w:val="20"/>
              </w:rPr>
            </w:pPr>
            <w:r w:rsidRPr="006C3C9A">
              <w:rPr>
                <w:rFonts w:ascii="Times New Roman" w:hAnsi="Times New Roman"/>
                <w:i/>
                <w:sz w:val="24"/>
                <w:szCs w:val="24"/>
                <w:lang w:val="en-US"/>
              </w:rPr>
              <w:t xml:space="preserve">with excision of pancreas </w:t>
            </w:r>
            <w:proofErr w:type="spellStart"/>
            <w:r w:rsidRPr="006C3C9A">
              <w:rPr>
                <w:rFonts w:ascii="Times New Roman" w:hAnsi="Times New Roman"/>
                <w:i/>
                <w:sz w:val="24"/>
                <w:szCs w:val="24"/>
                <w:lang w:val="en-US"/>
              </w:rPr>
              <w:t>lingula</w:t>
            </w:r>
            <w:proofErr w:type="spellEnd"/>
          </w:p>
        </w:tc>
        <w:tc>
          <w:tcPr>
            <w:tcW w:w="2268" w:type="dxa"/>
          </w:tcPr>
          <w:p w:rsidR="006F7789" w:rsidRPr="006C3C9A" w:rsidRDefault="00180B6A" w:rsidP="00E35879">
            <w:pPr>
              <w:spacing w:after="0" w:line="360" w:lineRule="auto"/>
              <w:jc w:val="center"/>
              <w:rPr>
                <w:rFonts w:ascii="Times New Roman" w:hAnsi="Times New Roman"/>
                <w:sz w:val="24"/>
                <w:szCs w:val="24"/>
              </w:rPr>
            </w:pPr>
            <w:r w:rsidRPr="006C3C9A">
              <w:rPr>
                <w:rFonts w:ascii="Times New Roman" w:hAnsi="Times New Roman"/>
                <w:sz w:val="24"/>
                <w:szCs w:val="24"/>
              </w:rPr>
              <w:t>1</w:t>
            </w:r>
          </w:p>
        </w:tc>
        <w:tc>
          <w:tcPr>
            <w:tcW w:w="2239" w:type="dxa"/>
          </w:tcPr>
          <w:p w:rsidR="006F7789" w:rsidRPr="006C3C9A" w:rsidRDefault="006F7789" w:rsidP="00E35879">
            <w:pPr>
              <w:spacing w:after="0" w:line="360" w:lineRule="auto"/>
              <w:jc w:val="center"/>
              <w:rPr>
                <w:rFonts w:ascii="Times New Roman" w:hAnsi="Times New Roman"/>
                <w:sz w:val="24"/>
                <w:szCs w:val="24"/>
              </w:rPr>
            </w:pPr>
            <w:r w:rsidRPr="006C3C9A">
              <w:rPr>
                <w:rFonts w:ascii="Times New Roman" w:hAnsi="Times New Roman"/>
                <w:sz w:val="24"/>
                <w:szCs w:val="24"/>
              </w:rPr>
              <w:t>-</w:t>
            </w:r>
          </w:p>
        </w:tc>
      </w:tr>
      <w:tr w:rsidR="006C3C9A" w:rsidRPr="006C3C9A" w:rsidTr="00CC2364">
        <w:tc>
          <w:tcPr>
            <w:tcW w:w="4707" w:type="dxa"/>
          </w:tcPr>
          <w:p w:rsidR="006F7789" w:rsidRPr="006C3C9A" w:rsidRDefault="0020111B" w:rsidP="00E35879">
            <w:pPr>
              <w:spacing w:after="0" w:line="360" w:lineRule="auto"/>
              <w:ind w:firstLine="488"/>
              <w:jc w:val="both"/>
              <w:rPr>
                <w:rFonts w:ascii="Times New Roman" w:hAnsi="Times New Roman"/>
                <w:i/>
                <w:sz w:val="24"/>
                <w:szCs w:val="24"/>
              </w:rPr>
            </w:pPr>
            <w:r w:rsidRPr="006C3C9A">
              <w:rPr>
                <w:rFonts w:ascii="Times New Roman" w:hAnsi="Times New Roman"/>
                <w:i/>
                <w:sz w:val="24"/>
                <w:szCs w:val="28"/>
                <w:lang w:val="en-US"/>
              </w:rPr>
              <w:t xml:space="preserve">with application of </w:t>
            </w:r>
            <w:proofErr w:type="spellStart"/>
            <w:r w:rsidRPr="006C3C9A">
              <w:rPr>
                <w:rFonts w:ascii="Times New Roman" w:hAnsi="Times New Roman"/>
                <w:i/>
                <w:sz w:val="24"/>
                <w:szCs w:val="28"/>
                <w:lang w:val="en-US"/>
              </w:rPr>
              <w:t>biliopancreatic</w:t>
            </w:r>
            <w:proofErr w:type="spellEnd"/>
            <w:r w:rsidRPr="006C3C9A">
              <w:rPr>
                <w:rFonts w:ascii="Times New Roman" w:hAnsi="Times New Roman"/>
                <w:i/>
                <w:sz w:val="24"/>
                <w:szCs w:val="28"/>
                <w:lang w:val="en-US"/>
              </w:rPr>
              <w:t xml:space="preserve"> </w:t>
            </w:r>
            <w:proofErr w:type="spellStart"/>
            <w:r w:rsidRPr="006C3C9A">
              <w:rPr>
                <w:rFonts w:ascii="Times New Roman" w:hAnsi="Times New Roman"/>
                <w:i/>
                <w:sz w:val="24"/>
                <w:szCs w:val="28"/>
                <w:lang w:val="en-US"/>
              </w:rPr>
              <w:t>anastomosis</w:t>
            </w:r>
            <w:proofErr w:type="spellEnd"/>
          </w:p>
        </w:tc>
        <w:tc>
          <w:tcPr>
            <w:tcW w:w="2268"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w:t>
            </w:r>
          </w:p>
        </w:tc>
        <w:tc>
          <w:tcPr>
            <w:tcW w:w="2239" w:type="dxa"/>
          </w:tcPr>
          <w:p w:rsidR="006F7789" w:rsidRPr="006C3C9A" w:rsidRDefault="006F7789" w:rsidP="00E35879">
            <w:pPr>
              <w:spacing w:after="0" w:line="360" w:lineRule="auto"/>
              <w:jc w:val="center"/>
              <w:rPr>
                <w:rFonts w:ascii="Times New Roman" w:hAnsi="Times New Roman"/>
                <w:sz w:val="24"/>
                <w:szCs w:val="24"/>
              </w:rPr>
            </w:pPr>
            <w:r w:rsidRPr="006C3C9A">
              <w:rPr>
                <w:rFonts w:ascii="Times New Roman" w:hAnsi="Times New Roman"/>
                <w:sz w:val="24"/>
                <w:szCs w:val="24"/>
              </w:rPr>
              <w:t>1</w:t>
            </w:r>
          </w:p>
        </w:tc>
      </w:tr>
      <w:tr w:rsidR="006C3C9A" w:rsidRPr="006C3C9A" w:rsidTr="00CC2364">
        <w:tc>
          <w:tcPr>
            <w:tcW w:w="4707" w:type="dxa"/>
          </w:tcPr>
          <w:p w:rsidR="006F7789" w:rsidRPr="006C3C9A" w:rsidRDefault="00B77D8F" w:rsidP="00E35879">
            <w:pPr>
              <w:spacing w:after="0" w:line="360" w:lineRule="auto"/>
              <w:rPr>
                <w:rFonts w:ascii="Times New Roman" w:hAnsi="Times New Roman"/>
                <w:b/>
                <w:sz w:val="24"/>
                <w:szCs w:val="24"/>
              </w:rPr>
            </w:pPr>
            <w:proofErr w:type="spellStart"/>
            <w:r w:rsidRPr="006C3C9A">
              <w:rPr>
                <w:rFonts w:ascii="Times New Roman" w:hAnsi="Times New Roman"/>
                <w:b/>
                <w:sz w:val="24"/>
                <w:szCs w:val="24"/>
                <w:lang w:val="en-US"/>
              </w:rPr>
              <w:t>pancreaticoduodenal</w:t>
            </w:r>
            <w:proofErr w:type="spellEnd"/>
            <w:r w:rsidRPr="006C3C9A">
              <w:rPr>
                <w:rFonts w:ascii="Times New Roman" w:hAnsi="Times New Roman"/>
                <w:b/>
                <w:sz w:val="24"/>
                <w:szCs w:val="24"/>
                <w:lang w:val="en-US"/>
              </w:rPr>
              <w:t xml:space="preserve"> resection (Whipple procedure)</w:t>
            </w:r>
          </w:p>
        </w:tc>
        <w:tc>
          <w:tcPr>
            <w:tcW w:w="2268" w:type="dxa"/>
          </w:tcPr>
          <w:p w:rsidR="006F7789" w:rsidRPr="006C3C9A" w:rsidRDefault="009E68DA"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w:t>
            </w:r>
          </w:p>
        </w:tc>
        <w:tc>
          <w:tcPr>
            <w:tcW w:w="2239" w:type="dxa"/>
          </w:tcPr>
          <w:p w:rsidR="006F7789" w:rsidRPr="006C3C9A" w:rsidRDefault="009E68DA"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5</w:t>
            </w:r>
            <w:r w:rsidR="006F7789" w:rsidRPr="006C3C9A">
              <w:rPr>
                <w:rFonts w:ascii="Times New Roman" w:hAnsi="Times New Roman"/>
                <w:b/>
                <w:sz w:val="24"/>
                <w:szCs w:val="24"/>
                <w:lang w:val="ru-RU"/>
              </w:rPr>
              <w:t xml:space="preserve"> (</w:t>
            </w:r>
            <w:r w:rsidR="00CF1FBD" w:rsidRPr="006C3C9A">
              <w:rPr>
                <w:rFonts w:ascii="Times New Roman" w:hAnsi="Times New Roman"/>
                <w:b/>
                <w:sz w:val="24"/>
                <w:szCs w:val="24"/>
                <w:lang w:val="ru-RU"/>
              </w:rPr>
              <w:t>1</w:t>
            </w:r>
            <w:r w:rsidR="008D0303" w:rsidRPr="006C3C9A">
              <w:rPr>
                <w:rFonts w:ascii="Times New Roman" w:hAnsi="Times New Roman"/>
                <w:b/>
                <w:sz w:val="24"/>
                <w:szCs w:val="24"/>
                <w:lang w:val="ru-RU"/>
              </w:rPr>
              <w:t>4</w:t>
            </w:r>
            <w:r w:rsidR="00B77D8F" w:rsidRPr="006C3C9A">
              <w:rPr>
                <w:rFonts w:ascii="Times New Roman" w:hAnsi="Times New Roman"/>
                <w:b/>
                <w:sz w:val="24"/>
                <w:szCs w:val="24"/>
                <w:lang w:val="ru-RU"/>
              </w:rPr>
              <w:t>.</w:t>
            </w:r>
            <w:r w:rsidR="008D0303" w:rsidRPr="006C3C9A">
              <w:rPr>
                <w:rFonts w:ascii="Times New Roman" w:hAnsi="Times New Roman"/>
                <w:b/>
                <w:sz w:val="24"/>
                <w:szCs w:val="24"/>
                <w:lang w:val="ru-RU"/>
              </w:rPr>
              <w:t>3</w:t>
            </w:r>
            <w:r w:rsidR="00CF1FBD" w:rsidRPr="006C3C9A">
              <w:rPr>
                <w:rFonts w:ascii="Times New Roman" w:hAnsi="Times New Roman"/>
                <w:b/>
                <w:sz w:val="24"/>
                <w:szCs w:val="24"/>
                <w:lang w:val="ru-RU"/>
              </w:rPr>
              <w:t xml:space="preserve"> %</w:t>
            </w:r>
            <w:r w:rsidR="006F7789" w:rsidRPr="006C3C9A">
              <w:rPr>
                <w:rFonts w:ascii="Times New Roman" w:hAnsi="Times New Roman"/>
                <w:b/>
                <w:sz w:val="24"/>
                <w:szCs w:val="24"/>
                <w:lang w:val="ru-RU"/>
              </w:rPr>
              <w:t>)</w:t>
            </w:r>
          </w:p>
        </w:tc>
      </w:tr>
      <w:tr w:rsidR="006C3C9A" w:rsidRPr="006C3C9A" w:rsidTr="00CC2364">
        <w:tc>
          <w:tcPr>
            <w:tcW w:w="4707" w:type="dxa"/>
          </w:tcPr>
          <w:p w:rsidR="006F7789" w:rsidRPr="006C3C9A" w:rsidRDefault="00B77D8F" w:rsidP="00E35879">
            <w:pPr>
              <w:spacing w:after="0" w:line="360" w:lineRule="auto"/>
              <w:jc w:val="both"/>
              <w:rPr>
                <w:rFonts w:ascii="Times New Roman" w:hAnsi="Times New Roman"/>
                <w:b/>
                <w:sz w:val="24"/>
                <w:szCs w:val="24"/>
              </w:rPr>
            </w:pPr>
            <w:r w:rsidRPr="006C3C9A">
              <w:rPr>
                <w:rFonts w:ascii="Times New Roman" w:hAnsi="Times New Roman"/>
                <w:b/>
                <w:sz w:val="24"/>
                <w:szCs w:val="24"/>
                <w:lang w:val="en-US"/>
              </w:rPr>
              <w:t xml:space="preserve">Berne modification of </w:t>
            </w:r>
            <w:proofErr w:type="spellStart"/>
            <w:r w:rsidRPr="006C3C9A">
              <w:rPr>
                <w:rFonts w:ascii="Times New Roman" w:hAnsi="Times New Roman"/>
                <w:b/>
                <w:sz w:val="24"/>
                <w:szCs w:val="24"/>
                <w:lang w:val="en-US"/>
              </w:rPr>
              <w:t>Beger</w:t>
            </w:r>
            <w:proofErr w:type="spellEnd"/>
            <w:r w:rsidRPr="006C3C9A">
              <w:rPr>
                <w:rFonts w:ascii="Times New Roman" w:hAnsi="Times New Roman"/>
                <w:b/>
                <w:sz w:val="24"/>
                <w:szCs w:val="24"/>
                <w:lang w:val="en-US"/>
              </w:rPr>
              <w:t xml:space="preserve"> procedure</w:t>
            </w:r>
          </w:p>
        </w:tc>
        <w:tc>
          <w:tcPr>
            <w:tcW w:w="2268" w:type="dxa"/>
          </w:tcPr>
          <w:p w:rsidR="006F7789" w:rsidRPr="006C3C9A" w:rsidRDefault="00CF1FBD"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w:t>
            </w:r>
          </w:p>
        </w:tc>
        <w:tc>
          <w:tcPr>
            <w:tcW w:w="2239" w:type="dxa"/>
          </w:tcPr>
          <w:p w:rsidR="006F7789" w:rsidRPr="006C3C9A" w:rsidRDefault="00CF1FBD"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2</w:t>
            </w:r>
            <w:r w:rsidR="006F7789" w:rsidRPr="006C3C9A">
              <w:rPr>
                <w:rFonts w:ascii="Times New Roman" w:hAnsi="Times New Roman"/>
                <w:b/>
                <w:sz w:val="24"/>
                <w:szCs w:val="24"/>
                <w:lang w:val="ru-RU"/>
              </w:rPr>
              <w:t xml:space="preserve"> (</w:t>
            </w:r>
            <w:r w:rsidR="008D0303" w:rsidRPr="006C3C9A">
              <w:rPr>
                <w:rFonts w:ascii="Times New Roman" w:hAnsi="Times New Roman"/>
                <w:b/>
                <w:sz w:val="24"/>
                <w:szCs w:val="24"/>
                <w:lang w:val="ru-RU"/>
              </w:rPr>
              <w:t>5</w:t>
            </w:r>
            <w:r w:rsidR="00B77D8F" w:rsidRPr="006C3C9A">
              <w:rPr>
                <w:rFonts w:ascii="Times New Roman" w:hAnsi="Times New Roman"/>
                <w:b/>
                <w:sz w:val="24"/>
                <w:szCs w:val="24"/>
                <w:lang w:val="ru-RU"/>
              </w:rPr>
              <w:t>.</w:t>
            </w:r>
            <w:r w:rsidR="008D0303" w:rsidRPr="006C3C9A">
              <w:rPr>
                <w:rFonts w:ascii="Times New Roman" w:hAnsi="Times New Roman"/>
                <w:b/>
                <w:sz w:val="24"/>
                <w:szCs w:val="24"/>
                <w:lang w:val="ru-RU"/>
              </w:rPr>
              <w:t>7</w:t>
            </w:r>
            <w:r w:rsidR="006F7789" w:rsidRPr="006C3C9A">
              <w:rPr>
                <w:rFonts w:ascii="Times New Roman" w:hAnsi="Times New Roman"/>
                <w:b/>
                <w:sz w:val="24"/>
                <w:szCs w:val="24"/>
                <w:lang w:val="ru-RU"/>
              </w:rPr>
              <w:t xml:space="preserve"> %)</w:t>
            </w:r>
          </w:p>
        </w:tc>
      </w:tr>
      <w:tr w:rsidR="006C3C9A" w:rsidRPr="006C3C9A" w:rsidTr="00CC2364">
        <w:tc>
          <w:tcPr>
            <w:tcW w:w="4707" w:type="dxa"/>
          </w:tcPr>
          <w:p w:rsidR="006F7789" w:rsidRPr="006C3C9A" w:rsidRDefault="00B77D8F" w:rsidP="00E35879">
            <w:pPr>
              <w:spacing w:after="0" w:line="360" w:lineRule="auto"/>
              <w:jc w:val="both"/>
              <w:rPr>
                <w:rFonts w:ascii="Times New Roman" w:hAnsi="Times New Roman"/>
                <w:b/>
                <w:sz w:val="24"/>
                <w:szCs w:val="24"/>
              </w:rPr>
            </w:pPr>
            <w:r w:rsidRPr="006C3C9A">
              <w:rPr>
                <w:rFonts w:ascii="Times New Roman" w:hAnsi="Times New Roman"/>
                <w:b/>
                <w:sz w:val="24"/>
                <w:szCs w:val="24"/>
                <w:lang w:val="en-US"/>
              </w:rPr>
              <w:t xml:space="preserve">Longitudinal </w:t>
            </w:r>
            <w:proofErr w:type="spellStart"/>
            <w:r w:rsidRPr="006C3C9A">
              <w:rPr>
                <w:rFonts w:ascii="Times New Roman" w:hAnsi="Times New Roman"/>
                <w:b/>
                <w:sz w:val="24"/>
                <w:szCs w:val="24"/>
                <w:lang w:val="en-US"/>
              </w:rPr>
              <w:t>pancreaticojejunostomy</w:t>
            </w:r>
            <w:proofErr w:type="spellEnd"/>
          </w:p>
        </w:tc>
        <w:tc>
          <w:tcPr>
            <w:tcW w:w="2268" w:type="dxa"/>
          </w:tcPr>
          <w:p w:rsidR="006F7789" w:rsidRPr="006C3C9A" w:rsidRDefault="00CF1FBD"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1</w:t>
            </w:r>
            <w:r w:rsidR="00B77D8F" w:rsidRPr="006C3C9A">
              <w:rPr>
                <w:rFonts w:ascii="Times New Roman" w:hAnsi="Times New Roman"/>
                <w:b/>
                <w:sz w:val="24"/>
                <w:szCs w:val="24"/>
              </w:rPr>
              <w:t xml:space="preserve"> (7.</w:t>
            </w:r>
            <w:r w:rsidR="008D0303" w:rsidRPr="006C3C9A">
              <w:rPr>
                <w:rFonts w:ascii="Times New Roman" w:hAnsi="Times New Roman"/>
                <w:b/>
                <w:sz w:val="24"/>
                <w:szCs w:val="24"/>
              </w:rPr>
              <w:t>1</w:t>
            </w:r>
            <w:r w:rsidR="006F7789" w:rsidRPr="006C3C9A">
              <w:rPr>
                <w:rFonts w:ascii="Times New Roman" w:hAnsi="Times New Roman"/>
                <w:b/>
                <w:sz w:val="24"/>
                <w:szCs w:val="24"/>
              </w:rPr>
              <w:t xml:space="preserve"> %)</w:t>
            </w:r>
          </w:p>
        </w:tc>
        <w:tc>
          <w:tcPr>
            <w:tcW w:w="2239" w:type="dxa"/>
          </w:tcPr>
          <w:p w:rsidR="006F7789" w:rsidRPr="006C3C9A" w:rsidRDefault="00CF1FBD"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6</w:t>
            </w:r>
            <w:r w:rsidR="006F7789" w:rsidRPr="006C3C9A">
              <w:rPr>
                <w:rFonts w:ascii="Times New Roman" w:hAnsi="Times New Roman"/>
                <w:b/>
                <w:sz w:val="24"/>
                <w:szCs w:val="24"/>
                <w:lang w:val="ru-RU"/>
              </w:rPr>
              <w:t xml:space="preserve"> (1</w:t>
            </w:r>
            <w:r w:rsidR="008D0303" w:rsidRPr="006C3C9A">
              <w:rPr>
                <w:rFonts w:ascii="Times New Roman" w:hAnsi="Times New Roman"/>
                <w:b/>
                <w:sz w:val="24"/>
                <w:szCs w:val="24"/>
                <w:lang w:val="ru-RU"/>
              </w:rPr>
              <w:t>7</w:t>
            </w:r>
            <w:r w:rsidR="00B77D8F" w:rsidRPr="006C3C9A">
              <w:rPr>
                <w:rFonts w:ascii="Times New Roman" w:hAnsi="Times New Roman"/>
                <w:b/>
                <w:sz w:val="24"/>
                <w:szCs w:val="24"/>
                <w:lang w:val="ru-RU"/>
              </w:rPr>
              <w:t>.</w:t>
            </w:r>
            <w:r w:rsidR="008D0303" w:rsidRPr="006C3C9A">
              <w:rPr>
                <w:rFonts w:ascii="Times New Roman" w:hAnsi="Times New Roman"/>
                <w:b/>
                <w:sz w:val="24"/>
                <w:szCs w:val="24"/>
                <w:lang w:val="ru-RU"/>
              </w:rPr>
              <w:t>1</w:t>
            </w:r>
            <w:r w:rsidR="006F7789" w:rsidRPr="006C3C9A">
              <w:rPr>
                <w:rFonts w:ascii="Times New Roman" w:hAnsi="Times New Roman"/>
                <w:b/>
                <w:sz w:val="24"/>
                <w:szCs w:val="24"/>
                <w:lang w:val="ru-RU"/>
              </w:rPr>
              <w:t xml:space="preserve"> %)</w:t>
            </w:r>
          </w:p>
        </w:tc>
      </w:tr>
      <w:tr w:rsidR="006C3C9A" w:rsidRPr="006C3C9A" w:rsidTr="00CC2364">
        <w:tc>
          <w:tcPr>
            <w:tcW w:w="4707" w:type="dxa"/>
          </w:tcPr>
          <w:p w:rsidR="006F7789" w:rsidRPr="006C3C9A" w:rsidRDefault="00B77D8F" w:rsidP="00E35879">
            <w:pPr>
              <w:spacing w:after="0" w:line="360" w:lineRule="auto"/>
              <w:ind w:firstLine="488"/>
              <w:jc w:val="both"/>
              <w:rPr>
                <w:rFonts w:ascii="Times New Roman" w:hAnsi="Times New Roman"/>
                <w:sz w:val="24"/>
                <w:szCs w:val="24"/>
              </w:rPr>
            </w:pPr>
            <w:r w:rsidRPr="006C3C9A">
              <w:rPr>
                <w:rFonts w:ascii="Times New Roman" w:hAnsi="Times New Roman"/>
                <w:i/>
                <w:sz w:val="24"/>
                <w:szCs w:val="24"/>
                <w:lang w:val="en-US"/>
              </w:rPr>
              <w:t xml:space="preserve">with </w:t>
            </w:r>
            <w:proofErr w:type="spellStart"/>
            <w:r w:rsidRPr="006C3C9A">
              <w:rPr>
                <w:rFonts w:ascii="Times New Roman" w:hAnsi="Times New Roman"/>
                <w:i/>
                <w:sz w:val="24"/>
                <w:szCs w:val="24"/>
                <w:lang w:val="en-US"/>
              </w:rPr>
              <w:t>hepaticoenteroanastomosis</w:t>
            </w:r>
            <w:proofErr w:type="spellEnd"/>
          </w:p>
        </w:tc>
        <w:tc>
          <w:tcPr>
            <w:tcW w:w="2268" w:type="dxa"/>
          </w:tcPr>
          <w:p w:rsidR="006F7789" w:rsidRPr="006C3C9A" w:rsidRDefault="006F7789" w:rsidP="00E35879">
            <w:pPr>
              <w:spacing w:after="0" w:line="360" w:lineRule="auto"/>
              <w:jc w:val="center"/>
              <w:rPr>
                <w:rFonts w:ascii="Times New Roman" w:hAnsi="Times New Roman"/>
                <w:sz w:val="24"/>
                <w:szCs w:val="24"/>
              </w:rPr>
            </w:pPr>
            <w:r w:rsidRPr="006C3C9A">
              <w:rPr>
                <w:rFonts w:ascii="Times New Roman" w:hAnsi="Times New Roman"/>
                <w:sz w:val="24"/>
                <w:szCs w:val="24"/>
              </w:rPr>
              <w:t>1</w:t>
            </w:r>
          </w:p>
        </w:tc>
        <w:tc>
          <w:tcPr>
            <w:tcW w:w="2239" w:type="dxa"/>
          </w:tcPr>
          <w:p w:rsidR="006F7789" w:rsidRPr="006C3C9A" w:rsidRDefault="006F7789" w:rsidP="00E35879">
            <w:pPr>
              <w:spacing w:after="0" w:line="360" w:lineRule="auto"/>
              <w:jc w:val="center"/>
              <w:rPr>
                <w:rFonts w:ascii="Times New Roman" w:hAnsi="Times New Roman"/>
                <w:sz w:val="24"/>
                <w:szCs w:val="24"/>
              </w:rPr>
            </w:pPr>
            <w:r w:rsidRPr="006C3C9A">
              <w:rPr>
                <w:rFonts w:ascii="Times New Roman" w:hAnsi="Times New Roman"/>
                <w:sz w:val="24"/>
                <w:szCs w:val="24"/>
              </w:rPr>
              <w:t>3</w:t>
            </w:r>
          </w:p>
        </w:tc>
      </w:tr>
      <w:tr w:rsidR="006C3C9A" w:rsidRPr="006C3C9A" w:rsidTr="00CC2364">
        <w:tc>
          <w:tcPr>
            <w:tcW w:w="4707" w:type="dxa"/>
          </w:tcPr>
          <w:p w:rsidR="006F7789" w:rsidRPr="006C3C9A" w:rsidRDefault="00B77D8F" w:rsidP="00F94A5C">
            <w:pPr>
              <w:spacing w:after="0" w:line="360" w:lineRule="auto"/>
              <w:ind w:firstLine="488"/>
              <w:jc w:val="both"/>
              <w:rPr>
                <w:rFonts w:ascii="Times New Roman" w:hAnsi="Times New Roman"/>
                <w:sz w:val="24"/>
                <w:szCs w:val="24"/>
                <w:lang w:val="en-US"/>
              </w:rPr>
            </w:pPr>
            <w:r w:rsidRPr="006C3C9A">
              <w:rPr>
                <w:rFonts w:ascii="Times New Roman" w:hAnsi="Times New Roman"/>
                <w:i/>
                <w:sz w:val="24"/>
                <w:szCs w:val="24"/>
                <w:lang w:val="en-US"/>
              </w:rPr>
              <w:t xml:space="preserve"> with insertion according to </w:t>
            </w:r>
            <w:proofErr w:type="spellStart"/>
            <w:r w:rsidRPr="006C3C9A">
              <w:rPr>
                <w:rFonts w:ascii="Times New Roman" w:hAnsi="Times New Roman"/>
                <w:i/>
                <w:sz w:val="24"/>
                <w:szCs w:val="24"/>
                <w:lang w:val="en-US"/>
              </w:rPr>
              <w:t>Kopchak</w:t>
            </w:r>
            <w:proofErr w:type="spellEnd"/>
            <w:r w:rsidRPr="006C3C9A">
              <w:rPr>
                <w:rFonts w:ascii="Times New Roman" w:hAnsi="Times New Roman"/>
                <w:i/>
                <w:sz w:val="24"/>
                <w:szCs w:val="24"/>
                <w:lang w:val="en-US"/>
              </w:rPr>
              <w:t xml:space="preserve"> and</w:t>
            </w:r>
            <w:r w:rsidRPr="006C3C9A">
              <w:rPr>
                <w:rFonts w:ascii="Times New Roman" w:hAnsi="Times New Roman"/>
                <w:i/>
                <w:sz w:val="24"/>
                <w:szCs w:val="24"/>
              </w:rPr>
              <w:t xml:space="preserve"> </w:t>
            </w:r>
            <w:r w:rsidR="00F94A5C" w:rsidRPr="006C3C9A">
              <w:rPr>
                <w:rFonts w:ascii="Times New Roman" w:hAnsi="Times New Roman"/>
                <w:i/>
                <w:sz w:val="24"/>
                <w:szCs w:val="24"/>
                <w:lang w:val="en-US"/>
              </w:rPr>
              <w:t>HEA</w:t>
            </w:r>
          </w:p>
        </w:tc>
        <w:tc>
          <w:tcPr>
            <w:tcW w:w="2268" w:type="dxa"/>
          </w:tcPr>
          <w:p w:rsidR="006F7789" w:rsidRPr="006C3C9A" w:rsidRDefault="00CF1FBD" w:rsidP="00E35879">
            <w:pPr>
              <w:spacing w:after="0" w:line="360" w:lineRule="auto"/>
              <w:jc w:val="center"/>
              <w:rPr>
                <w:rFonts w:ascii="Times New Roman" w:hAnsi="Times New Roman"/>
                <w:sz w:val="24"/>
                <w:szCs w:val="24"/>
              </w:rPr>
            </w:pPr>
            <w:r w:rsidRPr="006C3C9A">
              <w:rPr>
                <w:rFonts w:ascii="Times New Roman" w:hAnsi="Times New Roman"/>
                <w:sz w:val="24"/>
                <w:szCs w:val="24"/>
              </w:rPr>
              <w:t>-</w:t>
            </w:r>
          </w:p>
        </w:tc>
        <w:tc>
          <w:tcPr>
            <w:tcW w:w="2239" w:type="dxa"/>
          </w:tcPr>
          <w:p w:rsidR="006F7789" w:rsidRPr="006C3C9A" w:rsidRDefault="006F7789" w:rsidP="00E35879">
            <w:pPr>
              <w:spacing w:after="0" w:line="360" w:lineRule="auto"/>
              <w:jc w:val="center"/>
              <w:rPr>
                <w:rFonts w:ascii="Times New Roman" w:hAnsi="Times New Roman"/>
                <w:sz w:val="24"/>
                <w:szCs w:val="24"/>
              </w:rPr>
            </w:pPr>
            <w:r w:rsidRPr="006C3C9A">
              <w:rPr>
                <w:rFonts w:ascii="Times New Roman" w:hAnsi="Times New Roman"/>
                <w:sz w:val="24"/>
                <w:szCs w:val="24"/>
              </w:rPr>
              <w:t>3</w:t>
            </w:r>
          </w:p>
        </w:tc>
      </w:tr>
      <w:tr w:rsidR="006C3C9A" w:rsidRPr="006C3C9A" w:rsidTr="00CC2364">
        <w:tc>
          <w:tcPr>
            <w:tcW w:w="4707" w:type="dxa"/>
          </w:tcPr>
          <w:p w:rsidR="006F7789" w:rsidRPr="006C3C9A" w:rsidRDefault="00B77D8F" w:rsidP="00E35879">
            <w:pPr>
              <w:pStyle w:val="a7"/>
              <w:spacing w:after="0" w:line="360" w:lineRule="auto"/>
              <w:ind w:left="0"/>
              <w:jc w:val="both"/>
              <w:rPr>
                <w:rFonts w:ascii="Times New Roman" w:hAnsi="Times New Roman"/>
                <w:b/>
                <w:sz w:val="24"/>
                <w:szCs w:val="24"/>
              </w:rPr>
            </w:pPr>
            <w:proofErr w:type="spellStart"/>
            <w:r w:rsidRPr="006C3C9A">
              <w:rPr>
                <w:rFonts w:ascii="Times New Roman" w:hAnsi="Times New Roman"/>
                <w:b/>
                <w:sz w:val="24"/>
                <w:szCs w:val="24"/>
                <w:lang w:val="en-US"/>
              </w:rPr>
              <w:t>Cystenterostomy</w:t>
            </w:r>
            <w:proofErr w:type="spellEnd"/>
          </w:p>
        </w:tc>
        <w:tc>
          <w:tcPr>
            <w:tcW w:w="2268" w:type="dxa"/>
          </w:tcPr>
          <w:p w:rsidR="006F7789" w:rsidRPr="006C3C9A" w:rsidRDefault="00CF1FBD"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w:t>
            </w:r>
          </w:p>
        </w:tc>
        <w:tc>
          <w:tcPr>
            <w:tcW w:w="2239" w:type="dxa"/>
          </w:tcPr>
          <w:p w:rsidR="006F7789" w:rsidRPr="006C3C9A" w:rsidRDefault="006F7789"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2 (</w:t>
            </w:r>
            <w:r w:rsidR="008D0303" w:rsidRPr="006C3C9A">
              <w:rPr>
                <w:rFonts w:ascii="Times New Roman" w:hAnsi="Times New Roman"/>
                <w:b/>
                <w:sz w:val="24"/>
                <w:szCs w:val="24"/>
                <w:lang w:val="ru-RU"/>
              </w:rPr>
              <w:t>5</w:t>
            </w:r>
            <w:r w:rsidR="00B77D8F" w:rsidRPr="006C3C9A">
              <w:rPr>
                <w:rFonts w:ascii="Times New Roman" w:hAnsi="Times New Roman"/>
                <w:b/>
                <w:sz w:val="24"/>
                <w:szCs w:val="24"/>
                <w:lang w:val="ru-RU"/>
              </w:rPr>
              <w:t>.</w:t>
            </w:r>
            <w:r w:rsidR="008D0303" w:rsidRPr="006C3C9A">
              <w:rPr>
                <w:rFonts w:ascii="Times New Roman" w:hAnsi="Times New Roman"/>
                <w:b/>
                <w:sz w:val="24"/>
                <w:szCs w:val="24"/>
                <w:lang w:val="ru-RU"/>
              </w:rPr>
              <w:t>7</w:t>
            </w:r>
            <w:r w:rsidRPr="006C3C9A">
              <w:rPr>
                <w:rFonts w:ascii="Times New Roman" w:hAnsi="Times New Roman"/>
                <w:b/>
                <w:sz w:val="24"/>
                <w:szCs w:val="24"/>
                <w:lang w:val="ru-RU"/>
              </w:rPr>
              <w:t xml:space="preserve"> %)</w:t>
            </w:r>
          </w:p>
        </w:tc>
      </w:tr>
      <w:tr w:rsidR="006C3C9A" w:rsidRPr="006C3C9A" w:rsidTr="00CC2364">
        <w:tc>
          <w:tcPr>
            <w:tcW w:w="4707" w:type="dxa"/>
          </w:tcPr>
          <w:p w:rsidR="006F7789" w:rsidRPr="006C3C9A" w:rsidRDefault="00B77D8F" w:rsidP="00E35879">
            <w:pPr>
              <w:spacing w:after="0" w:line="360" w:lineRule="auto"/>
              <w:jc w:val="both"/>
              <w:rPr>
                <w:rFonts w:ascii="Times New Roman" w:hAnsi="Times New Roman"/>
                <w:b/>
                <w:sz w:val="24"/>
                <w:szCs w:val="24"/>
              </w:rPr>
            </w:pPr>
            <w:r w:rsidRPr="006C3C9A">
              <w:rPr>
                <w:rFonts w:ascii="Times New Roman" w:hAnsi="Times New Roman"/>
                <w:b/>
                <w:sz w:val="24"/>
                <w:szCs w:val="24"/>
                <w:lang w:val="en-US"/>
              </w:rPr>
              <w:t xml:space="preserve">Endoscopic </w:t>
            </w:r>
            <w:proofErr w:type="spellStart"/>
            <w:r w:rsidRPr="006C3C9A">
              <w:rPr>
                <w:rFonts w:ascii="Times New Roman" w:hAnsi="Times New Roman"/>
                <w:b/>
                <w:sz w:val="24"/>
                <w:szCs w:val="24"/>
                <w:lang w:val="en-US"/>
              </w:rPr>
              <w:t>cystoduodenostomy</w:t>
            </w:r>
            <w:proofErr w:type="spellEnd"/>
          </w:p>
        </w:tc>
        <w:tc>
          <w:tcPr>
            <w:tcW w:w="2268" w:type="dxa"/>
          </w:tcPr>
          <w:p w:rsidR="006F7789" w:rsidRPr="006C3C9A" w:rsidRDefault="006F7789" w:rsidP="00E35879">
            <w:pPr>
              <w:spacing w:after="0" w:line="360" w:lineRule="auto"/>
              <w:jc w:val="center"/>
              <w:rPr>
                <w:rFonts w:ascii="Times New Roman" w:hAnsi="Times New Roman"/>
                <w:b/>
                <w:sz w:val="24"/>
                <w:szCs w:val="24"/>
              </w:rPr>
            </w:pPr>
          </w:p>
        </w:tc>
        <w:tc>
          <w:tcPr>
            <w:tcW w:w="2239" w:type="dxa"/>
          </w:tcPr>
          <w:p w:rsidR="006F7789" w:rsidRPr="006C3C9A" w:rsidRDefault="00CF1FBD"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2</w:t>
            </w:r>
            <w:r w:rsidR="006F7789" w:rsidRPr="006C3C9A">
              <w:rPr>
                <w:rFonts w:ascii="Times New Roman" w:hAnsi="Times New Roman"/>
                <w:b/>
                <w:sz w:val="24"/>
                <w:szCs w:val="24"/>
                <w:lang w:val="ru-RU"/>
              </w:rPr>
              <w:t xml:space="preserve"> (</w:t>
            </w:r>
            <w:r w:rsidR="008D0303" w:rsidRPr="006C3C9A">
              <w:rPr>
                <w:rFonts w:ascii="Times New Roman" w:hAnsi="Times New Roman"/>
                <w:b/>
                <w:sz w:val="24"/>
                <w:szCs w:val="24"/>
                <w:lang w:val="ru-RU"/>
              </w:rPr>
              <w:t>5</w:t>
            </w:r>
            <w:r w:rsidR="00B77D8F" w:rsidRPr="006C3C9A">
              <w:rPr>
                <w:rFonts w:ascii="Times New Roman" w:hAnsi="Times New Roman"/>
                <w:b/>
                <w:sz w:val="24"/>
                <w:szCs w:val="24"/>
                <w:lang w:val="en-US"/>
              </w:rPr>
              <w:t>.</w:t>
            </w:r>
            <w:r w:rsidR="008D0303" w:rsidRPr="006C3C9A">
              <w:rPr>
                <w:rFonts w:ascii="Times New Roman" w:hAnsi="Times New Roman"/>
                <w:b/>
                <w:sz w:val="24"/>
                <w:szCs w:val="24"/>
                <w:lang w:val="ru-RU"/>
              </w:rPr>
              <w:t>7</w:t>
            </w:r>
            <w:r w:rsidR="006F7789" w:rsidRPr="006C3C9A">
              <w:rPr>
                <w:rFonts w:ascii="Times New Roman" w:hAnsi="Times New Roman"/>
                <w:b/>
                <w:sz w:val="24"/>
                <w:szCs w:val="24"/>
                <w:lang w:val="ru-RU"/>
              </w:rPr>
              <w:t xml:space="preserve"> %)</w:t>
            </w:r>
          </w:p>
        </w:tc>
      </w:tr>
      <w:tr w:rsidR="006C3C9A" w:rsidRPr="006C3C9A" w:rsidTr="00CC2364">
        <w:tc>
          <w:tcPr>
            <w:tcW w:w="4707" w:type="dxa"/>
          </w:tcPr>
          <w:p w:rsidR="006F7789" w:rsidRPr="006C3C9A" w:rsidRDefault="00B77D8F" w:rsidP="00E35879">
            <w:pPr>
              <w:spacing w:after="0" w:line="240" w:lineRule="auto"/>
              <w:rPr>
                <w:rFonts w:ascii="Times New Roman" w:hAnsi="Times New Roman"/>
                <w:b/>
                <w:sz w:val="24"/>
                <w:szCs w:val="24"/>
              </w:rPr>
            </w:pPr>
            <w:r w:rsidRPr="006C3C9A">
              <w:rPr>
                <w:rFonts w:ascii="Times New Roman" w:hAnsi="Times New Roman"/>
                <w:b/>
                <w:sz w:val="24"/>
                <w:szCs w:val="24"/>
                <w:lang w:val="en-US"/>
              </w:rPr>
              <w:t xml:space="preserve">Palliative </w:t>
            </w:r>
            <w:proofErr w:type="spellStart"/>
            <w:r w:rsidRPr="006C3C9A">
              <w:rPr>
                <w:rFonts w:ascii="Times New Roman" w:hAnsi="Times New Roman"/>
                <w:b/>
                <w:sz w:val="24"/>
                <w:szCs w:val="24"/>
                <w:lang w:val="en-US"/>
              </w:rPr>
              <w:t>hepaticojejunostomy</w:t>
            </w:r>
            <w:proofErr w:type="spellEnd"/>
            <w:r w:rsidRPr="006C3C9A">
              <w:rPr>
                <w:rFonts w:ascii="Times New Roman" w:hAnsi="Times New Roman"/>
                <w:b/>
                <w:sz w:val="24"/>
                <w:szCs w:val="24"/>
                <w:lang w:val="en-US"/>
              </w:rPr>
              <w:t xml:space="preserve"> </w:t>
            </w:r>
          </w:p>
        </w:tc>
        <w:tc>
          <w:tcPr>
            <w:tcW w:w="2268" w:type="dxa"/>
          </w:tcPr>
          <w:p w:rsidR="006F7789" w:rsidRPr="006C3C9A" w:rsidRDefault="00CF1FBD"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w:t>
            </w:r>
          </w:p>
        </w:tc>
        <w:tc>
          <w:tcPr>
            <w:tcW w:w="2239" w:type="dxa"/>
          </w:tcPr>
          <w:p w:rsidR="006F7789" w:rsidRPr="006C3C9A" w:rsidRDefault="00CF1FBD"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2</w:t>
            </w:r>
            <w:r w:rsidR="00B77D8F" w:rsidRPr="006C3C9A">
              <w:rPr>
                <w:rFonts w:ascii="Times New Roman" w:hAnsi="Times New Roman"/>
                <w:b/>
                <w:sz w:val="24"/>
                <w:szCs w:val="24"/>
                <w:lang w:val="ru-RU"/>
              </w:rPr>
              <w:t xml:space="preserve"> (5.</w:t>
            </w:r>
            <w:r w:rsidR="008D0303" w:rsidRPr="006C3C9A">
              <w:rPr>
                <w:rFonts w:ascii="Times New Roman" w:hAnsi="Times New Roman"/>
                <w:b/>
                <w:sz w:val="24"/>
                <w:szCs w:val="24"/>
                <w:lang w:val="ru-RU"/>
              </w:rPr>
              <w:t>7 %)</w:t>
            </w:r>
          </w:p>
        </w:tc>
      </w:tr>
      <w:tr w:rsidR="006C3C9A" w:rsidRPr="006C3C9A" w:rsidTr="00CC2364">
        <w:tc>
          <w:tcPr>
            <w:tcW w:w="4707" w:type="dxa"/>
          </w:tcPr>
          <w:p w:rsidR="006F7789" w:rsidRPr="006C3C9A" w:rsidRDefault="00B77D8F" w:rsidP="00E35879">
            <w:pPr>
              <w:spacing w:after="0" w:line="240" w:lineRule="auto"/>
              <w:rPr>
                <w:rFonts w:ascii="Times New Roman" w:hAnsi="Times New Roman"/>
                <w:b/>
                <w:sz w:val="24"/>
                <w:szCs w:val="24"/>
              </w:rPr>
            </w:pPr>
            <w:r w:rsidRPr="006C3C9A">
              <w:rPr>
                <w:rFonts w:ascii="Times New Roman" w:hAnsi="Times New Roman"/>
                <w:b/>
                <w:sz w:val="24"/>
                <w:szCs w:val="24"/>
                <w:lang w:val="en-US"/>
              </w:rPr>
              <w:t>External draining of pancreatic cyst</w:t>
            </w:r>
          </w:p>
        </w:tc>
        <w:tc>
          <w:tcPr>
            <w:tcW w:w="2268" w:type="dxa"/>
          </w:tcPr>
          <w:p w:rsidR="006F7789" w:rsidRPr="006C3C9A" w:rsidRDefault="006F7789"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w:t>
            </w:r>
          </w:p>
        </w:tc>
        <w:tc>
          <w:tcPr>
            <w:tcW w:w="2239" w:type="dxa"/>
          </w:tcPr>
          <w:p w:rsidR="006F7789" w:rsidRPr="006C3C9A" w:rsidRDefault="006F7789"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lang w:val="ru-RU"/>
              </w:rPr>
              <w:t>1 (</w:t>
            </w:r>
            <w:r w:rsidR="00B77D8F" w:rsidRPr="006C3C9A">
              <w:rPr>
                <w:rFonts w:ascii="Times New Roman" w:hAnsi="Times New Roman"/>
                <w:b/>
                <w:sz w:val="24"/>
                <w:szCs w:val="24"/>
                <w:lang w:val="ru-RU"/>
              </w:rPr>
              <w:t>2.</w:t>
            </w:r>
            <w:r w:rsidR="008D0303" w:rsidRPr="006C3C9A">
              <w:rPr>
                <w:rFonts w:ascii="Times New Roman" w:hAnsi="Times New Roman"/>
                <w:b/>
                <w:sz w:val="24"/>
                <w:szCs w:val="24"/>
                <w:lang w:val="ru-RU"/>
              </w:rPr>
              <w:t>8</w:t>
            </w:r>
            <w:r w:rsidRPr="006C3C9A">
              <w:rPr>
                <w:rFonts w:ascii="Times New Roman" w:hAnsi="Times New Roman"/>
                <w:b/>
                <w:sz w:val="24"/>
                <w:szCs w:val="24"/>
                <w:lang w:val="ru-RU"/>
              </w:rPr>
              <w:t xml:space="preserve"> %)</w:t>
            </w:r>
          </w:p>
        </w:tc>
      </w:tr>
      <w:tr w:rsidR="006C3C9A" w:rsidRPr="006C3C9A" w:rsidTr="00CC2364">
        <w:tc>
          <w:tcPr>
            <w:tcW w:w="4707" w:type="dxa"/>
          </w:tcPr>
          <w:p w:rsidR="006F7789" w:rsidRPr="006C3C9A" w:rsidRDefault="00B77D8F" w:rsidP="00E35879">
            <w:pPr>
              <w:spacing w:after="0" w:line="360" w:lineRule="auto"/>
              <w:rPr>
                <w:rFonts w:ascii="Times New Roman" w:hAnsi="Times New Roman"/>
                <w:b/>
                <w:sz w:val="24"/>
                <w:szCs w:val="24"/>
              </w:rPr>
            </w:pPr>
            <w:r w:rsidRPr="006C3C9A">
              <w:rPr>
                <w:rFonts w:ascii="Times New Roman" w:hAnsi="Times New Roman"/>
                <w:b/>
                <w:sz w:val="24"/>
                <w:szCs w:val="24"/>
                <w:lang w:val="en-US"/>
              </w:rPr>
              <w:t xml:space="preserve">ERCP with </w:t>
            </w:r>
            <w:proofErr w:type="spellStart"/>
            <w:r w:rsidRPr="006C3C9A">
              <w:rPr>
                <w:rFonts w:ascii="Times New Roman" w:hAnsi="Times New Roman"/>
                <w:b/>
                <w:sz w:val="24"/>
                <w:szCs w:val="24"/>
                <w:lang w:val="en-US"/>
              </w:rPr>
              <w:t>endobiliary</w:t>
            </w:r>
            <w:proofErr w:type="spellEnd"/>
            <w:r w:rsidRPr="006C3C9A">
              <w:rPr>
                <w:rFonts w:ascii="Times New Roman" w:hAnsi="Times New Roman"/>
                <w:b/>
                <w:sz w:val="24"/>
                <w:szCs w:val="24"/>
                <w:lang w:val="en-US"/>
              </w:rPr>
              <w:t xml:space="preserve"> </w:t>
            </w:r>
            <w:proofErr w:type="spellStart"/>
            <w:r w:rsidRPr="006C3C9A">
              <w:rPr>
                <w:rFonts w:ascii="Times New Roman" w:hAnsi="Times New Roman"/>
                <w:b/>
                <w:sz w:val="24"/>
                <w:szCs w:val="24"/>
                <w:lang w:val="en-US"/>
              </w:rPr>
              <w:t>stenting</w:t>
            </w:r>
            <w:proofErr w:type="spellEnd"/>
          </w:p>
        </w:tc>
        <w:tc>
          <w:tcPr>
            <w:tcW w:w="2268" w:type="dxa"/>
          </w:tcPr>
          <w:p w:rsidR="006F7789" w:rsidRPr="006C3C9A" w:rsidRDefault="00CF1FBD" w:rsidP="00E35879">
            <w:pPr>
              <w:spacing w:after="0" w:line="360" w:lineRule="auto"/>
              <w:jc w:val="center"/>
              <w:rPr>
                <w:rFonts w:ascii="Times New Roman" w:hAnsi="Times New Roman"/>
                <w:b/>
                <w:sz w:val="24"/>
                <w:szCs w:val="24"/>
              </w:rPr>
            </w:pPr>
            <w:r w:rsidRPr="006C3C9A">
              <w:rPr>
                <w:rFonts w:ascii="Times New Roman" w:hAnsi="Times New Roman"/>
                <w:b/>
                <w:sz w:val="24"/>
                <w:szCs w:val="24"/>
              </w:rPr>
              <w:t>-</w:t>
            </w:r>
          </w:p>
        </w:tc>
        <w:tc>
          <w:tcPr>
            <w:tcW w:w="2239" w:type="dxa"/>
          </w:tcPr>
          <w:p w:rsidR="006F7789" w:rsidRPr="006C3C9A" w:rsidRDefault="00CF1FBD" w:rsidP="00E35879">
            <w:pPr>
              <w:spacing w:after="0" w:line="360" w:lineRule="auto"/>
              <w:jc w:val="center"/>
              <w:rPr>
                <w:rFonts w:ascii="Times New Roman" w:hAnsi="Times New Roman"/>
                <w:b/>
                <w:sz w:val="24"/>
                <w:szCs w:val="24"/>
                <w:lang w:val="ru-RU"/>
              </w:rPr>
            </w:pPr>
            <w:r w:rsidRPr="006C3C9A">
              <w:rPr>
                <w:rFonts w:ascii="Times New Roman" w:hAnsi="Times New Roman"/>
                <w:b/>
                <w:sz w:val="24"/>
                <w:szCs w:val="24"/>
              </w:rPr>
              <w:t>5 (</w:t>
            </w:r>
            <w:r w:rsidR="008D0303" w:rsidRPr="006C3C9A">
              <w:rPr>
                <w:rFonts w:ascii="Times New Roman" w:hAnsi="Times New Roman"/>
                <w:b/>
                <w:sz w:val="24"/>
                <w:szCs w:val="24"/>
              </w:rPr>
              <w:t>1</w:t>
            </w:r>
            <w:r w:rsidRPr="006C3C9A">
              <w:rPr>
                <w:rFonts w:ascii="Times New Roman" w:hAnsi="Times New Roman"/>
                <w:b/>
                <w:sz w:val="24"/>
                <w:szCs w:val="24"/>
              </w:rPr>
              <w:t>4</w:t>
            </w:r>
            <w:r w:rsidR="00B77D8F" w:rsidRPr="006C3C9A">
              <w:rPr>
                <w:rFonts w:ascii="Times New Roman" w:hAnsi="Times New Roman"/>
                <w:b/>
                <w:sz w:val="24"/>
                <w:szCs w:val="24"/>
                <w:lang w:val="en-US"/>
              </w:rPr>
              <w:t>.</w:t>
            </w:r>
            <w:r w:rsidRPr="006C3C9A">
              <w:rPr>
                <w:rFonts w:ascii="Times New Roman" w:hAnsi="Times New Roman"/>
                <w:b/>
                <w:sz w:val="24"/>
                <w:szCs w:val="24"/>
              </w:rPr>
              <w:t>3 %)</w:t>
            </w:r>
          </w:p>
        </w:tc>
      </w:tr>
    </w:tbl>
    <w:p w:rsidR="0039009E" w:rsidRDefault="0039009E" w:rsidP="00E35879">
      <w:pPr>
        <w:spacing w:before="120" w:after="0" w:line="360" w:lineRule="auto"/>
        <w:ind w:firstLine="851"/>
        <w:jc w:val="both"/>
        <w:rPr>
          <w:rFonts w:ascii="Times New Roman" w:hAnsi="Times New Roman"/>
          <w:sz w:val="28"/>
          <w:szCs w:val="28"/>
          <w:lang w:val="ru-RU"/>
        </w:rPr>
      </w:pPr>
    </w:p>
    <w:p w:rsidR="00CF4B8C" w:rsidRPr="006C3C9A" w:rsidRDefault="00F94C61" w:rsidP="00E35879">
      <w:pPr>
        <w:spacing w:before="120" w:after="0" w:line="360" w:lineRule="auto"/>
        <w:ind w:firstLine="851"/>
        <w:jc w:val="both"/>
        <w:rPr>
          <w:rFonts w:ascii="Times New Roman" w:hAnsi="Times New Roman"/>
          <w:b/>
          <w:sz w:val="28"/>
          <w:szCs w:val="28"/>
        </w:rPr>
      </w:pPr>
      <w:r w:rsidRPr="006C3C9A">
        <w:rPr>
          <w:rFonts w:ascii="Times New Roman" w:hAnsi="Times New Roman"/>
          <w:sz w:val="28"/>
          <w:szCs w:val="28"/>
          <w:lang w:val="en-US"/>
        </w:rPr>
        <w:t>Surgeries</w:t>
      </w:r>
      <w:r w:rsidRPr="006C3C9A">
        <w:rPr>
          <w:rFonts w:ascii="Times New Roman" w:hAnsi="Times New Roman"/>
          <w:sz w:val="28"/>
          <w:szCs w:val="28"/>
        </w:rPr>
        <w:t xml:space="preserve"> </w:t>
      </w:r>
      <w:r w:rsidRPr="006C3C9A">
        <w:rPr>
          <w:rFonts w:ascii="Times New Roman" w:hAnsi="Times New Roman"/>
          <w:sz w:val="28"/>
          <w:szCs w:val="28"/>
          <w:lang w:val="en-US"/>
        </w:rPr>
        <w:t>of</w:t>
      </w:r>
      <w:r w:rsidRPr="006C3C9A">
        <w:rPr>
          <w:rFonts w:ascii="Times New Roman" w:hAnsi="Times New Roman"/>
          <w:sz w:val="28"/>
          <w:szCs w:val="28"/>
        </w:rPr>
        <w:t xml:space="preserve"> </w:t>
      </w:r>
      <w:r w:rsidRPr="006C3C9A">
        <w:rPr>
          <w:rFonts w:ascii="Times New Roman" w:hAnsi="Times New Roman"/>
          <w:sz w:val="28"/>
          <w:szCs w:val="28"/>
          <w:lang w:val="en-US"/>
        </w:rPr>
        <w:t>choice</w:t>
      </w:r>
      <w:r w:rsidRPr="006C3C9A">
        <w:rPr>
          <w:rFonts w:ascii="Times New Roman" w:hAnsi="Times New Roman"/>
          <w:sz w:val="28"/>
          <w:szCs w:val="28"/>
        </w:rPr>
        <w:t xml:space="preserve"> </w:t>
      </w:r>
      <w:r w:rsidRPr="006C3C9A">
        <w:rPr>
          <w:rFonts w:ascii="Times New Roman" w:hAnsi="Times New Roman"/>
          <w:sz w:val="28"/>
          <w:szCs w:val="28"/>
          <w:lang w:val="en-US"/>
        </w:rPr>
        <w:t>in</w:t>
      </w:r>
      <w:r w:rsidRPr="006C3C9A">
        <w:rPr>
          <w:rFonts w:ascii="Times New Roman" w:hAnsi="Times New Roman"/>
          <w:sz w:val="28"/>
          <w:szCs w:val="28"/>
        </w:rPr>
        <w:t xml:space="preserve"> </w:t>
      </w:r>
      <w:r w:rsidRPr="006C3C9A">
        <w:rPr>
          <w:rFonts w:ascii="Times New Roman" w:hAnsi="Times New Roman"/>
          <w:sz w:val="28"/>
          <w:szCs w:val="28"/>
          <w:lang w:val="en-US"/>
        </w:rPr>
        <w:t>patients</w:t>
      </w:r>
      <w:r w:rsidRPr="006C3C9A">
        <w:rPr>
          <w:rFonts w:ascii="Times New Roman" w:hAnsi="Times New Roman"/>
          <w:sz w:val="28"/>
          <w:szCs w:val="28"/>
        </w:rPr>
        <w:t xml:space="preserve"> </w:t>
      </w:r>
      <w:r w:rsidRPr="006C3C9A">
        <w:rPr>
          <w:rFonts w:ascii="Times New Roman" w:hAnsi="Times New Roman"/>
          <w:sz w:val="28"/>
          <w:szCs w:val="28"/>
          <w:lang w:val="en-US"/>
        </w:rPr>
        <w:t>with</w:t>
      </w:r>
      <w:r w:rsidRPr="006C3C9A">
        <w:rPr>
          <w:rFonts w:ascii="Times New Roman" w:hAnsi="Times New Roman"/>
          <w:sz w:val="28"/>
          <w:szCs w:val="28"/>
        </w:rPr>
        <w:t xml:space="preserve"> </w:t>
      </w:r>
      <w:r w:rsidRPr="006C3C9A">
        <w:rPr>
          <w:rFonts w:ascii="Times New Roman" w:hAnsi="Times New Roman"/>
          <w:sz w:val="28"/>
          <w:szCs w:val="28"/>
          <w:lang w:val="en-US"/>
        </w:rPr>
        <w:t>CP</w:t>
      </w:r>
      <w:r w:rsidRPr="006C3C9A">
        <w:rPr>
          <w:rFonts w:ascii="Times New Roman" w:hAnsi="Times New Roman"/>
          <w:sz w:val="28"/>
          <w:szCs w:val="28"/>
        </w:rPr>
        <w:t xml:space="preserve"> </w:t>
      </w:r>
      <w:r w:rsidRPr="006C3C9A">
        <w:rPr>
          <w:rFonts w:ascii="Times New Roman" w:hAnsi="Times New Roman"/>
          <w:sz w:val="28"/>
          <w:szCs w:val="28"/>
          <w:lang w:val="en-US"/>
        </w:rPr>
        <w:t>accompanied</w:t>
      </w:r>
      <w:r w:rsidRPr="006C3C9A">
        <w:rPr>
          <w:rFonts w:ascii="Times New Roman" w:hAnsi="Times New Roman"/>
          <w:sz w:val="28"/>
          <w:szCs w:val="28"/>
        </w:rPr>
        <w:t xml:space="preserve"> </w:t>
      </w:r>
      <w:r w:rsidRPr="006C3C9A">
        <w:rPr>
          <w:rFonts w:ascii="Times New Roman" w:hAnsi="Times New Roman"/>
          <w:sz w:val="28"/>
          <w:szCs w:val="28"/>
          <w:lang w:val="en-US"/>
        </w:rPr>
        <w:t>by</w:t>
      </w:r>
      <w:r w:rsidRPr="006C3C9A">
        <w:rPr>
          <w:rFonts w:ascii="Times New Roman" w:hAnsi="Times New Roman"/>
          <w:sz w:val="28"/>
          <w:szCs w:val="28"/>
        </w:rPr>
        <w:t xml:space="preserve"> </w:t>
      </w:r>
      <w:r w:rsidRPr="006C3C9A">
        <w:rPr>
          <w:rFonts w:ascii="Times New Roman" w:hAnsi="Times New Roman"/>
          <w:sz w:val="28"/>
          <w:szCs w:val="28"/>
          <w:lang w:val="en-US"/>
        </w:rPr>
        <w:t>signs</w:t>
      </w:r>
      <w:r w:rsidRPr="006C3C9A">
        <w:rPr>
          <w:rFonts w:ascii="Times New Roman" w:hAnsi="Times New Roman"/>
          <w:sz w:val="28"/>
          <w:szCs w:val="28"/>
        </w:rPr>
        <w:t xml:space="preserve"> </w:t>
      </w:r>
      <w:r w:rsidRPr="006C3C9A">
        <w:rPr>
          <w:rFonts w:ascii="Times New Roman" w:hAnsi="Times New Roman"/>
          <w:sz w:val="28"/>
          <w:szCs w:val="28"/>
          <w:lang w:val="en-US"/>
        </w:rPr>
        <w:t>of</w:t>
      </w:r>
      <w:r w:rsidRPr="006C3C9A">
        <w:rPr>
          <w:rFonts w:ascii="Times New Roman" w:hAnsi="Times New Roman"/>
          <w:sz w:val="28"/>
          <w:szCs w:val="28"/>
        </w:rPr>
        <w:t xml:space="preserve"> </w:t>
      </w:r>
      <w:proofErr w:type="spellStart"/>
      <w:r w:rsidRPr="006C3C9A">
        <w:rPr>
          <w:rFonts w:ascii="Times New Roman" w:hAnsi="Times New Roman"/>
          <w:sz w:val="28"/>
          <w:szCs w:val="28"/>
          <w:lang w:val="en-US"/>
        </w:rPr>
        <w:t>biliary</w:t>
      </w:r>
      <w:proofErr w:type="spellEnd"/>
      <w:r w:rsidRPr="006C3C9A">
        <w:rPr>
          <w:rFonts w:ascii="Times New Roman" w:hAnsi="Times New Roman"/>
          <w:sz w:val="28"/>
          <w:szCs w:val="28"/>
        </w:rPr>
        <w:t xml:space="preserve"> </w:t>
      </w:r>
      <w:r w:rsidRPr="006C3C9A">
        <w:rPr>
          <w:rFonts w:ascii="Times New Roman" w:hAnsi="Times New Roman"/>
          <w:sz w:val="28"/>
          <w:szCs w:val="28"/>
          <w:lang w:val="en-US"/>
        </w:rPr>
        <w:t>hypertension</w:t>
      </w:r>
      <w:r w:rsidRPr="006C3C9A">
        <w:rPr>
          <w:rFonts w:ascii="Times New Roman" w:hAnsi="Times New Roman"/>
          <w:sz w:val="28"/>
          <w:szCs w:val="28"/>
        </w:rPr>
        <w:t xml:space="preserve"> </w:t>
      </w:r>
      <w:r w:rsidRPr="006C3C9A">
        <w:rPr>
          <w:rFonts w:ascii="Times New Roman" w:hAnsi="Times New Roman"/>
          <w:sz w:val="28"/>
          <w:szCs w:val="28"/>
          <w:lang w:val="en-US"/>
        </w:rPr>
        <w:t>included</w:t>
      </w:r>
      <w:r w:rsidRPr="006C3C9A">
        <w:rPr>
          <w:rFonts w:ascii="Times New Roman" w:hAnsi="Times New Roman"/>
          <w:sz w:val="28"/>
          <w:szCs w:val="28"/>
        </w:rPr>
        <w:t xml:space="preserve"> </w:t>
      </w:r>
      <w:r w:rsidRPr="006C3C9A">
        <w:rPr>
          <w:rFonts w:ascii="Times New Roman" w:hAnsi="Times New Roman"/>
          <w:sz w:val="28"/>
          <w:szCs w:val="28"/>
          <w:lang w:val="en-US"/>
        </w:rPr>
        <w:t>duodenum</w:t>
      </w:r>
      <w:r w:rsidRPr="006C3C9A">
        <w:rPr>
          <w:rFonts w:ascii="Times New Roman" w:hAnsi="Times New Roman"/>
          <w:sz w:val="28"/>
          <w:szCs w:val="28"/>
        </w:rPr>
        <w:t>-</w:t>
      </w:r>
      <w:r w:rsidRPr="006C3C9A">
        <w:rPr>
          <w:rFonts w:ascii="Times New Roman" w:hAnsi="Times New Roman"/>
          <w:sz w:val="28"/>
          <w:szCs w:val="28"/>
          <w:lang w:val="en-US"/>
        </w:rPr>
        <w:t>preserving</w:t>
      </w:r>
      <w:r w:rsidRPr="006C3C9A">
        <w:rPr>
          <w:rFonts w:ascii="Times New Roman" w:hAnsi="Times New Roman"/>
          <w:sz w:val="28"/>
          <w:szCs w:val="28"/>
        </w:rPr>
        <w:t xml:space="preserve"> </w:t>
      </w:r>
      <w:r w:rsidRPr="006C3C9A">
        <w:rPr>
          <w:rFonts w:ascii="Times New Roman" w:hAnsi="Times New Roman"/>
          <w:sz w:val="28"/>
          <w:szCs w:val="28"/>
          <w:lang w:val="en-US"/>
        </w:rPr>
        <w:t>resections</w:t>
      </w:r>
      <w:r w:rsidRPr="006C3C9A">
        <w:rPr>
          <w:rFonts w:ascii="Times New Roman" w:hAnsi="Times New Roman"/>
          <w:sz w:val="28"/>
          <w:szCs w:val="28"/>
        </w:rPr>
        <w:t xml:space="preserve"> (</w:t>
      </w:r>
      <w:r w:rsidRPr="006C3C9A">
        <w:rPr>
          <w:rFonts w:ascii="Times New Roman" w:hAnsi="Times New Roman"/>
          <w:sz w:val="28"/>
          <w:szCs w:val="28"/>
          <w:lang w:val="en-US"/>
        </w:rPr>
        <w:t>Frey</w:t>
      </w:r>
      <w:r w:rsidRPr="006C3C9A">
        <w:rPr>
          <w:rFonts w:ascii="Times New Roman" w:hAnsi="Times New Roman"/>
          <w:sz w:val="28"/>
          <w:szCs w:val="28"/>
        </w:rPr>
        <w:t>’</w:t>
      </w:r>
      <w:r w:rsidRPr="006C3C9A">
        <w:rPr>
          <w:rFonts w:ascii="Times New Roman" w:hAnsi="Times New Roman"/>
          <w:sz w:val="28"/>
          <w:szCs w:val="28"/>
          <w:lang w:val="en-US"/>
        </w:rPr>
        <w:t>s</w:t>
      </w:r>
      <w:r w:rsidRPr="006C3C9A">
        <w:rPr>
          <w:rFonts w:ascii="Times New Roman" w:hAnsi="Times New Roman"/>
          <w:sz w:val="28"/>
          <w:szCs w:val="28"/>
        </w:rPr>
        <w:t xml:space="preserve"> </w:t>
      </w:r>
      <w:r w:rsidRPr="006C3C9A">
        <w:rPr>
          <w:rFonts w:ascii="Times New Roman" w:hAnsi="Times New Roman"/>
          <w:sz w:val="28"/>
          <w:szCs w:val="28"/>
          <w:lang w:val="en-US"/>
        </w:rPr>
        <w:t>procedure</w:t>
      </w:r>
      <w:r w:rsidRPr="006C3C9A">
        <w:rPr>
          <w:rFonts w:ascii="Times New Roman" w:hAnsi="Times New Roman"/>
          <w:sz w:val="28"/>
          <w:szCs w:val="28"/>
        </w:rPr>
        <w:t xml:space="preserve">, </w:t>
      </w:r>
      <w:proofErr w:type="spellStart"/>
      <w:r w:rsidRPr="006C3C9A">
        <w:rPr>
          <w:rFonts w:ascii="Times New Roman" w:hAnsi="Times New Roman"/>
          <w:sz w:val="28"/>
          <w:szCs w:val="28"/>
          <w:lang w:val="en-US"/>
        </w:rPr>
        <w:t>Beger</w:t>
      </w:r>
      <w:proofErr w:type="spellEnd"/>
      <w:r w:rsidRPr="006C3C9A">
        <w:rPr>
          <w:rFonts w:ascii="Times New Roman" w:hAnsi="Times New Roman"/>
          <w:sz w:val="28"/>
          <w:szCs w:val="28"/>
        </w:rPr>
        <w:t>’</w:t>
      </w:r>
      <w:r w:rsidRPr="006C3C9A">
        <w:rPr>
          <w:rFonts w:ascii="Times New Roman" w:hAnsi="Times New Roman"/>
          <w:sz w:val="28"/>
          <w:szCs w:val="28"/>
          <w:lang w:val="en-US"/>
        </w:rPr>
        <w:t>s</w:t>
      </w:r>
      <w:r w:rsidRPr="006C3C9A">
        <w:rPr>
          <w:rFonts w:ascii="Times New Roman" w:hAnsi="Times New Roman"/>
          <w:sz w:val="28"/>
          <w:szCs w:val="28"/>
        </w:rPr>
        <w:t xml:space="preserve"> </w:t>
      </w:r>
      <w:r w:rsidRPr="006C3C9A">
        <w:rPr>
          <w:rFonts w:ascii="Times New Roman" w:hAnsi="Times New Roman"/>
          <w:sz w:val="28"/>
          <w:szCs w:val="28"/>
          <w:lang w:val="en-US"/>
        </w:rPr>
        <w:t>procedure</w:t>
      </w:r>
      <w:r w:rsidRPr="006C3C9A">
        <w:rPr>
          <w:rFonts w:ascii="Times New Roman" w:hAnsi="Times New Roman"/>
          <w:sz w:val="28"/>
          <w:szCs w:val="28"/>
        </w:rPr>
        <w:t xml:space="preserve">, </w:t>
      </w:r>
      <w:r w:rsidRPr="006C3C9A">
        <w:rPr>
          <w:rFonts w:ascii="Times New Roman" w:hAnsi="Times New Roman"/>
          <w:sz w:val="28"/>
          <w:szCs w:val="28"/>
          <w:lang w:val="en-US"/>
        </w:rPr>
        <w:t>Berne</w:t>
      </w:r>
      <w:r w:rsidRPr="006C3C9A">
        <w:rPr>
          <w:rFonts w:ascii="Times New Roman" w:hAnsi="Times New Roman"/>
          <w:sz w:val="28"/>
          <w:szCs w:val="28"/>
        </w:rPr>
        <w:t xml:space="preserve"> </w:t>
      </w:r>
      <w:r w:rsidRPr="006C3C9A">
        <w:rPr>
          <w:rFonts w:ascii="Times New Roman" w:hAnsi="Times New Roman"/>
          <w:sz w:val="28"/>
          <w:szCs w:val="28"/>
          <w:lang w:val="en-US"/>
        </w:rPr>
        <w:t>modification</w:t>
      </w:r>
      <w:r w:rsidRPr="006C3C9A">
        <w:rPr>
          <w:rFonts w:ascii="Times New Roman" w:hAnsi="Times New Roman"/>
          <w:sz w:val="28"/>
          <w:szCs w:val="28"/>
        </w:rPr>
        <w:t xml:space="preserve">), </w:t>
      </w:r>
      <w:r w:rsidRPr="006C3C9A">
        <w:rPr>
          <w:rFonts w:ascii="Times New Roman" w:hAnsi="Times New Roman"/>
          <w:sz w:val="28"/>
          <w:szCs w:val="28"/>
          <w:lang w:val="en-US"/>
        </w:rPr>
        <w:t>which</w:t>
      </w:r>
      <w:r w:rsidRPr="006C3C9A">
        <w:rPr>
          <w:rFonts w:ascii="Times New Roman" w:hAnsi="Times New Roman"/>
          <w:sz w:val="28"/>
          <w:szCs w:val="28"/>
        </w:rPr>
        <w:t xml:space="preserve"> </w:t>
      </w:r>
      <w:r w:rsidRPr="006C3C9A">
        <w:rPr>
          <w:rFonts w:ascii="Times New Roman" w:hAnsi="Times New Roman"/>
          <w:sz w:val="28"/>
          <w:szCs w:val="28"/>
          <w:lang w:val="en-US"/>
        </w:rPr>
        <w:t>in</w:t>
      </w:r>
      <w:r w:rsidRPr="006C3C9A">
        <w:rPr>
          <w:rFonts w:ascii="Times New Roman" w:hAnsi="Times New Roman"/>
          <w:sz w:val="28"/>
          <w:szCs w:val="28"/>
        </w:rPr>
        <w:t xml:space="preserve"> 30% </w:t>
      </w:r>
      <w:r w:rsidRPr="006C3C9A">
        <w:rPr>
          <w:rFonts w:ascii="Times New Roman" w:hAnsi="Times New Roman"/>
          <w:sz w:val="28"/>
          <w:szCs w:val="28"/>
          <w:lang w:val="en-US"/>
        </w:rPr>
        <w:t>of</w:t>
      </w:r>
      <w:r w:rsidRPr="006C3C9A">
        <w:rPr>
          <w:rFonts w:ascii="Times New Roman" w:hAnsi="Times New Roman"/>
          <w:sz w:val="28"/>
          <w:szCs w:val="28"/>
        </w:rPr>
        <w:t xml:space="preserve"> </w:t>
      </w:r>
      <w:r w:rsidRPr="006C3C9A">
        <w:rPr>
          <w:rFonts w:ascii="Times New Roman" w:hAnsi="Times New Roman"/>
          <w:sz w:val="28"/>
          <w:szCs w:val="28"/>
          <w:lang w:val="en-US"/>
        </w:rPr>
        <w:t>cases</w:t>
      </w:r>
      <w:r w:rsidRPr="006C3C9A">
        <w:rPr>
          <w:rFonts w:ascii="Times New Roman" w:hAnsi="Times New Roman"/>
          <w:sz w:val="28"/>
          <w:szCs w:val="28"/>
        </w:rPr>
        <w:t xml:space="preserve"> </w:t>
      </w:r>
      <w:r w:rsidRPr="006C3C9A">
        <w:rPr>
          <w:rFonts w:ascii="Times New Roman" w:hAnsi="Times New Roman"/>
          <w:sz w:val="28"/>
          <w:szCs w:val="28"/>
          <w:lang w:val="en-US"/>
        </w:rPr>
        <w:t>required</w:t>
      </w:r>
      <w:r w:rsidRPr="006C3C9A">
        <w:rPr>
          <w:rFonts w:ascii="Times New Roman" w:hAnsi="Times New Roman"/>
          <w:sz w:val="28"/>
          <w:szCs w:val="28"/>
        </w:rPr>
        <w:t xml:space="preserve"> </w:t>
      </w:r>
      <w:r w:rsidRPr="006C3C9A">
        <w:rPr>
          <w:rFonts w:ascii="Times New Roman" w:hAnsi="Times New Roman"/>
          <w:sz w:val="28"/>
          <w:szCs w:val="28"/>
          <w:lang w:val="en-US"/>
        </w:rPr>
        <w:t>additional</w:t>
      </w:r>
      <w:r w:rsidRPr="006C3C9A">
        <w:rPr>
          <w:rFonts w:ascii="Times New Roman" w:hAnsi="Times New Roman"/>
          <w:sz w:val="28"/>
          <w:szCs w:val="28"/>
        </w:rPr>
        <w:t xml:space="preserve"> </w:t>
      </w:r>
      <w:r w:rsidRPr="006C3C9A">
        <w:rPr>
          <w:rFonts w:ascii="Times New Roman" w:hAnsi="Times New Roman"/>
          <w:sz w:val="28"/>
          <w:szCs w:val="28"/>
          <w:lang w:val="en-US"/>
        </w:rPr>
        <w:t>intervention</w:t>
      </w:r>
      <w:r w:rsidRPr="006C3C9A">
        <w:rPr>
          <w:rFonts w:ascii="Times New Roman" w:hAnsi="Times New Roman"/>
          <w:sz w:val="28"/>
          <w:szCs w:val="28"/>
        </w:rPr>
        <w:t xml:space="preserve"> </w:t>
      </w:r>
      <w:r w:rsidRPr="006C3C9A">
        <w:rPr>
          <w:rFonts w:ascii="Times New Roman" w:hAnsi="Times New Roman"/>
          <w:sz w:val="28"/>
          <w:szCs w:val="28"/>
          <w:lang w:val="en-US"/>
        </w:rPr>
        <w:t>on</w:t>
      </w:r>
      <w:r w:rsidRPr="006C3C9A">
        <w:rPr>
          <w:rFonts w:ascii="Times New Roman" w:hAnsi="Times New Roman"/>
          <w:sz w:val="28"/>
          <w:szCs w:val="28"/>
        </w:rPr>
        <w:t xml:space="preserve"> </w:t>
      </w:r>
      <w:r w:rsidRPr="006C3C9A">
        <w:rPr>
          <w:rFonts w:ascii="Times New Roman" w:hAnsi="Times New Roman"/>
          <w:sz w:val="28"/>
          <w:szCs w:val="28"/>
          <w:lang w:val="en-US"/>
        </w:rPr>
        <w:t>bile</w:t>
      </w:r>
      <w:r w:rsidRPr="006C3C9A">
        <w:rPr>
          <w:rFonts w:ascii="Times New Roman" w:hAnsi="Times New Roman"/>
          <w:sz w:val="28"/>
          <w:szCs w:val="28"/>
        </w:rPr>
        <w:t xml:space="preserve"> </w:t>
      </w:r>
      <w:r w:rsidRPr="006C3C9A">
        <w:rPr>
          <w:rFonts w:ascii="Times New Roman" w:hAnsi="Times New Roman"/>
          <w:sz w:val="28"/>
          <w:szCs w:val="28"/>
          <w:lang w:val="en-US"/>
        </w:rPr>
        <w:t>ducts</w:t>
      </w:r>
      <w:r w:rsidRPr="006C3C9A">
        <w:rPr>
          <w:rFonts w:ascii="Times New Roman" w:hAnsi="Times New Roman"/>
          <w:sz w:val="28"/>
          <w:szCs w:val="28"/>
        </w:rPr>
        <w:t xml:space="preserve"> (</w:t>
      </w:r>
      <w:r w:rsidRPr="006C3C9A">
        <w:rPr>
          <w:rFonts w:ascii="Times New Roman" w:hAnsi="Times New Roman"/>
          <w:sz w:val="28"/>
          <w:szCs w:val="28"/>
          <w:lang w:val="en-US"/>
        </w:rPr>
        <w:t>application</w:t>
      </w:r>
      <w:r w:rsidRPr="006C3C9A">
        <w:rPr>
          <w:rFonts w:ascii="Times New Roman" w:hAnsi="Times New Roman"/>
          <w:sz w:val="28"/>
          <w:szCs w:val="28"/>
        </w:rPr>
        <w:t xml:space="preserve"> </w:t>
      </w:r>
      <w:r w:rsidRPr="006C3C9A">
        <w:rPr>
          <w:rFonts w:ascii="Times New Roman" w:hAnsi="Times New Roman"/>
          <w:sz w:val="28"/>
          <w:szCs w:val="28"/>
          <w:lang w:val="en-US"/>
        </w:rPr>
        <w:t>of</w:t>
      </w:r>
      <w:r w:rsidRPr="006C3C9A">
        <w:rPr>
          <w:rFonts w:ascii="Times New Roman" w:hAnsi="Times New Roman"/>
          <w:sz w:val="28"/>
          <w:szCs w:val="28"/>
        </w:rPr>
        <w:t xml:space="preserve"> </w:t>
      </w:r>
      <w:proofErr w:type="spellStart"/>
      <w:r w:rsidRPr="006C3C9A">
        <w:rPr>
          <w:rFonts w:ascii="Times New Roman" w:hAnsi="Times New Roman"/>
          <w:sz w:val="28"/>
          <w:szCs w:val="28"/>
          <w:lang w:val="en-US"/>
        </w:rPr>
        <w:t>biliodigestive</w:t>
      </w:r>
      <w:proofErr w:type="spellEnd"/>
      <w:r w:rsidRPr="006C3C9A">
        <w:rPr>
          <w:rFonts w:ascii="Times New Roman" w:hAnsi="Times New Roman"/>
          <w:sz w:val="28"/>
          <w:szCs w:val="28"/>
        </w:rPr>
        <w:t xml:space="preserve"> </w:t>
      </w:r>
      <w:proofErr w:type="spellStart"/>
      <w:r w:rsidRPr="006C3C9A">
        <w:rPr>
          <w:rFonts w:ascii="Times New Roman" w:hAnsi="Times New Roman"/>
          <w:sz w:val="28"/>
          <w:szCs w:val="28"/>
          <w:lang w:val="en-US"/>
        </w:rPr>
        <w:t>anastomoses</w:t>
      </w:r>
      <w:proofErr w:type="spellEnd"/>
      <w:r w:rsidRPr="006C3C9A">
        <w:rPr>
          <w:rFonts w:ascii="Times New Roman" w:hAnsi="Times New Roman"/>
          <w:sz w:val="28"/>
          <w:szCs w:val="28"/>
        </w:rPr>
        <w:t xml:space="preserve"> </w:t>
      </w:r>
      <w:r w:rsidRPr="006C3C9A">
        <w:rPr>
          <w:rFonts w:ascii="Times New Roman" w:hAnsi="Times New Roman"/>
          <w:sz w:val="28"/>
          <w:szCs w:val="28"/>
          <w:lang w:val="en-US"/>
        </w:rPr>
        <w:t>or</w:t>
      </w:r>
      <w:r w:rsidRPr="006C3C9A">
        <w:rPr>
          <w:rFonts w:ascii="Times New Roman" w:hAnsi="Times New Roman"/>
          <w:sz w:val="28"/>
          <w:szCs w:val="28"/>
        </w:rPr>
        <w:t xml:space="preserve"> </w:t>
      </w:r>
      <w:proofErr w:type="spellStart"/>
      <w:r w:rsidRPr="006C3C9A">
        <w:rPr>
          <w:rFonts w:ascii="Times New Roman" w:hAnsi="Times New Roman"/>
          <w:sz w:val="28"/>
          <w:szCs w:val="28"/>
          <w:lang w:val="en-US"/>
        </w:rPr>
        <w:lastRenderedPageBreak/>
        <w:t>biliopancreatic</w:t>
      </w:r>
      <w:proofErr w:type="spellEnd"/>
      <w:r w:rsidRPr="006C3C9A">
        <w:rPr>
          <w:rFonts w:ascii="Times New Roman" w:hAnsi="Times New Roman"/>
          <w:sz w:val="28"/>
          <w:szCs w:val="28"/>
        </w:rPr>
        <w:t xml:space="preserve"> </w:t>
      </w:r>
      <w:proofErr w:type="spellStart"/>
      <w:r w:rsidR="001E2A51" w:rsidRPr="006C3C9A">
        <w:rPr>
          <w:rFonts w:ascii="Times New Roman" w:hAnsi="Times New Roman"/>
          <w:sz w:val="28"/>
          <w:szCs w:val="28"/>
          <w:lang w:val="en-US"/>
        </w:rPr>
        <w:t>anastomose</w:t>
      </w:r>
      <w:r w:rsidR="00054242" w:rsidRPr="006C3C9A">
        <w:rPr>
          <w:rFonts w:ascii="Times New Roman" w:hAnsi="Times New Roman"/>
          <w:sz w:val="28"/>
          <w:szCs w:val="28"/>
          <w:lang w:val="en-US"/>
        </w:rPr>
        <w:t>s</w:t>
      </w:r>
      <w:proofErr w:type="spellEnd"/>
      <w:r w:rsidR="00054242" w:rsidRPr="006C3C9A">
        <w:rPr>
          <w:rFonts w:ascii="Times New Roman" w:hAnsi="Times New Roman"/>
          <w:sz w:val="28"/>
          <w:szCs w:val="28"/>
        </w:rPr>
        <w:t xml:space="preserve"> </w:t>
      </w:r>
      <w:r w:rsidR="00054242" w:rsidRPr="006C3C9A">
        <w:rPr>
          <w:rFonts w:ascii="Times New Roman" w:hAnsi="Times New Roman"/>
          <w:sz w:val="28"/>
          <w:szCs w:val="28"/>
          <w:lang w:val="en-US"/>
        </w:rPr>
        <w:t>in</w:t>
      </w:r>
      <w:r w:rsidR="00054242" w:rsidRPr="006C3C9A">
        <w:rPr>
          <w:rFonts w:ascii="Times New Roman" w:hAnsi="Times New Roman"/>
          <w:sz w:val="28"/>
          <w:szCs w:val="28"/>
        </w:rPr>
        <w:t xml:space="preserve"> </w:t>
      </w:r>
      <w:r w:rsidR="00054242" w:rsidRPr="006C3C9A">
        <w:rPr>
          <w:rFonts w:ascii="Times New Roman" w:hAnsi="Times New Roman"/>
          <w:sz w:val="28"/>
          <w:szCs w:val="28"/>
          <w:lang w:val="en-US"/>
        </w:rPr>
        <w:t>the</w:t>
      </w:r>
      <w:r w:rsidR="00054242" w:rsidRPr="006C3C9A">
        <w:rPr>
          <w:rFonts w:ascii="Times New Roman" w:hAnsi="Times New Roman"/>
          <w:sz w:val="28"/>
          <w:szCs w:val="28"/>
        </w:rPr>
        <w:t xml:space="preserve"> </w:t>
      </w:r>
      <w:r w:rsidR="00054242" w:rsidRPr="006C3C9A">
        <w:rPr>
          <w:rFonts w:ascii="Times New Roman" w:hAnsi="Times New Roman"/>
          <w:sz w:val="28"/>
          <w:szCs w:val="28"/>
          <w:lang w:val="en-US"/>
        </w:rPr>
        <w:t>area</w:t>
      </w:r>
      <w:r w:rsidR="00054242" w:rsidRPr="006C3C9A">
        <w:rPr>
          <w:rFonts w:ascii="Times New Roman" w:hAnsi="Times New Roman"/>
          <w:sz w:val="28"/>
          <w:szCs w:val="28"/>
        </w:rPr>
        <w:t xml:space="preserve"> </w:t>
      </w:r>
      <w:r w:rsidR="00054242" w:rsidRPr="006C3C9A">
        <w:rPr>
          <w:rFonts w:ascii="Times New Roman" w:hAnsi="Times New Roman"/>
          <w:sz w:val="28"/>
          <w:szCs w:val="28"/>
          <w:lang w:val="en-US"/>
        </w:rPr>
        <w:t>of</w:t>
      </w:r>
      <w:r w:rsidR="00054242" w:rsidRPr="006C3C9A">
        <w:rPr>
          <w:rFonts w:ascii="Times New Roman" w:hAnsi="Times New Roman"/>
          <w:sz w:val="28"/>
          <w:szCs w:val="28"/>
        </w:rPr>
        <w:t xml:space="preserve"> </w:t>
      </w:r>
      <w:r w:rsidR="00054242" w:rsidRPr="006C3C9A">
        <w:rPr>
          <w:rFonts w:ascii="Times New Roman" w:hAnsi="Times New Roman"/>
          <w:sz w:val="28"/>
          <w:szCs w:val="28"/>
          <w:lang w:val="en-US"/>
        </w:rPr>
        <w:t>pancreas</w:t>
      </w:r>
      <w:r w:rsidR="00054242" w:rsidRPr="006C3C9A">
        <w:rPr>
          <w:rFonts w:ascii="Times New Roman" w:hAnsi="Times New Roman"/>
          <w:sz w:val="28"/>
          <w:szCs w:val="28"/>
        </w:rPr>
        <w:t xml:space="preserve"> </w:t>
      </w:r>
      <w:r w:rsidR="00054242" w:rsidRPr="006C3C9A">
        <w:rPr>
          <w:rFonts w:ascii="Times New Roman" w:hAnsi="Times New Roman"/>
          <w:sz w:val="28"/>
          <w:szCs w:val="28"/>
          <w:lang w:val="en-US"/>
        </w:rPr>
        <w:t>head</w:t>
      </w:r>
      <w:r w:rsidR="00CF4B8C" w:rsidRPr="006C3C9A">
        <w:rPr>
          <w:rFonts w:ascii="Times New Roman" w:hAnsi="Times New Roman"/>
          <w:sz w:val="28"/>
          <w:szCs w:val="28"/>
        </w:rPr>
        <w:t>).</w:t>
      </w:r>
      <w:r w:rsidR="00054242" w:rsidRPr="006C3C9A">
        <w:rPr>
          <w:rFonts w:ascii="Times New Roman" w:hAnsi="Times New Roman"/>
          <w:sz w:val="28"/>
          <w:szCs w:val="28"/>
          <w:lang w:val="en-US"/>
        </w:rPr>
        <w:t xml:space="preserve"> </w:t>
      </w:r>
      <w:proofErr w:type="spellStart"/>
      <w:r w:rsidR="00054242" w:rsidRPr="006C3C9A">
        <w:rPr>
          <w:rFonts w:ascii="Times New Roman" w:hAnsi="Times New Roman"/>
          <w:sz w:val="28"/>
          <w:szCs w:val="28"/>
          <w:lang w:val="en-US"/>
        </w:rPr>
        <w:t>Intraoperative</w:t>
      </w:r>
      <w:proofErr w:type="spellEnd"/>
      <w:r w:rsidR="00054242" w:rsidRPr="006C3C9A">
        <w:rPr>
          <w:rFonts w:ascii="Times New Roman" w:hAnsi="Times New Roman"/>
          <w:sz w:val="28"/>
          <w:szCs w:val="28"/>
          <w:lang w:val="en-US"/>
        </w:rPr>
        <w:t xml:space="preserve"> monitoring of </w:t>
      </w:r>
      <w:proofErr w:type="spellStart"/>
      <w:r w:rsidR="00054242" w:rsidRPr="006C3C9A">
        <w:rPr>
          <w:rFonts w:ascii="Times New Roman" w:hAnsi="Times New Roman"/>
          <w:sz w:val="28"/>
          <w:szCs w:val="28"/>
          <w:lang w:val="en-US"/>
        </w:rPr>
        <w:t>biliary</w:t>
      </w:r>
      <w:proofErr w:type="spellEnd"/>
      <w:r w:rsidR="00054242" w:rsidRPr="006C3C9A">
        <w:rPr>
          <w:rFonts w:ascii="Times New Roman" w:hAnsi="Times New Roman"/>
          <w:sz w:val="28"/>
          <w:szCs w:val="28"/>
          <w:lang w:val="en-US"/>
        </w:rPr>
        <w:t xml:space="preserve"> pressure allowed determining </w:t>
      </w:r>
      <w:r w:rsidR="00D37703" w:rsidRPr="006C3C9A">
        <w:rPr>
          <w:rFonts w:ascii="Times New Roman" w:hAnsi="Times New Roman"/>
          <w:sz w:val="28"/>
          <w:szCs w:val="28"/>
          <w:lang w:val="en-US"/>
        </w:rPr>
        <w:t>non-manifest BH and choosing the right surgical treatment</w:t>
      </w:r>
      <w:r w:rsidR="0079651F" w:rsidRPr="006C3C9A">
        <w:rPr>
          <w:rFonts w:ascii="Times New Roman" w:hAnsi="Times New Roman"/>
          <w:sz w:val="28"/>
          <w:szCs w:val="28"/>
        </w:rPr>
        <w:t>.</w:t>
      </w:r>
    </w:p>
    <w:p w:rsidR="0081097E" w:rsidRPr="006C3C9A" w:rsidRDefault="00D37703" w:rsidP="00E35879">
      <w:pPr>
        <w:tabs>
          <w:tab w:val="left" w:pos="1327"/>
        </w:tabs>
        <w:ind w:firstLine="851"/>
        <w:rPr>
          <w:rFonts w:ascii="Times New Roman" w:hAnsi="Times New Roman"/>
          <w:b/>
          <w:sz w:val="28"/>
          <w:szCs w:val="28"/>
        </w:rPr>
      </w:pPr>
      <w:r w:rsidRPr="006C3C9A">
        <w:rPr>
          <w:rFonts w:ascii="Times New Roman" w:hAnsi="Times New Roman"/>
          <w:b/>
          <w:sz w:val="28"/>
          <w:szCs w:val="28"/>
          <w:lang w:val="en-US"/>
        </w:rPr>
        <w:t>Conclusions</w:t>
      </w:r>
      <w:r w:rsidR="00FB6350" w:rsidRPr="006C3C9A">
        <w:rPr>
          <w:rFonts w:ascii="Times New Roman" w:hAnsi="Times New Roman"/>
          <w:b/>
          <w:sz w:val="28"/>
          <w:szCs w:val="28"/>
        </w:rPr>
        <w:t xml:space="preserve">: </w:t>
      </w:r>
    </w:p>
    <w:p w:rsidR="005E3820" w:rsidRPr="006C3C9A" w:rsidRDefault="005E3820" w:rsidP="005E3820">
      <w:pPr>
        <w:pStyle w:val="1"/>
        <w:tabs>
          <w:tab w:val="left" w:pos="851"/>
        </w:tabs>
        <w:spacing w:after="0" w:line="360" w:lineRule="auto"/>
        <w:ind w:left="0" w:firstLine="284"/>
        <w:jc w:val="both"/>
        <w:rPr>
          <w:rFonts w:ascii="Times New Roman" w:eastAsia="Calibri" w:hAnsi="Times New Roman"/>
          <w:sz w:val="28"/>
          <w:szCs w:val="28"/>
          <w:lang w:val="en-US"/>
        </w:rPr>
      </w:pPr>
      <w:r w:rsidRPr="006C3C9A">
        <w:rPr>
          <w:rFonts w:ascii="Times New Roman" w:eastAsia="Calibri" w:hAnsi="Times New Roman"/>
          <w:sz w:val="28"/>
          <w:szCs w:val="28"/>
          <w:lang w:val="en-US"/>
        </w:rPr>
        <w:t>1.</w:t>
      </w:r>
      <w:r w:rsidR="00270B34">
        <w:rPr>
          <w:rFonts w:ascii="Times New Roman" w:eastAsia="Calibri" w:hAnsi="Times New Roman"/>
          <w:sz w:val="28"/>
          <w:szCs w:val="28"/>
          <w:lang w:val="en-US"/>
        </w:rPr>
        <w:t xml:space="preserve"> </w:t>
      </w:r>
      <w:proofErr w:type="spellStart"/>
      <w:r w:rsidRPr="006C3C9A">
        <w:rPr>
          <w:rFonts w:ascii="Times New Roman" w:eastAsia="Calibri" w:hAnsi="Times New Roman"/>
          <w:sz w:val="28"/>
          <w:szCs w:val="28"/>
          <w:lang w:val="en-US"/>
        </w:rPr>
        <w:t>Biliary</w:t>
      </w:r>
      <w:proofErr w:type="spellEnd"/>
      <w:r w:rsidRPr="006C3C9A">
        <w:rPr>
          <w:rFonts w:ascii="Times New Roman" w:eastAsia="Calibri" w:hAnsi="Times New Roman"/>
          <w:sz w:val="28"/>
          <w:szCs w:val="28"/>
          <w:lang w:val="en-US"/>
        </w:rPr>
        <w:t xml:space="preserve"> hypertension with underlying CP can be detected using clinical laboratory examinations, USG and CT data in 74.4% of patients. The use of MRCP and </w:t>
      </w:r>
      <w:proofErr w:type="spellStart"/>
      <w:r w:rsidRPr="006C3C9A">
        <w:rPr>
          <w:rFonts w:ascii="Times New Roman" w:eastAsia="Calibri" w:hAnsi="Times New Roman"/>
          <w:sz w:val="28"/>
          <w:szCs w:val="28"/>
          <w:lang w:val="en-US"/>
        </w:rPr>
        <w:t>intraoperative</w:t>
      </w:r>
      <w:proofErr w:type="spellEnd"/>
      <w:r w:rsidRPr="006C3C9A">
        <w:rPr>
          <w:rFonts w:ascii="Times New Roman" w:eastAsia="Calibri" w:hAnsi="Times New Roman"/>
          <w:sz w:val="28"/>
          <w:szCs w:val="28"/>
          <w:lang w:val="en-US"/>
        </w:rPr>
        <w:t xml:space="preserve"> monitoring of </w:t>
      </w:r>
      <w:proofErr w:type="spellStart"/>
      <w:r w:rsidRPr="006C3C9A">
        <w:rPr>
          <w:rFonts w:ascii="Times New Roman" w:eastAsia="Calibri" w:hAnsi="Times New Roman"/>
          <w:sz w:val="28"/>
          <w:szCs w:val="28"/>
          <w:lang w:val="en-US"/>
        </w:rPr>
        <w:t>biliary</w:t>
      </w:r>
      <w:proofErr w:type="spellEnd"/>
      <w:r w:rsidRPr="006C3C9A">
        <w:rPr>
          <w:rFonts w:ascii="Times New Roman" w:eastAsia="Calibri" w:hAnsi="Times New Roman"/>
          <w:sz w:val="28"/>
          <w:szCs w:val="28"/>
          <w:lang w:val="en-US"/>
        </w:rPr>
        <w:t xml:space="preserve"> pressure supplements the complex of examinations and allows detecting non-manifest BH.</w:t>
      </w:r>
    </w:p>
    <w:p w:rsidR="005E3820" w:rsidRPr="006C3C9A" w:rsidRDefault="005E3820" w:rsidP="005E3820">
      <w:pPr>
        <w:pStyle w:val="1"/>
        <w:tabs>
          <w:tab w:val="left" w:pos="851"/>
        </w:tabs>
        <w:spacing w:after="0" w:line="360" w:lineRule="auto"/>
        <w:ind w:left="0" w:firstLine="284"/>
        <w:jc w:val="both"/>
        <w:rPr>
          <w:rFonts w:ascii="Times New Roman" w:eastAsia="Calibri" w:hAnsi="Times New Roman"/>
          <w:sz w:val="28"/>
          <w:szCs w:val="28"/>
          <w:lang w:val="en-US"/>
        </w:rPr>
      </w:pPr>
      <w:r w:rsidRPr="006C3C9A">
        <w:rPr>
          <w:rFonts w:ascii="Times New Roman" w:eastAsia="Calibri" w:hAnsi="Times New Roman"/>
          <w:sz w:val="28"/>
          <w:szCs w:val="28"/>
          <w:lang w:val="en-US"/>
        </w:rPr>
        <w:t>2.</w:t>
      </w:r>
      <w:r w:rsidR="00270B34">
        <w:rPr>
          <w:rFonts w:ascii="Times New Roman" w:eastAsia="Calibri" w:hAnsi="Times New Roman"/>
          <w:sz w:val="28"/>
          <w:szCs w:val="28"/>
          <w:lang w:val="en-US"/>
        </w:rPr>
        <w:t xml:space="preserve"> </w:t>
      </w:r>
      <w:r w:rsidRPr="006C3C9A">
        <w:rPr>
          <w:rFonts w:ascii="Times New Roman" w:eastAsia="Calibri" w:hAnsi="Times New Roman"/>
          <w:sz w:val="28"/>
          <w:szCs w:val="28"/>
          <w:lang w:val="en-US"/>
        </w:rPr>
        <w:t>Preoperative preparation of patients with CP and signs of BH should take into account the changes in organs and systems of the organism connected with an abnormality of bile outflow.</w:t>
      </w:r>
    </w:p>
    <w:p w:rsidR="005C50D5" w:rsidRPr="006C3C9A" w:rsidRDefault="005E3820" w:rsidP="005E3820">
      <w:pPr>
        <w:pStyle w:val="1"/>
        <w:tabs>
          <w:tab w:val="left" w:pos="851"/>
        </w:tabs>
        <w:spacing w:after="0" w:line="360" w:lineRule="auto"/>
        <w:ind w:left="0" w:firstLine="284"/>
        <w:jc w:val="both"/>
        <w:rPr>
          <w:rFonts w:ascii="Times New Roman" w:eastAsia="Calibri" w:hAnsi="Times New Roman"/>
          <w:sz w:val="28"/>
          <w:szCs w:val="28"/>
          <w:lang w:val="en-US"/>
        </w:rPr>
      </w:pPr>
      <w:r w:rsidRPr="006C3C9A">
        <w:rPr>
          <w:rFonts w:ascii="Times New Roman" w:eastAsia="Calibri" w:hAnsi="Times New Roman"/>
          <w:sz w:val="28"/>
          <w:szCs w:val="28"/>
          <w:lang w:val="en-US"/>
        </w:rPr>
        <w:t>3.</w:t>
      </w:r>
      <w:r w:rsidR="00270B34">
        <w:rPr>
          <w:rFonts w:ascii="Times New Roman" w:eastAsia="Calibri" w:hAnsi="Times New Roman"/>
          <w:sz w:val="28"/>
          <w:szCs w:val="28"/>
          <w:lang w:val="en-US"/>
        </w:rPr>
        <w:t xml:space="preserve"> </w:t>
      </w:r>
      <w:r w:rsidRPr="006C3C9A">
        <w:rPr>
          <w:rFonts w:ascii="Times New Roman" w:eastAsia="Calibri" w:hAnsi="Times New Roman"/>
          <w:sz w:val="28"/>
          <w:szCs w:val="28"/>
          <w:lang w:val="en-US"/>
        </w:rPr>
        <w:t xml:space="preserve">Surgeries of choice in patients with CP and signs of </w:t>
      </w:r>
      <w:proofErr w:type="spellStart"/>
      <w:r w:rsidRPr="006C3C9A">
        <w:rPr>
          <w:rFonts w:ascii="Times New Roman" w:eastAsia="Calibri" w:hAnsi="Times New Roman"/>
          <w:sz w:val="28"/>
          <w:szCs w:val="28"/>
          <w:lang w:val="en-US"/>
        </w:rPr>
        <w:t>biliary</w:t>
      </w:r>
      <w:proofErr w:type="spellEnd"/>
      <w:r w:rsidRPr="006C3C9A">
        <w:rPr>
          <w:rFonts w:ascii="Times New Roman" w:eastAsia="Calibri" w:hAnsi="Times New Roman"/>
          <w:sz w:val="28"/>
          <w:szCs w:val="28"/>
          <w:lang w:val="en-US"/>
        </w:rPr>
        <w:t xml:space="preserve"> hypertension are duodenum-preserving resections (Frey’s procedure, </w:t>
      </w:r>
      <w:proofErr w:type="spellStart"/>
      <w:r w:rsidRPr="006C3C9A">
        <w:rPr>
          <w:rFonts w:ascii="Times New Roman" w:eastAsia="Calibri" w:hAnsi="Times New Roman"/>
          <w:sz w:val="28"/>
          <w:szCs w:val="28"/>
          <w:lang w:val="en-US"/>
        </w:rPr>
        <w:t>Beger’s</w:t>
      </w:r>
      <w:proofErr w:type="spellEnd"/>
      <w:r w:rsidRPr="006C3C9A">
        <w:rPr>
          <w:rFonts w:ascii="Times New Roman" w:eastAsia="Calibri" w:hAnsi="Times New Roman"/>
          <w:sz w:val="28"/>
          <w:szCs w:val="28"/>
          <w:lang w:val="en-US"/>
        </w:rPr>
        <w:t xml:space="preserve"> procedure, and Berne modification), which in 30% of cases require additional intervention on bile ducts (application of </w:t>
      </w:r>
      <w:proofErr w:type="spellStart"/>
      <w:r w:rsidRPr="006C3C9A">
        <w:rPr>
          <w:rFonts w:ascii="Times New Roman" w:eastAsia="Calibri" w:hAnsi="Times New Roman"/>
          <w:sz w:val="28"/>
          <w:szCs w:val="28"/>
          <w:lang w:val="en-US"/>
        </w:rPr>
        <w:t>bilidigestive</w:t>
      </w:r>
      <w:proofErr w:type="spellEnd"/>
      <w:r w:rsidRPr="006C3C9A">
        <w:rPr>
          <w:rFonts w:ascii="Times New Roman" w:eastAsia="Calibri" w:hAnsi="Times New Roman"/>
          <w:sz w:val="28"/>
          <w:szCs w:val="28"/>
          <w:lang w:val="en-US"/>
        </w:rPr>
        <w:t xml:space="preserve"> </w:t>
      </w:r>
      <w:proofErr w:type="spellStart"/>
      <w:r w:rsidRPr="006C3C9A">
        <w:rPr>
          <w:rFonts w:ascii="Times New Roman" w:eastAsia="Calibri" w:hAnsi="Times New Roman"/>
          <w:sz w:val="28"/>
          <w:szCs w:val="28"/>
          <w:lang w:val="en-US"/>
        </w:rPr>
        <w:t>anastomoses</w:t>
      </w:r>
      <w:proofErr w:type="spellEnd"/>
      <w:r w:rsidRPr="006C3C9A">
        <w:rPr>
          <w:rFonts w:ascii="Times New Roman" w:eastAsia="Calibri" w:hAnsi="Times New Roman"/>
          <w:sz w:val="28"/>
          <w:szCs w:val="28"/>
          <w:lang w:val="en-US"/>
        </w:rPr>
        <w:t xml:space="preserve"> or </w:t>
      </w:r>
      <w:proofErr w:type="spellStart"/>
      <w:r w:rsidRPr="006C3C9A">
        <w:rPr>
          <w:rFonts w:ascii="Times New Roman" w:eastAsia="Calibri" w:hAnsi="Times New Roman"/>
          <w:sz w:val="28"/>
          <w:szCs w:val="28"/>
          <w:lang w:val="en-US"/>
        </w:rPr>
        <w:t>biliopancreatic</w:t>
      </w:r>
      <w:proofErr w:type="spellEnd"/>
      <w:r w:rsidRPr="006C3C9A">
        <w:rPr>
          <w:rFonts w:ascii="Times New Roman" w:eastAsia="Calibri" w:hAnsi="Times New Roman"/>
          <w:sz w:val="28"/>
          <w:szCs w:val="28"/>
          <w:lang w:val="en-US"/>
        </w:rPr>
        <w:t xml:space="preserve"> </w:t>
      </w:r>
      <w:proofErr w:type="spellStart"/>
      <w:r w:rsidRPr="006C3C9A">
        <w:rPr>
          <w:rFonts w:ascii="Times New Roman" w:eastAsia="Calibri" w:hAnsi="Times New Roman"/>
          <w:sz w:val="28"/>
          <w:szCs w:val="28"/>
          <w:lang w:val="en-US"/>
        </w:rPr>
        <w:t>anastomoses</w:t>
      </w:r>
      <w:proofErr w:type="spellEnd"/>
      <w:r w:rsidRPr="006C3C9A">
        <w:rPr>
          <w:rFonts w:ascii="Times New Roman" w:eastAsia="Calibri" w:hAnsi="Times New Roman"/>
          <w:sz w:val="28"/>
          <w:szCs w:val="28"/>
          <w:lang w:val="en-US"/>
        </w:rPr>
        <w:t xml:space="preserve"> in the area of pancreas head resection).</w:t>
      </w:r>
    </w:p>
    <w:p w:rsidR="0039009E" w:rsidRPr="00270B34" w:rsidRDefault="0039009E" w:rsidP="0039009E">
      <w:pPr>
        <w:pStyle w:val="1"/>
        <w:tabs>
          <w:tab w:val="left" w:pos="851"/>
        </w:tabs>
        <w:spacing w:after="0" w:line="360" w:lineRule="auto"/>
        <w:jc w:val="both"/>
        <w:rPr>
          <w:rFonts w:ascii="Times New Roman" w:hAnsi="Times New Roman"/>
          <w:b/>
          <w:sz w:val="28"/>
          <w:szCs w:val="28"/>
          <w:lang w:val="en-US"/>
        </w:rPr>
      </w:pPr>
    </w:p>
    <w:p w:rsidR="0039009E" w:rsidRPr="00270B34" w:rsidRDefault="0039009E">
      <w:pPr>
        <w:rPr>
          <w:rFonts w:ascii="Times New Roman" w:hAnsi="Times New Roman"/>
          <w:b/>
          <w:sz w:val="28"/>
          <w:szCs w:val="28"/>
          <w:lang w:val="en-US"/>
        </w:rPr>
      </w:pPr>
      <w:r w:rsidRPr="00270B34">
        <w:rPr>
          <w:rFonts w:ascii="Times New Roman" w:hAnsi="Times New Roman"/>
          <w:b/>
          <w:sz w:val="28"/>
          <w:szCs w:val="28"/>
          <w:lang w:val="en-US"/>
        </w:rPr>
        <w:br w:type="page"/>
      </w:r>
    </w:p>
    <w:p w:rsidR="00CC4DD4" w:rsidRPr="0039009E" w:rsidRDefault="0039009E" w:rsidP="0039009E">
      <w:pPr>
        <w:pStyle w:val="1"/>
        <w:tabs>
          <w:tab w:val="left" w:pos="851"/>
        </w:tabs>
        <w:spacing w:after="0" w:line="360" w:lineRule="auto"/>
        <w:ind w:left="0"/>
        <w:jc w:val="center"/>
        <w:rPr>
          <w:rFonts w:ascii="Times New Roman" w:hAnsi="Times New Roman"/>
          <w:b/>
          <w:sz w:val="28"/>
          <w:szCs w:val="28"/>
          <w:lang w:val="ru-RU"/>
        </w:rPr>
      </w:pPr>
      <w:r w:rsidRPr="006C3C9A">
        <w:rPr>
          <w:rFonts w:ascii="Times New Roman" w:hAnsi="Times New Roman"/>
          <w:b/>
          <w:sz w:val="28"/>
          <w:szCs w:val="28"/>
          <w:lang w:val="en-US"/>
        </w:rPr>
        <w:lastRenderedPageBreak/>
        <w:t>References</w:t>
      </w:r>
    </w:p>
    <w:p w:rsidR="00DA1627" w:rsidRPr="006C3C9A" w:rsidRDefault="00000061" w:rsidP="00E35879">
      <w:pPr>
        <w:pStyle w:val="1"/>
        <w:numPr>
          <w:ilvl w:val="0"/>
          <w:numId w:val="32"/>
        </w:numPr>
        <w:spacing w:after="0" w:line="360" w:lineRule="auto"/>
        <w:ind w:left="0" w:firstLine="851"/>
        <w:jc w:val="both"/>
        <w:rPr>
          <w:rFonts w:ascii="Times New Roman" w:hAnsi="Times New Roman"/>
          <w:b/>
          <w:sz w:val="28"/>
          <w:szCs w:val="28"/>
        </w:rPr>
      </w:pPr>
      <w:bookmarkStart w:id="1" w:name="_Ref455071243"/>
      <w:r w:rsidRPr="003B6FE7">
        <w:rPr>
          <w:rFonts w:ascii="Times New Roman" w:eastAsia="Helvetica-Bold" w:hAnsi="Times New Roman"/>
          <w:sz w:val="28"/>
          <w:szCs w:val="28"/>
        </w:rPr>
        <w:t xml:space="preserve">Губергриц Н. Б. </w:t>
      </w:r>
      <w:proofErr w:type="spellStart"/>
      <w:r w:rsidRPr="003B6FE7">
        <w:rPr>
          <w:rFonts w:ascii="Times New Roman" w:eastAsia="Helvetica-Bold" w:hAnsi="Times New Roman"/>
          <w:sz w:val="28"/>
          <w:szCs w:val="28"/>
        </w:rPr>
        <w:t>Панкреатическая</w:t>
      </w:r>
      <w:proofErr w:type="spellEnd"/>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rPr>
        <w:t>боль</w:t>
      </w:r>
      <w:proofErr w:type="spellEnd"/>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rPr>
        <w:t>Как</w:t>
      </w:r>
      <w:proofErr w:type="spellEnd"/>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rPr>
        <w:t>помочь</w:t>
      </w:r>
      <w:proofErr w:type="spellEnd"/>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rPr>
        <w:t>больному</w:t>
      </w:r>
      <w:proofErr w:type="spellEnd"/>
      <w:r w:rsidRPr="003B6FE7">
        <w:rPr>
          <w:rFonts w:ascii="Times New Roman" w:eastAsia="Helvetica-Bold" w:hAnsi="Times New Roman"/>
          <w:sz w:val="28"/>
          <w:szCs w:val="28"/>
        </w:rPr>
        <w:t xml:space="preserve">. — М.: </w:t>
      </w:r>
      <w:proofErr w:type="spellStart"/>
      <w:r w:rsidRPr="003B6FE7">
        <w:rPr>
          <w:rFonts w:ascii="Times New Roman" w:eastAsia="Helvetica-Bold" w:hAnsi="Times New Roman"/>
          <w:sz w:val="28"/>
          <w:szCs w:val="28"/>
        </w:rPr>
        <w:t>Медпрактика</w:t>
      </w:r>
      <w:proofErr w:type="spellEnd"/>
      <w:r w:rsidRPr="003B6FE7">
        <w:rPr>
          <w:rFonts w:ascii="Times New Roman" w:eastAsia="Helvetica-Bold" w:hAnsi="Times New Roman"/>
          <w:sz w:val="28"/>
          <w:szCs w:val="28"/>
        </w:rPr>
        <w:t>, 2005. — 175 с.</w:t>
      </w:r>
      <w:bookmarkEnd w:id="1"/>
    </w:p>
    <w:p w:rsidR="00DA1627" w:rsidRPr="006C3C9A" w:rsidRDefault="00000061" w:rsidP="00E35879">
      <w:pPr>
        <w:pStyle w:val="1"/>
        <w:numPr>
          <w:ilvl w:val="0"/>
          <w:numId w:val="32"/>
        </w:numPr>
        <w:spacing w:after="0" w:line="360" w:lineRule="auto"/>
        <w:ind w:left="0" w:firstLine="851"/>
        <w:jc w:val="both"/>
        <w:rPr>
          <w:rFonts w:ascii="Times New Roman" w:hAnsi="Times New Roman"/>
          <w:b/>
          <w:sz w:val="28"/>
          <w:szCs w:val="28"/>
        </w:rPr>
      </w:pPr>
      <w:bookmarkStart w:id="2" w:name="_Ref455071259"/>
      <w:proofErr w:type="spellStart"/>
      <w:r w:rsidRPr="003B6FE7">
        <w:rPr>
          <w:rFonts w:ascii="Times New Roman" w:hAnsi="Times New Roman"/>
          <w:sz w:val="28"/>
          <w:szCs w:val="28"/>
          <w:lang w:eastAsia="uk-UA"/>
        </w:rPr>
        <w:t>Хирургическая</w:t>
      </w:r>
      <w:proofErr w:type="spellEnd"/>
      <w:r w:rsidRPr="003B6FE7">
        <w:rPr>
          <w:rFonts w:ascii="Times New Roman" w:hAnsi="Times New Roman"/>
          <w:sz w:val="28"/>
          <w:szCs w:val="28"/>
          <w:lang w:eastAsia="uk-UA"/>
        </w:rPr>
        <w:t xml:space="preserve"> </w:t>
      </w:r>
      <w:proofErr w:type="spellStart"/>
      <w:r w:rsidRPr="003B6FE7">
        <w:rPr>
          <w:rFonts w:ascii="Times New Roman" w:hAnsi="Times New Roman"/>
          <w:sz w:val="28"/>
          <w:szCs w:val="28"/>
          <w:lang w:eastAsia="uk-UA"/>
        </w:rPr>
        <w:t>анатомия</w:t>
      </w:r>
      <w:proofErr w:type="spellEnd"/>
      <w:r w:rsidRPr="003B6FE7">
        <w:rPr>
          <w:rFonts w:ascii="Times New Roman" w:hAnsi="Times New Roman"/>
          <w:sz w:val="28"/>
          <w:szCs w:val="28"/>
          <w:lang w:eastAsia="uk-UA"/>
        </w:rPr>
        <w:t xml:space="preserve"> </w:t>
      </w:r>
      <w:proofErr w:type="spellStart"/>
      <w:r w:rsidRPr="003B6FE7">
        <w:rPr>
          <w:rFonts w:ascii="Times New Roman" w:hAnsi="Times New Roman"/>
          <w:sz w:val="28"/>
          <w:szCs w:val="28"/>
          <w:lang w:eastAsia="uk-UA"/>
        </w:rPr>
        <w:t>поджелудочной</w:t>
      </w:r>
      <w:proofErr w:type="spellEnd"/>
      <w:r w:rsidRPr="003B6FE7">
        <w:rPr>
          <w:rFonts w:ascii="Times New Roman" w:hAnsi="Times New Roman"/>
          <w:sz w:val="28"/>
          <w:szCs w:val="28"/>
          <w:lang w:eastAsia="uk-UA"/>
        </w:rPr>
        <w:t xml:space="preserve"> </w:t>
      </w:r>
      <w:proofErr w:type="spellStart"/>
      <w:r w:rsidRPr="003B6FE7">
        <w:rPr>
          <w:rFonts w:ascii="Times New Roman" w:hAnsi="Times New Roman"/>
          <w:sz w:val="28"/>
          <w:szCs w:val="28"/>
          <w:lang w:eastAsia="uk-UA"/>
        </w:rPr>
        <w:t>железы</w:t>
      </w:r>
      <w:proofErr w:type="spellEnd"/>
      <w:r w:rsidRPr="003B6FE7">
        <w:rPr>
          <w:rFonts w:ascii="Times New Roman" w:hAnsi="Times New Roman"/>
          <w:sz w:val="28"/>
          <w:szCs w:val="28"/>
          <w:lang w:eastAsia="uk-UA"/>
        </w:rPr>
        <w:t xml:space="preserve"> / В.</w:t>
      </w:r>
      <w:r w:rsidRPr="003B6FE7">
        <w:rPr>
          <w:rFonts w:ascii="Times New Roman" w:hAnsi="Times New Roman"/>
          <w:sz w:val="28"/>
          <w:szCs w:val="28"/>
          <w:lang w:val="ru-RU" w:eastAsia="uk-UA"/>
        </w:rPr>
        <w:t xml:space="preserve"> </w:t>
      </w:r>
      <w:r w:rsidRPr="003B6FE7">
        <w:rPr>
          <w:rFonts w:ascii="Times New Roman" w:hAnsi="Times New Roman"/>
          <w:sz w:val="28"/>
          <w:szCs w:val="28"/>
          <w:lang w:eastAsia="uk-UA"/>
        </w:rPr>
        <w:t>М.</w:t>
      </w:r>
      <w:r w:rsidRPr="003B6FE7">
        <w:rPr>
          <w:rFonts w:ascii="Times New Roman" w:hAnsi="Times New Roman"/>
          <w:sz w:val="28"/>
          <w:szCs w:val="28"/>
          <w:lang w:val="ru-RU" w:eastAsia="uk-UA"/>
        </w:rPr>
        <w:t xml:space="preserve"> </w:t>
      </w:r>
      <w:proofErr w:type="spellStart"/>
      <w:r w:rsidRPr="003B6FE7">
        <w:rPr>
          <w:rFonts w:ascii="Times New Roman" w:hAnsi="Times New Roman"/>
          <w:sz w:val="28"/>
          <w:szCs w:val="28"/>
          <w:lang w:eastAsia="uk-UA"/>
        </w:rPr>
        <w:t>Копчак</w:t>
      </w:r>
      <w:proofErr w:type="spellEnd"/>
      <w:r w:rsidRPr="003B6FE7">
        <w:rPr>
          <w:rFonts w:ascii="Times New Roman" w:hAnsi="Times New Roman"/>
          <w:sz w:val="28"/>
          <w:szCs w:val="28"/>
          <w:lang w:eastAsia="uk-UA"/>
        </w:rPr>
        <w:t>, А.</w:t>
      </w:r>
      <w:r w:rsidRPr="003B6FE7">
        <w:rPr>
          <w:rFonts w:ascii="Times New Roman" w:hAnsi="Times New Roman"/>
          <w:sz w:val="28"/>
          <w:szCs w:val="28"/>
          <w:lang w:val="ru-RU" w:eastAsia="uk-UA"/>
        </w:rPr>
        <w:t xml:space="preserve"> </w:t>
      </w:r>
      <w:r w:rsidRPr="003B6FE7">
        <w:rPr>
          <w:rFonts w:ascii="Times New Roman" w:hAnsi="Times New Roman"/>
          <w:sz w:val="28"/>
          <w:szCs w:val="28"/>
          <w:lang w:eastAsia="uk-UA"/>
        </w:rPr>
        <w:t>Ю.</w:t>
      </w:r>
      <w:r w:rsidRPr="003B6FE7">
        <w:rPr>
          <w:rFonts w:ascii="Times New Roman" w:hAnsi="Times New Roman"/>
          <w:sz w:val="28"/>
          <w:szCs w:val="28"/>
          <w:lang w:val="ru-RU" w:eastAsia="uk-UA"/>
        </w:rPr>
        <w:t xml:space="preserve"> </w:t>
      </w:r>
      <w:proofErr w:type="spellStart"/>
      <w:r w:rsidRPr="003B6FE7">
        <w:rPr>
          <w:rFonts w:ascii="Times New Roman" w:hAnsi="Times New Roman"/>
          <w:sz w:val="28"/>
          <w:szCs w:val="28"/>
          <w:lang w:eastAsia="uk-UA"/>
        </w:rPr>
        <w:t>Усенко</w:t>
      </w:r>
      <w:proofErr w:type="spellEnd"/>
      <w:r w:rsidRPr="003B6FE7">
        <w:rPr>
          <w:rFonts w:ascii="Times New Roman" w:hAnsi="Times New Roman"/>
          <w:sz w:val="28"/>
          <w:szCs w:val="28"/>
          <w:lang w:eastAsia="uk-UA"/>
        </w:rPr>
        <w:t>, К.</w:t>
      </w:r>
      <w:r w:rsidRPr="003B6FE7">
        <w:rPr>
          <w:rFonts w:ascii="Times New Roman" w:hAnsi="Times New Roman"/>
          <w:sz w:val="28"/>
          <w:szCs w:val="28"/>
          <w:lang w:val="ru-RU" w:eastAsia="uk-UA"/>
        </w:rPr>
        <w:t xml:space="preserve"> </w:t>
      </w:r>
      <w:r w:rsidRPr="003B6FE7">
        <w:rPr>
          <w:rFonts w:ascii="Times New Roman" w:hAnsi="Times New Roman"/>
          <w:sz w:val="28"/>
          <w:szCs w:val="28"/>
          <w:lang w:eastAsia="uk-UA"/>
        </w:rPr>
        <w:t>В.</w:t>
      </w:r>
      <w:r w:rsidRPr="003B6FE7">
        <w:rPr>
          <w:rFonts w:ascii="Times New Roman" w:hAnsi="Times New Roman"/>
          <w:sz w:val="28"/>
          <w:szCs w:val="28"/>
          <w:lang w:val="ru-RU" w:eastAsia="uk-UA"/>
        </w:rPr>
        <w:t xml:space="preserve"> </w:t>
      </w:r>
      <w:proofErr w:type="spellStart"/>
      <w:r w:rsidRPr="003B6FE7">
        <w:rPr>
          <w:rFonts w:ascii="Times New Roman" w:hAnsi="Times New Roman"/>
          <w:sz w:val="28"/>
          <w:szCs w:val="28"/>
          <w:lang w:eastAsia="uk-UA"/>
        </w:rPr>
        <w:t>Копчак</w:t>
      </w:r>
      <w:proofErr w:type="spellEnd"/>
      <w:r w:rsidRPr="003B6FE7">
        <w:rPr>
          <w:rFonts w:ascii="Times New Roman" w:hAnsi="Times New Roman"/>
          <w:sz w:val="28"/>
          <w:szCs w:val="28"/>
          <w:lang w:eastAsia="uk-UA"/>
        </w:rPr>
        <w:t>, А.</w:t>
      </w:r>
      <w:r w:rsidRPr="003B6FE7">
        <w:rPr>
          <w:rFonts w:ascii="Times New Roman" w:hAnsi="Times New Roman"/>
          <w:sz w:val="28"/>
          <w:szCs w:val="28"/>
          <w:lang w:val="ru-RU" w:eastAsia="uk-UA"/>
        </w:rPr>
        <w:t xml:space="preserve"> </w:t>
      </w:r>
      <w:r w:rsidRPr="003B6FE7">
        <w:rPr>
          <w:rFonts w:ascii="Times New Roman" w:hAnsi="Times New Roman"/>
          <w:sz w:val="28"/>
          <w:szCs w:val="28"/>
          <w:lang w:eastAsia="uk-UA"/>
        </w:rPr>
        <w:t>И.</w:t>
      </w:r>
      <w:r w:rsidRPr="003B6FE7">
        <w:rPr>
          <w:rFonts w:ascii="Times New Roman" w:hAnsi="Times New Roman"/>
          <w:sz w:val="28"/>
          <w:szCs w:val="28"/>
          <w:lang w:val="ru-RU" w:eastAsia="uk-UA"/>
        </w:rPr>
        <w:t xml:space="preserve"> </w:t>
      </w:r>
      <w:proofErr w:type="spellStart"/>
      <w:r w:rsidRPr="003B6FE7">
        <w:rPr>
          <w:rFonts w:ascii="Times New Roman" w:hAnsi="Times New Roman"/>
          <w:sz w:val="28"/>
          <w:szCs w:val="28"/>
          <w:lang w:eastAsia="uk-UA"/>
        </w:rPr>
        <w:t>Зелинский</w:t>
      </w:r>
      <w:proofErr w:type="spellEnd"/>
      <w:r w:rsidRPr="003B6FE7">
        <w:rPr>
          <w:rFonts w:ascii="Times New Roman" w:hAnsi="Times New Roman"/>
          <w:sz w:val="28"/>
          <w:szCs w:val="28"/>
          <w:lang w:eastAsia="uk-UA"/>
        </w:rPr>
        <w:t>. — К</w:t>
      </w:r>
      <w:r w:rsidRPr="003B6FE7">
        <w:rPr>
          <w:rFonts w:ascii="Times New Roman" w:hAnsi="Times New Roman"/>
          <w:sz w:val="28"/>
          <w:szCs w:val="28"/>
          <w:lang w:val="ru-RU" w:eastAsia="uk-UA"/>
        </w:rPr>
        <w:t>.</w:t>
      </w:r>
      <w:r w:rsidRPr="003B6FE7">
        <w:rPr>
          <w:rFonts w:ascii="Times New Roman" w:hAnsi="Times New Roman"/>
          <w:sz w:val="28"/>
          <w:szCs w:val="28"/>
          <w:lang w:eastAsia="uk-UA"/>
        </w:rPr>
        <w:t xml:space="preserve"> : </w:t>
      </w:r>
      <w:proofErr w:type="spellStart"/>
      <w:r w:rsidRPr="003B6FE7">
        <w:rPr>
          <w:rFonts w:ascii="Times New Roman" w:hAnsi="Times New Roman"/>
          <w:sz w:val="28"/>
          <w:szCs w:val="28"/>
          <w:lang w:eastAsia="uk-UA"/>
        </w:rPr>
        <w:t>Издательский</w:t>
      </w:r>
      <w:proofErr w:type="spellEnd"/>
      <w:r w:rsidRPr="003B6FE7">
        <w:rPr>
          <w:rFonts w:ascii="Times New Roman" w:hAnsi="Times New Roman"/>
          <w:sz w:val="28"/>
          <w:szCs w:val="28"/>
          <w:lang w:eastAsia="uk-UA"/>
        </w:rPr>
        <w:t xml:space="preserve"> </w:t>
      </w:r>
      <w:proofErr w:type="spellStart"/>
      <w:r w:rsidRPr="003B6FE7">
        <w:rPr>
          <w:rFonts w:ascii="Times New Roman" w:hAnsi="Times New Roman"/>
          <w:sz w:val="28"/>
          <w:szCs w:val="28"/>
          <w:lang w:eastAsia="uk-UA"/>
        </w:rPr>
        <w:t>дом</w:t>
      </w:r>
      <w:proofErr w:type="spellEnd"/>
      <w:r w:rsidRPr="003B6FE7">
        <w:rPr>
          <w:rFonts w:ascii="Times New Roman" w:hAnsi="Times New Roman"/>
          <w:sz w:val="28"/>
          <w:szCs w:val="28"/>
          <w:lang w:eastAsia="uk-UA"/>
        </w:rPr>
        <w:t xml:space="preserve"> «</w:t>
      </w:r>
      <w:proofErr w:type="spellStart"/>
      <w:r w:rsidRPr="003B6FE7">
        <w:rPr>
          <w:rFonts w:ascii="Times New Roman" w:hAnsi="Times New Roman"/>
          <w:sz w:val="28"/>
          <w:szCs w:val="28"/>
          <w:lang w:eastAsia="uk-UA"/>
        </w:rPr>
        <w:t>Аскания</w:t>
      </w:r>
      <w:proofErr w:type="spellEnd"/>
      <w:r w:rsidRPr="003B6FE7">
        <w:rPr>
          <w:rFonts w:ascii="Times New Roman" w:hAnsi="Times New Roman"/>
          <w:sz w:val="28"/>
          <w:szCs w:val="28"/>
          <w:lang w:eastAsia="uk-UA"/>
        </w:rPr>
        <w:t>», 2011. — 141 с.</w:t>
      </w:r>
      <w:bookmarkEnd w:id="2"/>
    </w:p>
    <w:p w:rsidR="00E5413F" w:rsidRPr="006C3C9A" w:rsidRDefault="00000061" w:rsidP="00E35879">
      <w:pPr>
        <w:pStyle w:val="1"/>
        <w:numPr>
          <w:ilvl w:val="0"/>
          <w:numId w:val="32"/>
        </w:numPr>
        <w:spacing w:after="0" w:line="360" w:lineRule="auto"/>
        <w:ind w:left="0" w:firstLine="851"/>
        <w:jc w:val="both"/>
        <w:rPr>
          <w:rFonts w:ascii="Times New Roman" w:hAnsi="Times New Roman"/>
          <w:b/>
          <w:sz w:val="28"/>
          <w:szCs w:val="28"/>
        </w:rPr>
      </w:pPr>
      <w:bookmarkStart w:id="3" w:name="_Ref455071292"/>
      <w:r w:rsidRPr="003B6FE7">
        <w:rPr>
          <w:rFonts w:ascii="Times New Roman" w:hAnsi="Times New Roman"/>
          <w:sz w:val="28"/>
          <w:szCs w:val="28"/>
        </w:rPr>
        <w:t xml:space="preserve">Пат. 101713 Україна, МПК А 61В 17/00. Спосіб хірургічного лікування хронічного панкреатиту, ускладненого жовчнокам’яною хворобою / В.І. </w:t>
      </w:r>
      <w:proofErr w:type="spellStart"/>
      <w:r w:rsidRPr="003B6FE7">
        <w:rPr>
          <w:rFonts w:ascii="Times New Roman" w:hAnsi="Times New Roman"/>
          <w:sz w:val="28"/>
          <w:szCs w:val="28"/>
        </w:rPr>
        <w:t>Пилипчук</w:t>
      </w:r>
      <w:proofErr w:type="spellEnd"/>
      <w:r w:rsidRPr="003B6FE7">
        <w:rPr>
          <w:rFonts w:ascii="Times New Roman" w:hAnsi="Times New Roman"/>
          <w:sz w:val="28"/>
          <w:szCs w:val="28"/>
        </w:rPr>
        <w:t xml:space="preserve">, В.М. </w:t>
      </w:r>
      <w:proofErr w:type="spellStart"/>
      <w:r w:rsidRPr="003B6FE7">
        <w:rPr>
          <w:rFonts w:ascii="Times New Roman" w:hAnsi="Times New Roman"/>
          <w:sz w:val="28"/>
          <w:szCs w:val="28"/>
        </w:rPr>
        <w:t>Копчак</w:t>
      </w:r>
      <w:proofErr w:type="spellEnd"/>
      <w:r w:rsidRPr="003B6FE7">
        <w:rPr>
          <w:rFonts w:ascii="Times New Roman" w:hAnsi="Times New Roman"/>
          <w:sz w:val="28"/>
          <w:szCs w:val="28"/>
        </w:rPr>
        <w:t xml:space="preserve">, І. М. Шевчук, (Україна). — № </w:t>
      </w:r>
      <w:r w:rsidRPr="003B6FE7">
        <w:rPr>
          <w:rFonts w:ascii="Times New Roman" w:hAnsi="Times New Roman"/>
          <w:sz w:val="28"/>
          <w:szCs w:val="28"/>
          <w:lang w:val="en-US"/>
        </w:rPr>
        <w:t>u</w:t>
      </w:r>
      <w:r w:rsidRPr="003B6FE7">
        <w:rPr>
          <w:rFonts w:ascii="Times New Roman" w:hAnsi="Times New Roman"/>
          <w:sz w:val="28"/>
          <w:szCs w:val="28"/>
        </w:rPr>
        <w:t xml:space="preserve"> 2015 03315; </w:t>
      </w:r>
      <w:proofErr w:type="spellStart"/>
      <w:r w:rsidRPr="003B6FE7">
        <w:rPr>
          <w:rFonts w:ascii="Times New Roman" w:hAnsi="Times New Roman"/>
          <w:sz w:val="28"/>
          <w:szCs w:val="28"/>
        </w:rPr>
        <w:t>заявл</w:t>
      </w:r>
      <w:proofErr w:type="spellEnd"/>
      <w:r w:rsidRPr="003B6FE7">
        <w:rPr>
          <w:rFonts w:ascii="Times New Roman" w:hAnsi="Times New Roman"/>
          <w:sz w:val="28"/>
          <w:szCs w:val="28"/>
        </w:rPr>
        <w:t xml:space="preserve">. 09.04.2015; </w:t>
      </w:r>
      <w:proofErr w:type="spellStart"/>
      <w:r w:rsidRPr="003B6FE7">
        <w:rPr>
          <w:rFonts w:ascii="Times New Roman" w:hAnsi="Times New Roman"/>
          <w:sz w:val="28"/>
          <w:szCs w:val="28"/>
        </w:rPr>
        <w:t>опубл</w:t>
      </w:r>
      <w:proofErr w:type="spellEnd"/>
      <w:r w:rsidRPr="003B6FE7">
        <w:rPr>
          <w:rFonts w:ascii="Times New Roman" w:hAnsi="Times New Roman"/>
          <w:sz w:val="28"/>
          <w:szCs w:val="28"/>
        </w:rPr>
        <w:t xml:space="preserve">. 25.09.2015. </w:t>
      </w:r>
      <w:proofErr w:type="spellStart"/>
      <w:r w:rsidRPr="003B6FE7">
        <w:rPr>
          <w:rFonts w:ascii="Times New Roman" w:hAnsi="Times New Roman"/>
          <w:sz w:val="28"/>
          <w:szCs w:val="28"/>
        </w:rPr>
        <w:t>Бюл</w:t>
      </w:r>
      <w:proofErr w:type="spellEnd"/>
      <w:r w:rsidRPr="003B6FE7">
        <w:rPr>
          <w:rFonts w:ascii="Times New Roman" w:hAnsi="Times New Roman"/>
          <w:sz w:val="28"/>
          <w:szCs w:val="28"/>
        </w:rPr>
        <w:t xml:space="preserve"> № 18</w:t>
      </w:r>
      <w:r w:rsidRPr="003B6FE7">
        <w:rPr>
          <w:rFonts w:ascii="Times New Roman" w:hAnsi="Times New Roman"/>
          <w:sz w:val="28"/>
          <w:szCs w:val="28"/>
          <w:lang w:val="ru-RU"/>
        </w:rPr>
        <w:t>.</w:t>
      </w:r>
      <w:bookmarkEnd w:id="3"/>
    </w:p>
    <w:p w:rsidR="00DA1627" w:rsidRPr="006C3C9A" w:rsidRDefault="00000061" w:rsidP="00E35879">
      <w:pPr>
        <w:pStyle w:val="1"/>
        <w:numPr>
          <w:ilvl w:val="0"/>
          <w:numId w:val="32"/>
        </w:numPr>
        <w:spacing w:after="0" w:line="360" w:lineRule="auto"/>
        <w:ind w:left="0" w:firstLine="851"/>
        <w:jc w:val="both"/>
        <w:rPr>
          <w:rFonts w:ascii="Times New Roman" w:hAnsi="Times New Roman"/>
          <w:b/>
          <w:sz w:val="28"/>
          <w:szCs w:val="28"/>
        </w:rPr>
      </w:pPr>
      <w:bookmarkStart w:id="4" w:name="_Ref455071281"/>
      <w:proofErr w:type="spellStart"/>
      <w:r w:rsidRPr="003B6FE7">
        <w:rPr>
          <w:rFonts w:ascii="Times New Roman" w:hAnsi="Times New Roman"/>
          <w:sz w:val="28"/>
          <w:szCs w:val="28"/>
        </w:rPr>
        <w:t>Резолюция</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Пленума</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Правления</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Ассоциации</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хирургов-гепатологов</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России</w:t>
      </w:r>
      <w:proofErr w:type="spellEnd"/>
      <w:r w:rsidRPr="003B6FE7">
        <w:rPr>
          <w:rFonts w:ascii="Times New Roman" w:hAnsi="Times New Roman"/>
          <w:sz w:val="28"/>
          <w:szCs w:val="28"/>
        </w:rPr>
        <w:t xml:space="preserve"> и </w:t>
      </w:r>
      <w:proofErr w:type="spellStart"/>
      <w:r w:rsidRPr="003B6FE7">
        <w:rPr>
          <w:rFonts w:ascii="Times New Roman" w:hAnsi="Times New Roman"/>
          <w:sz w:val="28"/>
          <w:szCs w:val="28"/>
        </w:rPr>
        <w:t>стран</w:t>
      </w:r>
      <w:proofErr w:type="spellEnd"/>
      <w:r w:rsidRPr="003B6FE7">
        <w:rPr>
          <w:rFonts w:ascii="Times New Roman" w:hAnsi="Times New Roman"/>
          <w:sz w:val="28"/>
          <w:szCs w:val="28"/>
        </w:rPr>
        <w:t xml:space="preserve"> СНГ (</w:t>
      </w:r>
      <w:proofErr w:type="spellStart"/>
      <w:r w:rsidRPr="003B6FE7">
        <w:rPr>
          <w:rFonts w:ascii="Times New Roman" w:hAnsi="Times New Roman"/>
          <w:sz w:val="28"/>
          <w:szCs w:val="28"/>
        </w:rPr>
        <w:t>Ижевск</w:t>
      </w:r>
      <w:proofErr w:type="spellEnd"/>
      <w:r w:rsidRPr="003B6FE7">
        <w:rPr>
          <w:rFonts w:ascii="Times New Roman" w:hAnsi="Times New Roman"/>
          <w:sz w:val="28"/>
          <w:szCs w:val="28"/>
          <w:lang w:val="ru-RU"/>
        </w:rPr>
        <w:t>,</w:t>
      </w:r>
      <w:r w:rsidRPr="003B6FE7">
        <w:rPr>
          <w:rFonts w:ascii="Times New Roman" w:hAnsi="Times New Roman"/>
          <w:sz w:val="28"/>
          <w:szCs w:val="28"/>
        </w:rPr>
        <w:t xml:space="preserve"> 19</w:t>
      </w:r>
      <w:r w:rsidRPr="003B6FE7">
        <w:rPr>
          <w:rFonts w:ascii="Times New Roman" w:hAnsi="Times New Roman"/>
          <w:sz w:val="28"/>
          <w:szCs w:val="28"/>
          <w:lang w:val="ru-RU"/>
        </w:rPr>
        <w:t>–</w:t>
      </w:r>
      <w:r w:rsidRPr="003B6FE7">
        <w:rPr>
          <w:rFonts w:ascii="Times New Roman" w:hAnsi="Times New Roman"/>
          <w:sz w:val="28"/>
          <w:szCs w:val="28"/>
        </w:rPr>
        <w:t xml:space="preserve">20 </w:t>
      </w:r>
      <w:proofErr w:type="spellStart"/>
      <w:r w:rsidRPr="003B6FE7">
        <w:rPr>
          <w:rFonts w:ascii="Times New Roman" w:hAnsi="Times New Roman"/>
          <w:sz w:val="28"/>
          <w:szCs w:val="28"/>
        </w:rPr>
        <w:t>апреля</w:t>
      </w:r>
      <w:proofErr w:type="spellEnd"/>
      <w:r w:rsidRPr="003B6FE7">
        <w:rPr>
          <w:rFonts w:ascii="Times New Roman" w:hAnsi="Times New Roman"/>
          <w:sz w:val="28"/>
          <w:szCs w:val="28"/>
        </w:rPr>
        <w:t xml:space="preserve"> 2012 г.) «</w:t>
      </w:r>
      <w:proofErr w:type="spellStart"/>
      <w:r w:rsidRPr="003B6FE7">
        <w:rPr>
          <w:rFonts w:ascii="Times New Roman" w:hAnsi="Times New Roman"/>
          <w:sz w:val="28"/>
          <w:szCs w:val="28"/>
        </w:rPr>
        <w:t>Хронический</w:t>
      </w:r>
      <w:proofErr w:type="spellEnd"/>
      <w:r w:rsidRPr="003B6FE7">
        <w:rPr>
          <w:rFonts w:ascii="Times New Roman" w:hAnsi="Times New Roman"/>
          <w:sz w:val="28"/>
          <w:szCs w:val="28"/>
        </w:rPr>
        <w:t xml:space="preserve"> панкреатит» // </w:t>
      </w:r>
      <w:proofErr w:type="spellStart"/>
      <w:r w:rsidRPr="003B6FE7">
        <w:rPr>
          <w:rFonts w:ascii="Times New Roman" w:hAnsi="Times New Roman"/>
          <w:sz w:val="28"/>
          <w:szCs w:val="28"/>
        </w:rPr>
        <w:t>Анналы</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хирургической</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гепатологии</w:t>
      </w:r>
      <w:proofErr w:type="spellEnd"/>
      <w:r w:rsidRPr="003B6FE7">
        <w:rPr>
          <w:rFonts w:ascii="Times New Roman" w:hAnsi="Times New Roman"/>
          <w:sz w:val="28"/>
          <w:szCs w:val="28"/>
        </w:rPr>
        <w:t>. — 2012. — Т. 17, № 3. — С. 118</w:t>
      </w:r>
      <w:r w:rsidRPr="003B6FE7">
        <w:rPr>
          <w:rFonts w:ascii="Times New Roman" w:hAnsi="Times New Roman"/>
          <w:sz w:val="28"/>
          <w:szCs w:val="28"/>
          <w:lang w:val="ru-RU"/>
        </w:rPr>
        <w:t>–</w:t>
      </w:r>
      <w:r w:rsidRPr="003B6FE7">
        <w:rPr>
          <w:rFonts w:ascii="Times New Roman" w:hAnsi="Times New Roman"/>
          <w:sz w:val="28"/>
          <w:szCs w:val="28"/>
        </w:rPr>
        <w:t>119</w:t>
      </w:r>
      <w:r w:rsidRPr="003B6FE7">
        <w:rPr>
          <w:rFonts w:ascii="Times New Roman" w:hAnsi="Times New Roman"/>
          <w:sz w:val="28"/>
          <w:szCs w:val="28"/>
          <w:lang w:val="ru-RU"/>
        </w:rPr>
        <w:t>.</w:t>
      </w:r>
      <w:bookmarkEnd w:id="4"/>
    </w:p>
    <w:p w:rsidR="00217CB1" w:rsidRPr="006C3C9A" w:rsidRDefault="00000061" w:rsidP="00E35879">
      <w:pPr>
        <w:pStyle w:val="1"/>
        <w:numPr>
          <w:ilvl w:val="0"/>
          <w:numId w:val="32"/>
        </w:numPr>
        <w:spacing w:after="0" w:line="360" w:lineRule="auto"/>
        <w:ind w:left="0" w:firstLine="851"/>
        <w:jc w:val="both"/>
        <w:rPr>
          <w:rFonts w:ascii="Times New Roman" w:hAnsi="Times New Roman"/>
          <w:b/>
          <w:sz w:val="32"/>
          <w:szCs w:val="28"/>
        </w:rPr>
      </w:pPr>
      <w:bookmarkStart w:id="5" w:name="_Ref455071253"/>
      <w:proofErr w:type="spellStart"/>
      <w:r w:rsidRPr="003B6FE7">
        <w:rPr>
          <w:rFonts w:ascii="Times New Roman" w:hAnsi="Times New Roman"/>
          <w:sz w:val="28"/>
          <w:szCs w:val="28"/>
        </w:rPr>
        <w:t>Ярешко</w:t>
      </w:r>
      <w:proofErr w:type="spellEnd"/>
      <w:r w:rsidRPr="003B6FE7">
        <w:rPr>
          <w:rFonts w:ascii="Times New Roman" w:hAnsi="Times New Roman"/>
          <w:sz w:val="28"/>
          <w:szCs w:val="28"/>
        </w:rPr>
        <w:t xml:space="preserve"> В.</w:t>
      </w:r>
      <w:r w:rsidRPr="003B6FE7">
        <w:rPr>
          <w:rFonts w:ascii="Times New Roman" w:hAnsi="Times New Roman"/>
          <w:sz w:val="28"/>
          <w:szCs w:val="28"/>
          <w:lang w:val="ru-RU"/>
        </w:rPr>
        <w:t xml:space="preserve"> </w:t>
      </w:r>
      <w:r w:rsidRPr="003B6FE7">
        <w:rPr>
          <w:rFonts w:ascii="Times New Roman" w:hAnsi="Times New Roman"/>
          <w:sz w:val="28"/>
          <w:szCs w:val="28"/>
        </w:rPr>
        <w:t xml:space="preserve">Г. </w:t>
      </w:r>
      <w:proofErr w:type="spellStart"/>
      <w:r w:rsidRPr="003B6FE7">
        <w:rPr>
          <w:rFonts w:ascii="Times New Roman" w:hAnsi="Times New Roman"/>
          <w:sz w:val="28"/>
          <w:szCs w:val="28"/>
        </w:rPr>
        <w:t>Выбор</w:t>
      </w:r>
      <w:proofErr w:type="spellEnd"/>
      <w:r w:rsidRPr="003B6FE7">
        <w:rPr>
          <w:rFonts w:ascii="Times New Roman" w:hAnsi="Times New Roman"/>
          <w:sz w:val="28"/>
          <w:szCs w:val="28"/>
        </w:rPr>
        <w:t xml:space="preserve"> метода </w:t>
      </w:r>
      <w:proofErr w:type="spellStart"/>
      <w:r w:rsidRPr="003B6FE7">
        <w:rPr>
          <w:rFonts w:ascii="Times New Roman" w:hAnsi="Times New Roman"/>
          <w:sz w:val="28"/>
          <w:szCs w:val="28"/>
        </w:rPr>
        <w:t>хирургического</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лечения</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хронического</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панкреатита</w:t>
      </w:r>
      <w:proofErr w:type="spellEnd"/>
      <w:r w:rsidRPr="003B6FE7">
        <w:rPr>
          <w:rFonts w:ascii="Times New Roman" w:hAnsi="Times New Roman"/>
          <w:sz w:val="28"/>
          <w:szCs w:val="28"/>
        </w:rPr>
        <w:t xml:space="preserve"> и </w:t>
      </w:r>
      <w:proofErr w:type="spellStart"/>
      <w:r w:rsidRPr="003B6FE7">
        <w:rPr>
          <w:rFonts w:ascii="Times New Roman" w:hAnsi="Times New Roman"/>
          <w:sz w:val="28"/>
          <w:szCs w:val="28"/>
        </w:rPr>
        <w:t>его</w:t>
      </w:r>
      <w:proofErr w:type="spellEnd"/>
      <w:r w:rsidRPr="003B6FE7">
        <w:rPr>
          <w:rFonts w:ascii="Times New Roman" w:hAnsi="Times New Roman"/>
          <w:sz w:val="28"/>
          <w:szCs w:val="28"/>
        </w:rPr>
        <w:t xml:space="preserve"> </w:t>
      </w:r>
      <w:proofErr w:type="spellStart"/>
      <w:r w:rsidRPr="003B6FE7">
        <w:rPr>
          <w:rFonts w:ascii="Times New Roman" w:hAnsi="Times New Roman"/>
          <w:sz w:val="28"/>
          <w:szCs w:val="28"/>
        </w:rPr>
        <w:t>осложнений</w:t>
      </w:r>
      <w:proofErr w:type="spellEnd"/>
      <w:r w:rsidRPr="003B6FE7">
        <w:rPr>
          <w:rFonts w:ascii="Times New Roman" w:hAnsi="Times New Roman"/>
          <w:sz w:val="28"/>
          <w:szCs w:val="28"/>
        </w:rPr>
        <w:t xml:space="preserve"> / </w:t>
      </w:r>
      <w:r w:rsidRPr="003B6FE7">
        <w:rPr>
          <w:rFonts w:ascii="Times New Roman" w:hAnsi="Times New Roman"/>
          <w:bCs/>
          <w:sz w:val="28"/>
          <w:szCs w:val="28"/>
        </w:rPr>
        <w:t>В.</w:t>
      </w:r>
      <w:r w:rsidRPr="003B6FE7">
        <w:rPr>
          <w:rFonts w:ascii="Times New Roman" w:hAnsi="Times New Roman"/>
          <w:bCs/>
          <w:sz w:val="28"/>
          <w:szCs w:val="28"/>
          <w:lang w:val="ru-RU"/>
        </w:rPr>
        <w:t xml:space="preserve"> </w:t>
      </w:r>
      <w:r w:rsidRPr="003B6FE7">
        <w:rPr>
          <w:rFonts w:ascii="Times New Roman" w:hAnsi="Times New Roman"/>
          <w:bCs/>
          <w:sz w:val="28"/>
          <w:szCs w:val="28"/>
        </w:rPr>
        <w:t>Г.</w:t>
      </w:r>
      <w:proofErr w:type="spellStart"/>
      <w:r w:rsidRPr="003B6FE7">
        <w:rPr>
          <w:rFonts w:ascii="Times New Roman" w:hAnsi="Times New Roman"/>
          <w:bCs/>
          <w:sz w:val="28"/>
          <w:szCs w:val="28"/>
        </w:rPr>
        <w:t>Ярешко</w:t>
      </w:r>
      <w:proofErr w:type="spellEnd"/>
      <w:r w:rsidRPr="003B6FE7">
        <w:rPr>
          <w:rFonts w:ascii="Times New Roman" w:hAnsi="Times New Roman"/>
          <w:bCs/>
          <w:sz w:val="28"/>
          <w:szCs w:val="28"/>
        </w:rPr>
        <w:t>, Ю.</w:t>
      </w:r>
      <w:r w:rsidRPr="003B6FE7">
        <w:rPr>
          <w:rFonts w:ascii="Times New Roman" w:hAnsi="Times New Roman"/>
          <w:bCs/>
          <w:sz w:val="28"/>
          <w:szCs w:val="28"/>
          <w:lang w:val="ru-RU"/>
        </w:rPr>
        <w:t xml:space="preserve"> </w:t>
      </w:r>
      <w:r w:rsidRPr="003B6FE7">
        <w:rPr>
          <w:rFonts w:ascii="Times New Roman" w:hAnsi="Times New Roman"/>
          <w:bCs/>
          <w:sz w:val="28"/>
          <w:szCs w:val="28"/>
        </w:rPr>
        <w:t>А.</w:t>
      </w:r>
      <w:r w:rsidRPr="003B6FE7">
        <w:rPr>
          <w:rFonts w:ascii="Times New Roman" w:hAnsi="Times New Roman"/>
          <w:bCs/>
          <w:sz w:val="28"/>
          <w:szCs w:val="28"/>
          <w:lang w:val="ru-RU"/>
        </w:rPr>
        <w:t xml:space="preserve"> </w:t>
      </w:r>
      <w:proofErr w:type="spellStart"/>
      <w:r w:rsidRPr="003B6FE7">
        <w:rPr>
          <w:rFonts w:ascii="Times New Roman" w:hAnsi="Times New Roman"/>
          <w:bCs/>
          <w:sz w:val="28"/>
          <w:szCs w:val="28"/>
        </w:rPr>
        <w:t>Михеев</w:t>
      </w:r>
      <w:proofErr w:type="spellEnd"/>
      <w:r w:rsidRPr="003B6FE7">
        <w:rPr>
          <w:rFonts w:ascii="Times New Roman" w:hAnsi="Times New Roman"/>
          <w:bCs/>
          <w:sz w:val="28"/>
          <w:szCs w:val="28"/>
        </w:rPr>
        <w:t xml:space="preserve"> // </w:t>
      </w:r>
      <w:r w:rsidRPr="003B6FE7">
        <w:rPr>
          <w:rFonts w:ascii="Times New Roman" w:hAnsi="Times New Roman"/>
          <w:bCs/>
          <w:sz w:val="28"/>
          <w:szCs w:val="28"/>
          <w:lang w:val="en-US"/>
        </w:rPr>
        <w:t>XXIII</w:t>
      </w:r>
      <w:r w:rsidRPr="003B6FE7">
        <w:rPr>
          <w:rFonts w:ascii="Times New Roman" w:hAnsi="Times New Roman"/>
          <w:bCs/>
          <w:sz w:val="28"/>
          <w:szCs w:val="28"/>
        </w:rPr>
        <w:t xml:space="preserve"> з’їзд хірургів України. Збірник наукових робіт. Київ, 2015. — С. 219</w:t>
      </w:r>
      <w:r w:rsidRPr="003B6FE7">
        <w:rPr>
          <w:rFonts w:ascii="Times New Roman" w:hAnsi="Times New Roman"/>
          <w:bCs/>
          <w:sz w:val="28"/>
          <w:szCs w:val="28"/>
          <w:lang w:val="ru-RU"/>
        </w:rPr>
        <w:t>–</w:t>
      </w:r>
      <w:r w:rsidRPr="003B6FE7">
        <w:rPr>
          <w:rFonts w:ascii="Times New Roman" w:hAnsi="Times New Roman"/>
          <w:bCs/>
          <w:sz w:val="28"/>
          <w:szCs w:val="28"/>
        </w:rPr>
        <w:t>220</w:t>
      </w:r>
      <w:r w:rsidRPr="003B6FE7">
        <w:rPr>
          <w:rFonts w:ascii="Times New Roman" w:hAnsi="Times New Roman"/>
          <w:bCs/>
          <w:sz w:val="28"/>
          <w:szCs w:val="28"/>
          <w:lang w:val="ru-RU"/>
        </w:rPr>
        <w:t>.</w:t>
      </w:r>
      <w:bookmarkEnd w:id="5"/>
    </w:p>
    <w:p w:rsidR="001207A5" w:rsidRPr="006C3C9A" w:rsidRDefault="00000061" w:rsidP="00E35879">
      <w:pPr>
        <w:pStyle w:val="1"/>
        <w:numPr>
          <w:ilvl w:val="0"/>
          <w:numId w:val="32"/>
        </w:numPr>
        <w:spacing w:after="0" w:line="360" w:lineRule="auto"/>
        <w:ind w:left="0" w:firstLine="851"/>
        <w:jc w:val="both"/>
        <w:rPr>
          <w:rFonts w:ascii="Times New Roman" w:hAnsi="Times New Roman"/>
          <w:b/>
          <w:sz w:val="36"/>
          <w:szCs w:val="28"/>
        </w:rPr>
      </w:pPr>
      <w:r w:rsidRPr="003B6FE7">
        <w:rPr>
          <w:rFonts w:ascii="Times New Roman" w:eastAsia="Helvetica-Bold" w:hAnsi="Times New Roman"/>
          <w:sz w:val="28"/>
          <w:szCs w:val="28"/>
          <w:lang w:val="en-US"/>
        </w:rPr>
        <w:t>B</w:t>
      </w:r>
      <w:r w:rsidRPr="003B6FE7">
        <w:rPr>
          <w:rFonts w:ascii="Times New Roman" w:eastAsia="Helvetica-Bold" w:hAnsi="Times New Roman"/>
          <w:sz w:val="28"/>
          <w:szCs w:val="28"/>
        </w:rPr>
        <w:t>ü</w:t>
      </w:r>
      <w:proofErr w:type="spellStart"/>
      <w:r w:rsidRPr="003B6FE7">
        <w:rPr>
          <w:rFonts w:ascii="Times New Roman" w:eastAsia="Helvetica-Bold" w:hAnsi="Times New Roman"/>
          <w:sz w:val="28"/>
          <w:szCs w:val="28"/>
          <w:lang w:val="en-US"/>
        </w:rPr>
        <w:t>chler</w:t>
      </w:r>
      <w:proofErr w:type="spellEnd"/>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M</w:t>
      </w:r>
      <w:r w:rsidRPr="003B6FE7">
        <w:rPr>
          <w:rFonts w:ascii="Times New Roman" w:eastAsia="Helvetica-Bold" w:hAnsi="Times New Roman"/>
          <w:sz w:val="28"/>
          <w:szCs w:val="28"/>
        </w:rPr>
        <w:t>.</w:t>
      </w:r>
      <w:r w:rsidRPr="003B6FE7">
        <w:rPr>
          <w:rFonts w:ascii="Times New Roman" w:eastAsia="Helvetica-Bold" w:hAnsi="Times New Roman"/>
          <w:sz w:val="28"/>
          <w:szCs w:val="28"/>
          <w:lang w:val="en-US"/>
        </w:rPr>
        <w:t xml:space="preserve"> W</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Duodenum</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preserving</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resection</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of</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the</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head</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of</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the</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pancreas</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a</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standard</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procedure</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in</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chronic</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pancreatitis</w:t>
      </w:r>
      <w:r w:rsidRPr="003B6FE7">
        <w:rPr>
          <w:rFonts w:ascii="Times New Roman" w:eastAsia="Helvetica-Bold" w:hAnsi="Times New Roman"/>
          <w:sz w:val="28"/>
          <w:szCs w:val="28"/>
        </w:rPr>
        <w:t xml:space="preserve"> / </w:t>
      </w:r>
      <w:r w:rsidRPr="003B6FE7">
        <w:rPr>
          <w:rFonts w:ascii="Times New Roman" w:eastAsia="Helvetica-Bold" w:hAnsi="Times New Roman"/>
          <w:sz w:val="28"/>
          <w:szCs w:val="28"/>
          <w:lang w:val="en-US"/>
        </w:rPr>
        <w:t>M</w:t>
      </w:r>
      <w:r w:rsidRPr="003B6FE7">
        <w:rPr>
          <w:rFonts w:ascii="Times New Roman" w:eastAsia="Helvetica-Bold" w:hAnsi="Times New Roman"/>
          <w:sz w:val="28"/>
          <w:szCs w:val="28"/>
        </w:rPr>
        <w:t>.</w:t>
      </w:r>
      <w:r w:rsidRPr="003B6FE7">
        <w:rPr>
          <w:rFonts w:ascii="Times New Roman" w:eastAsia="Helvetica-Bold" w:hAnsi="Times New Roman"/>
          <w:sz w:val="28"/>
          <w:szCs w:val="28"/>
          <w:lang w:val="en-US"/>
        </w:rPr>
        <w:t xml:space="preserve"> W</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B</w:t>
      </w:r>
      <w:r w:rsidRPr="003B6FE7">
        <w:rPr>
          <w:rFonts w:ascii="Times New Roman" w:eastAsia="Helvetica-Bold" w:hAnsi="Times New Roman"/>
          <w:sz w:val="28"/>
          <w:szCs w:val="28"/>
        </w:rPr>
        <w:t>ü</w:t>
      </w:r>
      <w:proofErr w:type="spellStart"/>
      <w:r w:rsidRPr="003B6FE7">
        <w:rPr>
          <w:rFonts w:ascii="Times New Roman" w:eastAsia="Helvetica-Bold" w:hAnsi="Times New Roman"/>
          <w:sz w:val="28"/>
          <w:szCs w:val="28"/>
          <w:lang w:val="en-US"/>
        </w:rPr>
        <w:t>chler</w:t>
      </w:r>
      <w:proofErr w:type="spellEnd"/>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H</w:t>
      </w:r>
      <w:r w:rsidRPr="003B6FE7">
        <w:rPr>
          <w:rFonts w:ascii="Times New Roman" w:eastAsia="Helvetica-Bold" w:hAnsi="Times New Roman"/>
          <w:sz w:val="28"/>
          <w:szCs w:val="28"/>
        </w:rPr>
        <w:t>.</w:t>
      </w:r>
      <w:r w:rsidRPr="003B6FE7">
        <w:rPr>
          <w:rFonts w:ascii="Times New Roman" w:eastAsia="Helvetica-Bold" w:hAnsi="Times New Roman"/>
          <w:sz w:val="28"/>
          <w:szCs w:val="28"/>
          <w:lang w:val="en-US"/>
        </w:rPr>
        <w:t xml:space="preserve"> U</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Baer</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C</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Seiler</w:t>
      </w:r>
      <w:r w:rsidRPr="003B6FE7">
        <w:rPr>
          <w:rFonts w:ascii="Times New Roman" w:eastAsia="Helvetica-Bold" w:hAnsi="Times New Roman"/>
          <w:sz w:val="28"/>
          <w:szCs w:val="28"/>
        </w:rPr>
        <w:t xml:space="preserve"> // </w:t>
      </w:r>
      <w:proofErr w:type="spellStart"/>
      <w:r w:rsidRPr="003B6FE7">
        <w:rPr>
          <w:rFonts w:ascii="Times New Roman" w:eastAsia="Helvetica-Bold" w:hAnsi="Times New Roman"/>
          <w:sz w:val="28"/>
          <w:szCs w:val="28"/>
          <w:lang w:val="en-US"/>
        </w:rPr>
        <w:t>Chirurgie</w:t>
      </w:r>
      <w:proofErr w:type="spellEnd"/>
      <w:r w:rsidRPr="003B6FE7">
        <w:rPr>
          <w:rFonts w:ascii="Times New Roman" w:hAnsi="Times New Roman"/>
          <w:sz w:val="28"/>
          <w:szCs w:val="18"/>
          <w:shd w:val="clear" w:color="auto" w:fill="FFFFFF"/>
        </w:rPr>
        <w:t>.</w:t>
      </w:r>
      <w:r w:rsidRPr="003B6FE7">
        <w:rPr>
          <w:rFonts w:ascii="Times New Roman" w:eastAsia="Helvetica-Bold" w:hAnsi="Times New Roman"/>
          <w:sz w:val="28"/>
          <w:szCs w:val="28"/>
        </w:rPr>
        <w:t xml:space="preserve"> — 1997. — </w:t>
      </w:r>
      <w:r w:rsidRPr="003B6FE7">
        <w:rPr>
          <w:rFonts w:ascii="Times New Roman" w:eastAsia="Helvetica-Bold" w:hAnsi="Times New Roman"/>
          <w:sz w:val="28"/>
          <w:szCs w:val="28"/>
          <w:lang w:val="en-US"/>
        </w:rPr>
        <w:t xml:space="preserve">Vol. </w:t>
      </w:r>
      <w:r w:rsidRPr="003B6FE7">
        <w:rPr>
          <w:rFonts w:ascii="Times New Roman" w:eastAsia="Helvetica-Bold" w:hAnsi="Times New Roman"/>
          <w:sz w:val="28"/>
          <w:szCs w:val="28"/>
        </w:rPr>
        <w:t>68</w:t>
      </w:r>
      <w:r w:rsidRPr="003B6FE7">
        <w:rPr>
          <w:rFonts w:ascii="Times New Roman" w:eastAsia="Helvetica-Bold" w:hAnsi="Times New Roman"/>
          <w:sz w:val="28"/>
          <w:szCs w:val="28"/>
          <w:lang w:val="en-US"/>
        </w:rPr>
        <w:t xml:space="preserve">, No </w:t>
      </w:r>
      <w:r w:rsidRPr="003B6FE7">
        <w:rPr>
          <w:rFonts w:ascii="Times New Roman" w:eastAsia="Helvetica-Bold" w:hAnsi="Times New Roman"/>
          <w:sz w:val="28"/>
          <w:szCs w:val="28"/>
        </w:rPr>
        <w:t xml:space="preserve">4. — </w:t>
      </w:r>
      <w:r w:rsidRPr="003B6FE7">
        <w:rPr>
          <w:rFonts w:ascii="Times New Roman" w:eastAsia="Helvetica-Bold" w:hAnsi="Times New Roman"/>
          <w:sz w:val="28"/>
          <w:szCs w:val="28"/>
          <w:lang w:val="en-US"/>
        </w:rPr>
        <w:t>P</w:t>
      </w:r>
      <w:r w:rsidRPr="003B6FE7">
        <w:rPr>
          <w:rFonts w:ascii="Times New Roman" w:eastAsia="Helvetica-Bold" w:hAnsi="Times New Roman"/>
          <w:sz w:val="28"/>
          <w:szCs w:val="28"/>
        </w:rPr>
        <w:t>. 364</w:t>
      </w:r>
      <w:r w:rsidRPr="003B6FE7">
        <w:rPr>
          <w:rFonts w:ascii="Times New Roman" w:eastAsia="Helvetica-Bold" w:hAnsi="Times New Roman"/>
          <w:sz w:val="28"/>
          <w:szCs w:val="28"/>
          <w:lang w:val="en-US"/>
        </w:rPr>
        <w:t>–</w:t>
      </w:r>
      <w:r w:rsidRPr="003B6FE7">
        <w:rPr>
          <w:rFonts w:ascii="Times New Roman" w:eastAsia="Helvetica-Bold" w:hAnsi="Times New Roman"/>
          <w:sz w:val="28"/>
          <w:szCs w:val="28"/>
        </w:rPr>
        <w:t>368</w:t>
      </w:r>
      <w:r w:rsidRPr="003B6FE7">
        <w:rPr>
          <w:rFonts w:ascii="Times New Roman" w:eastAsia="Helvetica-Bold" w:hAnsi="Times New Roman"/>
          <w:sz w:val="28"/>
          <w:szCs w:val="28"/>
          <w:lang w:val="en-US"/>
        </w:rPr>
        <w:t>.</w:t>
      </w:r>
    </w:p>
    <w:p w:rsidR="00BD50E0" w:rsidRPr="006C3C9A" w:rsidRDefault="00000061" w:rsidP="00E35879">
      <w:pPr>
        <w:pStyle w:val="a7"/>
        <w:numPr>
          <w:ilvl w:val="0"/>
          <w:numId w:val="32"/>
        </w:numPr>
        <w:tabs>
          <w:tab w:val="left" w:pos="0"/>
          <w:tab w:val="left" w:pos="709"/>
        </w:tabs>
        <w:spacing w:after="0" w:line="360" w:lineRule="auto"/>
        <w:ind w:left="0" w:firstLine="993"/>
        <w:contextualSpacing w:val="0"/>
        <w:jc w:val="both"/>
        <w:rPr>
          <w:rFonts w:ascii="Times New Roman" w:eastAsia="Helvetica-Bold" w:hAnsi="Times New Roman"/>
          <w:sz w:val="28"/>
          <w:szCs w:val="28"/>
          <w:lang w:val="en-US"/>
        </w:rPr>
      </w:pPr>
      <w:bookmarkStart w:id="6" w:name="_Ref455071337"/>
      <w:r w:rsidRPr="003B6FE7">
        <w:rPr>
          <w:rStyle w:val="element-citation"/>
          <w:rFonts w:ascii="Times New Roman" w:hAnsi="Times New Roman"/>
          <w:sz w:val="28"/>
          <w:szCs w:val="28"/>
          <w:lang w:val="en-US"/>
        </w:rPr>
        <w:t xml:space="preserve">Prediction of postoperative pulmonary complications in a population-based surgical cohort. / J. </w:t>
      </w:r>
      <w:proofErr w:type="spellStart"/>
      <w:r w:rsidRPr="003B6FE7">
        <w:rPr>
          <w:rStyle w:val="element-citation"/>
          <w:rFonts w:ascii="Times New Roman" w:hAnsi="Times New Roman"/>
          <w:sz w:val="28"/>
          <w:szCs w:val="28"/>
          <w:lang w:val="en-US"/>
        </w:rPr>
        <w:t>Canet</w:t>
      </w:r>
      <w:proofErr w:type="spellEnd"/>
      <w:r w:rsidRPr="003B6FE7">
        <w:rPr>
          <w:rStyle w:val="element-citation"/>
          <w:rFonts w:ascii="Times New Roman" w:hAnsi="Times New Roman"/>
          <w:sz w:val="28"/>
          <w:szCs w:val="28"/>
          <w:lang w:val="en-US"/>
        </w:rPr>
        <w:t xml:space="preserve">, L. </w:t>
      </w:r>
      <w:proofErr w:type="spellStart"/>
      <w:r w:rsidRPr="003B6FE7">
        <w:rPr>
          <w:rStyle w:val="element-citation"/>
          <w:rFonts w:ascii="Times New Roman" w:hAnsi="Times New Roman"/>
          <w:sz w:val="28"/>
          <w:szCs w:val="28"/>
          <w:lang w:val="en-US"/>
        </w:rPr>
        <w:t>Gallart</w:t>
      </w:r>
      <w:proofErr w:type="spellEnd"/>
      <w:r w:rsidRPr="003B6FE7">
        <w:rPr>
          <w:rStyle w:val="element-citation"/>
          <w:rFonts w:ascii="Times New Roman" w:hAnsi="Times New Roman"/>
          <w:sz w:val="28"/>
          <w:szCs w:val="28"/>
          <w:lang w:val="en-US"/>
        </w:rPr>
        <w:t xml:space="preserve">, C. </w:t>
      </w:r>
      <w:proofErr w:type="spellStart"/>
      <w:r w:rsidRPr="003B6FE7">
        <w:rPr>
          <w:rStyle w:val="element-citation"/>
          <w:rFonts w:ascii="Times New Roman" w:hAnsi="Times New Roman"/>
          <w:sz w:val="28"/>
          <w:szCs w:val="28"/>
          <w:lang w:val="en-US"/>
        </w:rPr>
        <w:t>Gomar</w:t>
      </w:r>
      <w:proofErr w:type="spellEnd"/>
      <w:r w:rsidRPr="003B6FE7">
        <w:rPr>
          <w:rStyle w:val="element-citation"/>
          <w:rFonts w:ascii="Times New Roman" w:hAnsi="Times New Roman"/>
          <w:sz w:val="28"/>
          <w:szCs w:val="28"/>
          <w:lang w:val="en-US"/>
        </w:rPr>
        <w:t xml:space="preserve"> [et al.] //</w:t>
      </w:r>
      <w:r w:rsidRPr="003B6FE7">
        <w:rPr>
          <w:rStyle w:val="apple-converted-space"/>
          <w:rFonts w:ascii="Times New Roman" w:hAnsi="Times New Roman"/>
          <w:sz w:val="28"/>
          <w:szCs w:val="28"/>
          <w:lang w:val="en-US"/>
        </w:rPr>
        <w:t> </w:t>
      </w:r>
      <w:r w:rsidRPr="003B6FE7">
        <w:rPr>
          <w:rStyle w:val="ref-journal"/>
          <w:rFonts w:ascii="Times New Roman" w:hAnsi="Times New Roman"/>
          <w:sz w:val="28"/>
          <w:szCs w:val="28"/>
          <w:lang w:val="en-US"/>
        </w:rPr>
        <w:t>Anesthesiology</w:t>
      </w:r>
      <w:r w:rsidRPr="003B6FE7">
        <w:rPr>
          <w:rFonts w:ascii="Times New Roman" w:hAnsi="Times New Roman"/>
          <w:sz w:val="28"/>
          <w:szCs w:val="28"/>
          <w:lang w:val="en-US"/>
        </w:rPr>
        <w:t>. —</w:t>
      </w:r>
      <w:r w:rsidRPr="003B6FE7">
        <w:rPr>
          <w:rStyle w:val="element-citation"/>
          <w:rFonts w:ascii="Times New Roman" w:hAnsi="Times New Roman"/>
          <w:sz w:val="28"/>
          <w:szCs w:val="28"/>
          <w:lang w:val="en-US"/>
        </w:rPr>
        <w:t>2010</w:t>
      </w:r>
      <w:r w:rsidRPr="003B6FE7">
        <w:rPr>
          <w:rFonts w:ascii="Times New Roman" w:hAnsi="Times New Roman"/>
          <w:sz w:val="28"/>
          <w:szCs w:val="28"/>
          <w:lang w:val="en-US"/>
        </w:rPr>
        <w:t xml:space="preserve">. — Vol. </w:t>
      </w:r>
      <w:r w:rsidRPr="003B6FE7">
        <w:rPr>
          <w:rStyle w:val="ref-vol"/>
          <w:rFonts w:ascii="Times New Roman" w:hAnsi="Times New Roman"/>
          <w:sz w:val="28"/>
          <w:szCs w:val="28"/>
          <w:lang w:val="en-US"/>
        </w:rPr>
        <w:t>113</w:t>
      </w:r>
      <w:r w:rsidRPr="003B6FE7">
        <w:rPr>
          <w:rFonts w:ascii="Times New Roman" w:hAnsi="Times New Roman"/>
          <w:sz w:val="28"/>
          <w:szCs w:val="28"/>
          <w:lang w:val="en-US"/>
        </w:rPr>
        <w:t xml:space="preserve">. — P. </w:t>
      </w:r>
      <w:r w:rsidRPr="003B6FE7">
        <w:rPr>
          <w:rStyle w:val="element-citation"/>
          <w:rFonts w:ascii="Times New Roman" w:hAnsi="Times New Roman"/>
          <w:sz w:val="28"/>
          <w:szCs w:val="28"/>
          <w:lang w:val="en-US"/>
        </w:rPr>
        <w:t>1338–1350.</w:t>
      </w:r>
      <w:bookmarkEnd w:id="6"/>
    </w:p>
    <w:p w:rsidR="001207A5" w:rsidRPr="006C3C9A" w:rsidRDefault="00000061" w:rsidP="00E35879">
      <w:pPr>
        <w:pStyle w:val="a7"/>
        <w:numPr>
          <w:ilvl w:val="0"/>
          <w:numId w:val="32"/>
        </w:numPr>
        <w:tabs>
          <w:tab w:val="left" w:pos="0"/>
        </w:tabs>
        <w:spacing w:after="0" w:line="360" w:lineRule="auto"/>
        <w:ind w:left="0" w:firstLine="851"/>
        <w:contextualSpacing w:val="0"/>
        <w:jc w:val="both"/>
        <w:rPr>
          <w:rFonts w:ascii="Times New Roman" w:eastAsia="Helvetica-Bold" w:hAnsi="Times New Roman"/>
          <w:sz w:val="36"/>
          <w:szCs w:val="28"/>
          <w:lang w:val="en-US"/>
        </w:rPr>
      </w:pPr>
      <w:bookmarkStart w:id="7" w:name="_Ref455071321"/>
      <w:r w:rsidRPr="003B6FE7">
        <w:rPr>
          <w:rStyle w:val="A10"/>
          <w:rFonts w:ascii="Times New Roman" w:hAnsi="Times New Roman" w:cs="Times New Roman"/>
          <w:color w:val="auto"/>
          <w:sz w:val="28"/>
          <w:szCs w:val="28"/>
          <w:lang w:val="en-US"/>
        </w:rPr>
        <w:t xml:space="preserve">Preoperative </w:t>
      </w:r>
      <w:proofErr w:type="spellStart"/>
      <w:r w:rsidRPr="003B6FE7">
        <w:rPr>
          <w:rStyle w:val="A10"/>
          <w:rFonts w:ascii="Times New Roman" w:hAnsi="Times New Roman" w:cs="Times New Roman"/>
          <w:color w:val="auto"/>
          <w:sz w:val="28"/>
          <w:szCs w:val="28"/>
          <w:lang w:val="en-US"/>
        </w:rPr>
        <w:t>hypoalbuminemia</w:t>
      </w:r>
      <w:proofErr w:type="spellEnd"/>
      <w:r w:rsidRPr="003B6FE7">
        <w:rPr>
          <w:rStyle w:val="A10"/>
          <w:rFonts w:ascii="Times New Roman" w:hAnsi="Times New Roman" w:cs="Times New Roman"/>
          <w:color w:val="auto"/>
          <w:sz w:val="28"/>
          <w:szCs w:val="28"/>
          <w:lang w:val="en-US"/>
        </w:rPr>
        <w:t xml:space="preserve"> is an independent risk factor for the development of surgical site infection following gastrointestinal </w:t>
      </w:r>
      <w:proofErr w:type="gramStart"/>
      <w:r w:rsidRPr="003B6FE7">
        <w:rPr>
          <w:rStyle w:val="A10"/>
          <w:rFonts w:ascii="Times New Roman" w:hAnsi="Times New Roman" w:cs="Times New Roman"/>
          <w:color w:val="auto"/>
          <w:sz w:val="28"/>
          <w:szCs w:val="28"/>
          <w:lang w:val="en-US"/>
        </w:rPr>
        <w:t>surgery :</w:t>
      </w:r>
      <w:proofErr w:type="gramEnd"/>
      <w:r w:rsidRPr="003B6FE7">
        <w:rPr>
          <w:rStyle w:val="A10"/>
          <w:rFonts w:ascii="Times New Roman" w:hAnsi="Times New Roman" w:cs="Times New Roman"/>
          <w:color w:val="auto"/>
          <w:sz w:val="28"/>
          <w:szCs w:val="28"/>
          <w:lang w:val="en-US"/>
        </w:rPr>
        <w:t xml:space="preserve"> a multi-institutional study / D. B. Hennessey, J. P. Burke, T. Ni-</w:t>
      </w:r>
      <w:proofErr w:type="spellStart"/>
      <w:r w:rsidRPr="003B6FE7">
        <w:rPr>
          <w:rStyle w:val="A10"/>
          <w:rFonts w:ascii="Times New Roman" w:hAnsi="Times New Roman" w:cs="Times New Roman"/>
          <w:color w:val="auto"/>
          <w:sz w:val="28"/>
          <w:szCs w:val="28"/>
          <w:lang w:val="en-US"/>
        </w:rPr>
        <w:t>Dhonochu</w:t>
      </w:r>
      <w:proofErr w:type="spellEnd"/>
      <w:r w:rsidRPr="003B6FE7">
        <w:rPr>
          <w:rStyle w:val="A10"/>
          <w:rFonts w:ascii="Times New Roman" w:hAnsi="Times New Roman" w:cs="Times New Roman"/>
          <w:color w:val="auto"/>
          <w:sz w:val="28"/>
          <w:szCs w:val="28"/>
          <w:lang w:val="en-US"/>
        </w:rPr>
        <w:t xml:space="preserve"> [et al.] // Ann. </w:t>
      </w:r>
      <w:proofErr w:type="spellStart"/>
      <w:r w:rsidRPr="003B6FE7">
        <w:rPr>
          <w:rStyle w:val="A10"/>
          <w:rFonts w:ascii="Times New Roman" w:hAnsi="Times New Roman" w:cs="Times New Roman"/>
          <w:color w:val="auto"/>
          <w:sz w:val="28"/>
          <w:szCs w:val="28"/>
          <w:lang w:val="en-US"/>
        </w:rPr>
        <w:t>Surg</w:t>
      </w:r>
      <w:proofErr w:type="spellEnd"/>
      <w:r w:rsidRPr="003B6FE7">
        <w:rPr>
          <w:rFonts w:ascii="Times New Roman" w:eastAsia="Helvetica-Bold" w:hAnsi="Times New Roman"/>
          <w:sz w:val="28"/>
          <w:szCs w:val="28"/>
        </w:rPr>
        <w:t xml:space="preserve">. — </w:t>
      </w:r>
      <w:r w:rsidRPr="003B6FE7">
        <w:rPr>
          <w:rStyle w:val="A10"/>
          <w:rFonts w:ascii="Times New Roman" w:hAnsi="Times New Roman" w:cs="Times New Roman"/>
          <w:color w:val="auto"/>
          <w:sz w:val="28"/>
          <w:szCs w:val="28"/>
          <w:lang w:val="en-US"/>
        </w:rPr>
        <w:t>2010</w:t>
      </w:r>
      <w:r w:rsidRPr="003B6FE7">
        <w:rPr>
          <w:rFonts w:ascii="Times New Roman" w:eastAsia="Helvetica-Bold" w:hAnsi="Times New Roman"/>
          <w:sz w:val="28"/>
          <w:szCs w:val="28"/>
        </w:rPr>
        <w:t xml:space="preserve">. — </w:t>
      </w:r>
      <w:proofErr w:type="spellStart"/>
      <w:r w:rsidRPr="003B6FE7">
        <w:rPr>
          <w:rFonts w:ascii="Times New Roman" w:eastAsia="Helvetica-Bold" w:hAnsi="Times New Roman"/>
          <w:sz w:val="28"/>
          <w:szCs w:val="28"/>
          <w:lang w:val="en-US"/>
        </w:rPr>
        <w:t>Vol</w:t>
      </w:r>
      <w:proofErr w:type="spellEnd"/>
      <w:r w:rsidRPr="003B6FE7">
        <w:rPr>
          <w:rFonts w:ascii="Times New Roman" w:eastAsia="Helvetica-Bold" w:hAnsi="Times New Roman"/>
          <w:sz w:val="28"/>
          <w:szCs w:val="28"/>
        </w:rPr>
        <w:t xml:space="preserve">. </w:t>
      </w:r>
      <w:r w:rsidRPr="003B6FE7">
        <w:rPr>
          <w:rStyle w:val="A10"/>
          <w:rFonts w:ascii="Times New Roman" w:hAnsi="Times New Roman" w:cs="Times New Roman"/>
          <w:color w:val="auto"/>
          <w:sz w:val="28"/>
          <w:szCs w:val="28"/>
          <w:lang w:val="en-US"/>
        </w:rPr>
        <w:t>252</w:t>
      </w:r>
      <w:r w:rsidRPr="003B6FE7">
        <w:rPr>
          <w:rFonts w:ascii="Times New Roman" w:eastAsia="Helvetica-Bold" w:hAnsi="Times New Roman"/>
          <w:sz w:val="28"/>
          <w:szCs w:val="28"/>
        </w:rPr>
        <w:t xml:space="preserve">. — Р. </w:t>
      </w:r>
      <w:r w:rsidRPr="003B6FE7">
        <w:rPr>
          <w:rStyle w:val="A10"/>
          <w:rFonts w:ascii="Times New Roman" w:hAnsi="Times New Roman" w:cs="Times New Roman"/>
          <w:color w:val="auto"/>
          <w:sz w:val="28"/>
          <w:szCs w:val="28"/>
          <w:lang w:val="en-US"/>
        </w:rPr>
        <w:t>325–329.</w:t>
      </w:r>
      <w:bookmarkEnd w:id="7"/>
    </w:p>
    <w:p w:rsidR="00667DBD" w:rsidRPr="006C3C9A" w:rsidRDefault="00000061" w:rsidP="00E35879">
      <w:pPr>
        <w:pStyle w:val="a7"/>
        <w:numPr>
          <w:ilvl w:val="0"/>
          <w:numId w:val="32"/>
        </w:numPr>
        <w:tabs>
          <w:tab w:val="left" w:pos="0"/>
        </w:tabs>
        <w:spacing w:after="0" w:line="360" w:lineRule="auto"/>
        <w:ind w:left="0" w:firstLine="851"/>
        <w:contextualSpacing w:val="0"/>
        <w:jc w:val="both"/>
        <w:rPr>
          <w:rFonts w:ascii="Times New Roman" w:eastAsia="Helvetica-Bold" w:hAnsi="Times New Roman"/>
          <w:sz w:val="32"/>
          <w:szCs w:val="28"/>
          <w:lang w:val="en-US"/>
        </w:rPr>
      </w:pPr>
      <w:bookmarkStart w:id="8" w:name="_Ref455071325"/>
      <w:r w:rsidRPr="003B6FE7">
        <w:rPr>
          <w:rStyle w:val="A10"/>
          <w:rFonts w:ascii="Times New Roman" w:hAnsi="Times New Roman" w:cs="Times New Roman"/>
          <w:color w:val="auto"/>
          <w:sz w:val="28"/>
          <w:szCs w:val="24"/>
          <w:lang w:val="en-US"/>
        </w:rPr>
        <w:lastRenderedPageBreak/>
        <w:t xml:space="preserve">Nutritional predictors of postoperative outcome in pancreatic cancer / M. Kanda, T. </w:t>
      </w:r>
      <w:proofErr w:type="spellStart"/>
      <w:r w:rsidRPr="003B6FE7">
        <w:rPr>
          <w:rStyle w:val="A10"/>
          <w:rFonts w:ascii="Times New Roman" w:hAnsi="Times New Roman" w:cs="Times New Roman"/>
          <w:color w:val="auto"/>
          <w:sz w:val="28"/>
          <w:szCs w:val="24"/>
          <w:lang w:val="en-US"/>
        </w:rPr>
        <w:t>Fujii</w:t>
      </w:r>
      <w:proofErr w:type="spellEnd"/>
      <w:r w:rsidRPr="003B6FE7">
        <w:rPr>
          <w:rStyle w:val="A10"/>
          <w:rFonts w:ascii="Times New Roman" w:hAnsi="Times New Roman" w:cs="Times New Roman"/>
          <w:color w:val="auto"/>
          <w:sz w:val="28"/>
          <w:szCs w:val="24"/>
          <w:lang w:val="en-US"/>
        </w:rPr>
        <w:t xml:space="preserve">, Y. Kodera [et al.] // </w:t>
      </w:r>
      <w:r w:rsidRPr="003B6FE7">
        <w:rPr>
          <w:rFonts w:ascii="Times New Roman" w:eastAsia="Helvetica-Bold" w:hAnsi="Times New Roman"/>
          <w:sz w:val="28"/>
          <w:szCs w:val="28"/>
          <w:lang w:val="en-US"/>
        </w:rPr>
        <w:t xml:space="preserve">British Journal of Surgery. — </w:t>
      </w:r>
      <w:r w:rsidRPr="003B6FE7">
        <w:rPr>
          <w:rStyle w:val="A10"/>
          <w:rFonts w:ascii="Times New Roman" w:hAnsi="Times New Roman" w:cs="Times New Roman"/>
          <w:color w:val="auto"/>
          <w:sz w:val="28"/>
          <w:szCs w:val="24"/>
          <w:lang w:val="en-US"/>
        </w:rPr>
        <w:t>2011.</w:t>
      </w:r>
      <w:r w:rsidRPr="003B6FE7">
        <w:rPr>
          <w:rFonts w:ascii="Times New Roman" w:eastAsia="Helvetica-Bold" w:hAnsi="Times New Roman"/>
          <w:sz w:val="28"/>
          <w:szCs w:val="28"/>
          <w:lang w:val="en-US"/>
        </w:rPr>
        <w:t xml:space="preserve"> — Vol.</w:t>
      </w:r>
      <w:r w:rsidRPr="003B6FE7">
        <w:rPr>
          <w:rStyle w:val="A10"/>
          <w:rFonts w:ascii="Times New Roman" w:hAnsi="Times New Roman" w:cs="Times New Roman"/>
          <w:color w:val="auto"/>
          <w:sz w:val="28"/>
          <w:szCs w:val="24"/>
          <w:lang w:val="en-US"/>
        </w:rPr>
        <w:t xml:space="preserve"> 98</w:t>
      </w:r>
      <w:r w:rsidRPr="003B6FE7">
        <w:rPr>
          <w:rStyle w:val="A10"/>
          <w:rFonts w:ascii="Times New Roman" w:hAnsi="Times New Roman" w:cs="Times New Roman"/>
          <w:color w:val="auto"/>
          <w:sz w:val="28"/>
          <w:szCs w:val="24"/>
        </w:rPr>
        <w:t>.</w:t>
      </w:r>
      <w:r w:rsidRPr="003B6FE7">
        <w:rPr>
          <w:rFonts w:ascii="Times New Roman" w:eastAsia="Helvetica-Bold" w:hAnsi="Times New Roman"/>
          <w:sz w:val="28"/>
          <w:szCs w:val="28"/>
          <w:lang w:val="en-US"/>
        </w:rPr>
        <w:t xml:space="preserve"> — </w:t>
      </w:r>
      <w:proofErr w:type="gramStart"/>
      <w:r w:rsidRPr="003B6FE7">
        <w:rPr>
          <w:rStyle w:val="A10"/>
          <w:rFonts w:ascii="Times New Roman" w:hAnsi="Times New Roman" w:cs="Times New Roman"/>
          <w:color w:val="auto"/>
          <w:sz w:val="28"/>
          <w:szCs w:val="24"/>
        </w:rPr>
        <w:t xml:space="preserve">Р. </w:t>
      </w:r>
      <w:r w:rsidRPr="003B6FE7">
        <w:rPr>
          <w:rStyle w:val="A10"/>
          <w:rFonts w:ascii="Times New Roman" w:hAnsi="Times New Roman" w:cs="Times New Roman"/>
          <w:color w:val="auto"/>
          <w:sz w:val="28"/>
          <w:szCs w:val="24"/>
          <w:lang w:val="en-US"/>
        </w:rPr>
        <w:t>268</w:t>
      </w:r>
      <w:proofErr w:type="gramEnd"/>
      <w:r w:rsidRPr="003B6FE7">
        <w:rPr>
          <w:rStyle w:val="A10"/>
          <w:rFonts w:ascii="Times New Roman" w:hAnsi="Times New Roman" w:cs="Times New Roman"/>
          <w:color w:val="auto"/>
          <w:sz w:val="28"/>
          <w:szCs w:val="24"/>
          <w:lang w:val="en-US"/>
        </w:rPr>
        <w:t>–274.</w:t>
      </w:r>
      <w:bookmarkEnd w:id="8"/>
    </w:p>
    <w:p w:rsidR="001207A5" w:rsidRPr="006C3C9A" w:rsidRDefault="00000061" w:rsidP="00E35879">
      <w:pPr>
        <w:pStyle w:val="1"/>
        <w:numPr>
          <w:ilvl w:val="0"/>
          <w:numId w:val="32"/>
        </w:numPr>
        <w:spacing w:after="0" w:line="360" w:lineRule="auto"/>
        <w:ind w:left="0" w:firstLine="851"/>
        <w:jc w:val="both"/>
        <w:rPr>
          <w:rFonts w:ascii="Times New Roman" w:hAnsi="Times New Roman"/>
          <w:b/>
          <w:sz w:val="32"/>
          <w:szCs w:val="28"/>
        </w:rPr>
      </w:pPr>
      <w:bookmarkStart w:id="9" w:name="_Ref455071272"/>
      <w:proofErr w:type="spellStart"/>
      <w:r w:rsidRPr="003B6FE7">
        <w:rPr>
          <w:rFonts w:ascii="Times New Roman" w:eastAsia="Helvetica-Bold" w:hAnsi="Times New Roman"/>
          <w:sz w:val="28"/>
          <w:szCs w:val="28"/>
          <w:lang w:val="en-US"/>
        </w:rPr>
        <w:t>Rutter</w:t>
      </w:r>
      <w:proofErr w:type="spellEnd"/>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K</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Hospitalization</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frequency</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of</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interventions</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and</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quality</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of</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life</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after</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endoscopic</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surgical</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or</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conservative</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treatment</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in</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patients</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with</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chronic</w:t>
      </w:r>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pancreatitis</w:t>
      </w:r>
      <w:r w:rsidRPr="003B6FE7">
        <w:rPr>
          <w:rFonts w:ascii="Times New Roman" w:eastAsia="Helvetica-Bold" w:hAnsi="Times New Roman"/>
          <w:sz w:val="28"/>
          <w:szCs w:val="28"/>
        </w:rPr>
        <w:t xml:space="preserve"> / </w:t>
      </w:r>
      <w:r w:rsidRPr="003B6FE7">
        <w:rPr>
          <w:rFonts w:ascii="Times New Roman" w:eastAsia="Helvetica-Bold" w:hAnsi="Times New Roman"/>
          <w:sz w:val="28"/>
          <w:szCs w:val="28"/>
          <w:lang w:val="en-US"/>
        </w:rPr>
        <w:t>K</w:t>
      </w:r>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lang w:val="en-US"/>
        </w:rPr>
        <w:t>Rutter</w:t>
      </w:r>
      <w:proofErr w:type="spellEnd"/>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A</w:t>
      </w:r>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lang w:val="en-US"/>
        </w:rPr>
        <w:t>Ferlitsch</w:t>
      </w:r>
      <w:proofErr w:type="spellEnd"/>
      <w:r w:rsidRPr="003B6FE7">
        <w:rPr>
          <w:rFonts w:ascii="Times New Roman" w:eastAsia="Helvetica-Bold" w:hAnsi="Times New Roman"/>
          <w:sz w:val="28"/>
          <w:szCs w:val="28"/>
        </w:rPr>
        <w:t xml:space="preserve">, </w:t>
      </w:r>
      <w:r w:rsidRPr="003B6FE7">
        <w:rPr>
          <w:rFonts w:ascii="Times New Roman" w:eastAsia="Helvetica-Bold" w:hAnsi="Times New Roman"/>
          <w:sz w:val="28"/>
          <w:szCs w:val="28"/>
          <w:lang w:val="en-US"/>
        </w:rPr>
        <w:t>T</w:t>
      </w:r>
      <w:r w:rsidRPr="003B6FE7">
        <w:rPr>
          <w:rFonts w:ascii="Times New Roman" w:eastAsia="Helvetica-Bold" w:hAnsi="Times New Roman"/>
          <w:sz w:val="28"/>
          <w:szCs w:val="28"/>
        </w:rPr>
        <w:t xml:space="preserve">. </w:t>
      </w:r>
      <w:proofErr w:type="spellStart"/>
      <w:r w:rsidRPr="003B6FE7">
        <w:rPr>
          <w:rFonts w:ascii="Times New Roman" w:eastAsia="Helvetica-Bold" w:hAnsi="Times New Roman"/>
          <w:sz w:val="28"/>
          <w:szCs w:val="28"/>
          <w:lang w:val="en-US"/>
        </w:rPr>
        <w:t>Sautner</w:t>
      </w:r>
      <w:proofErr w:type="spellEnd"/>
      <w:r w:rsidRPr="003B6FE7">
        <w:rPr>
          <w:rFonts w:ascii="Times New Roman" w:eastAsia="Helvetica-Bold" w:hAnsi="Times New Roman"/>
          <w:sz w:val="28"/>
          <w:szCs w:val="28"/>
        </w:rPr>
        <w:t xml:space="preserve"> // </w:t>
      </w:r>
      <w:r w:rsidRPr="003B6FE7">
        <w:rPr>
          <w:rFonts w:ascii="Times New Roman" w:eastAsia="Helvetica-Bold" w:hAnsi="Times New Roman"/>
          <w:sz w:val="28"/>
          <w:szCs w:val="28"/>
          <w:lang w:val="en-US"/>
        </w:rPr>
        <w:t>WJS.</w:t>
      </w:r>
      <w:r w:rsidRPr="003B6FE7">
        <w:rPr>
          <w:rFonts w:ascii="Times New Roman" w:eastAsia="Helvetica-Bold" w:hAnsi="Times New Roman"/>
          <w:sz w:val="28"/>
          <w:szCs w:val="28"/>
        </w:rPr>
        <w:t xml:space="preserve"> — 2010. —</w:t>
      </w:r>
      <w:r w:rsidRPr="003B6FE7">
        <w:rPr>
          <w:rFonts w:ascii="Times New Roman" w:eastAsia="Helvetica-Bold" w:hAnsi="Times New Roman"/>
          <w:sz w:val="28"/>
          <w:szCs w:val="28"/>
          <w:lang w:val="en-US"/>
        </w:rPr>
        <w:t xml:space="preserve"> </w:t>
      </w:r>
      <w:proofErr w:type="spellStart"/>
      <w:r w:rsidRPr="003B6FE7">
        <w:rPr>
          <w:rFonts w:ascii="Times New Roman" w:eastAsia="Helvetica-Bold" w:hAnsi="Times New Roman"/>
          <w:sz w:val="28"/>
          <w:szCs w:val="28"/>
          <w:lang w:val="en-US"/>
        </w:rPr>
        <w:t>Vol</w:t>
      </w:r>
      <w:proofErr w:type="spellEnd"/>
      <w:r w:rsidRPr="003B6FE7">
        <w:rPr>
          <w:rFonts w:ascii="Times New Roman" w:eastAsia="Helvetica-Bold" w:hAnsi="Times New Roman"/>
          <w:sz w:val="28"/>
          <w:szCs w:val="28"/>
        </w:rPr>
        <w:t>. 34</w:t>
      </w:r>
      <w:r w:rsidRPr="003B6FE7">
        <w:rPr>
          <w:rFonts w:ascii="Times New Roman" w:eastAsia="Helvetica-Bold" w:hAnsi="Times New Roman"/>
          <w:sz w:val="28"/>
          <w:szCs w:val="28"/>
          <w:lang w:val="en-US"/>
        </w:rPr>
        <w:t xml:space="preserve">, No </w:t>
      </w:r>
      <w:r w:rsidRPr="003B6FE7">
        <w:rPr>
          <w:rFonts w:ascii="Times New Roman" w:eastAsia="Helvetica-Bold" w:hAnsi="Times New Roman"/>
          <w:sz w:val="28"/>
          <w:szCs w:val="28"/>
        </w:rPr>
        <w:t>11. — Р. 2642</w:t>
      </w:r>
      <w:r w:rsidRPr="003B6FE7">
        <w:rPr>
          <w:rFonts w:ascii="Times New Roman" w:eastAsia="Helvetica-Bold" w:hAnsi="Times New Roman"/>
          <w:sz w:val="28"/>
          <w:szCs w:val="28"/>
          <w:lang w:val="en-US"/>
        </w:rPr>
        <w:t>–</w:t>
      </w:r>
      <w:r w:rsidRPr="003B6FE7">
        <w:rPr>
          <w:rFonts w:ascii="Times New Roman" w:eastAsia="Helvetica-Bold" w:hAnsi="Times New Roman"/>
          <w:sz w:val="28"/>
          <w:szCs w:val="28"/>
        </w:rPr>
        <w:t>2647</w:t>
      </w:r>
      <w:r w:rsidRPr="003B6FE7">
        <w:rPr>
          <w:rFonts w:ascii="Times New Roman" w:eastAsia="Helvetica-Bold" w:hAnsi="Times New Roman"/>
          <w:sz w:val="28"/>
          <w:szCs w:val="28"/>
          <w:lang w:val="en-US"/>
        </w:rPr>
        <w:t>.</w:t>
      </w:r>
      <w:bookmarkEnd w:id="9"/>
    </w:p>
    <w:p w:rsidR="00667DBD" w:rsidRPr="006C3C9A" w:rsidRDefault="00000061" w:rsidP="00E35879">
      <w:pPr>
        <w:pStyle w:val="a7"/>
        <w:numPr>
          <w:ilvl w:val="0"/>
          <w:numId w:val="32"/>
        </w:numPr>
        <w:tabs>
          <w:tab w:val="left" w:pos="0"/>
        </w:tabs>
        <w:spacing w:after="0" w:line="360" w:lineRule="auto"/>
        <w:ind w:left="0" w:firstLine="851"/>
        <w:contextualSpacing w:val="0"/>
        <w:jc w:val="both"/>
        <w:rPr>
          <w:rFonts w:ascii="Times New Roman" w:eastAsia="Helvetica-Bold" w:hAnsi="Times New Roman"/>
          <w:sz w:val="44"/>
          <w:szCs w:val="28"/>
        </w:rPr>
      </w:pPr>
      <w:bookmarkStart w:id="10" w:name="_Ref455071330"/>
      <w:r w:rsidRPr="003B6FE7">
        <w:rPr>
          <w:rStyle w:val="A10"/>
          <w:rFonts w:ascii="Times New Roman" w:hAnsi="Times New Roman" w:cs="Times New Roman"/>
          <w:color w:val="auto"/>
          <w:sz w:val="28"/>
          <w:szCs w:val="28"/>
          <w:lang w:val="en-US"/>
        </w:rPr>
        <w:t xml:space="preserve">ESPEN Guidelines on </w:t>
      </w:r>
      <w:proofErr w:type="spellStart"/>
      <w:r w:rsidRPr="003B6FE7">
        <w:rPr>
          <w:rStyle w:val="A10"/>
          <w:rFonts w:ascii="Times New Roman" w:hAnsi="Times New Roman" w:cs="Times New Roman"/>
          <w:color w:val="auto"/>
          <w:sz w:val="28"/>
          <w:szCs w:val="28"/>
          <w:lang w:val="en-US"/>
        </w:rPr>
        <w:t>Enteral</w:t>
      </w:r>
      <w:proofErr w:type="spellEnd"/>
      <w:r w:rsidRPr="003B6FE7">
        <w:rPr>
          <w:rStyle w:val="A10"/>
          <w:rFonts w:ascii="Times New Roman" w:hAnsi="Times New Roman" w:cs="Times New Roman"/>
          <w:color w:val="auto"/>
          <w:sz w:val="28"/>
          <w:szCs w:val="28"/>
          <w:lang w:val="en-US"/>
        </w:rPr>
        <w:t xml:space="preserve"> Nutrition: Surgery including organ transplantation / A. </w:t>
      </w:r>
      <w:proofErr w:type="spellStart"/>
      <w:r w:rsidRPr="003B6FE7">
        <w:rPr>
          <w:rStyle w:val="A10"/>
          <w:rFonts w:ascii="Times New Roman" w:hAnsi="Times New Roman" w:cs="Times New Roman"/>
          <w:color w:val="auto"/>
          <w:sz w:val="28"/>
          <w:szCs w:val="28"/>
          <w:lang w:val="en-US"/>
        </w:rPr>
        <w:t>Weimann</w:t>
      </w:r>
      <w:proofErr w:type="spellEnd"/>
      <w:r w:rsidRPr="003B6FE7">
        <w:rPr>
          <w:rStyle w:val="A10"/>
          <w:rFonts w:ascii="Times New Roman" w:hAnsi="Times New Roman" w:cs="Times New Roman"/>
          <w:color w:val="auto"/>
          <w:sz w:val="28"/>
          <w:szCs w:val="28"/>
          <w:lang w:val="en-US"/>
        </w:rPr>
        <w:t xml:space="preserve">, M. Braga, L. </w:t>
      </w:r>
      <w:proofErr w:type="spellStart"/>
      <w:r w:rsidRPr="003B6FE7">
        <w:rPr>
          <w:rStyle w:val="A10"/>
          <w:rFonts w:ascii="Times New Roman" w:hAnsi="Times New Roman" w:cs="Times New Roman"/>
          <w:color w:val="auto"/>
          <w:sz w:val="28"/>
          <w:szCs w:val="28"/>
          <w:lang w:val="en-US"/>
        </w:rPr>
        <w:t>Harsanyi</w:t>
      </w:r>
      <w:proofErr w:type="spellEnd"/>
      <w:r w:rsidRPr="003B6FE7">
        <w:rPr>
          <w:rStyle w:val="A10"/>
          <w:rFonts w:ascii="Times New Roman" w:hAnsi="Times New Roman" w:cs="Times New Roman"/>
          <w:color w:val="auto"/>
          <w:sz w:val="28"/>
          <w:szCs w:val="28"/>
          <w:lang w:val="en-US"/>
        </w:rPr>
        <w:t xml:space="preserve"> [et al.] // </w:t>
      </w:r>
      <w:proofErr w:type="spellStart"/>
      <w:r w:rsidRPr="003B6FE7">
        <w:rPr>
          <w:rStyle w:val="A10"/>
          <w:rFonts w:ascii="Times New Roman" w:hAnsi="Times New Roman" w:cs="Times New Roman"/>
          <w:color w:val="auto"/>
          <w:sz w:val="28"/>
          <w:szCs w:val="28"/>
          <w:lang w:val="en-US"/>
        </w:rPr>
        <w:t>Clin</w:t>
      </w:r>
      <w:proofErr w:type="spellEnd"/>
      <w:r w:rsidRPr="003B6FE7">
        <w:rPr>
          <w:rStyle w:val="A10"/>
          <w:rFonts w:ascii="Times New Roman" w:hAnsi="Times New Roman" w:cs="Times New Roman"/>
          <w:color w:val="auto"/>
          <w:sz w:val="28"/>
          <w:szCs w:val="28"/>
          <w:lang w:val="en-US"/>
        </w:rPr>
        <w:t xml:space="preserve"> </w:t>
      </w:r>
      <w:proofErr w:type="spellStart"/>
      <w:r w:rsidRPr="003B6FE7">
        <w:rPr>
          <w:rStyle w:val="A10"/>
          <w:rFonts w:ascii="Times New Roman" w:hAnsi="Times New Roman" w:cs="Times New Roman"/>
          <w:color w:val="auto"/>
          <w:sz w:val="28"/>
          <w:szCs w:val="28"/>
          <w:lang w:val="en-US"/>
        </w:rPr>
        <w:t>Nutr</w:t>
      </w:r>
      <w:proofErr w:type="spellEnd"/>
      <w:r w:rsidRPr="003B6FE7">
        <w:rPr>
          <w:rFonts w:ascii="Times New Roman" w:eastAsia="Helvetica-Bold" w:hAnsi="Times New Roman"/>
          <w:sz w:val="28"/>
          <w:szCs w:val="28"/>
          <w:lang w:val="en-US"/>
        </w:rPr>
        <w:t xml:space="preserve">. — </w:t>
      </w:r>
      <w:r w:rsidRPr="003B6FE7">
        <w:rPr>
          <w:rStyle w:val="A10"/>
          <w:rFonts w:ascii="Times New Roman" w:hAnsi="Times New Roman" w:cs="Times New Roman"/>
          <w:color w:val="auto"/>
          <w:sz w:val="28"/>
          <w:szCs w:val="28"/>
          <w:lang w:val="en-US"/>
        </w:rPr>
        <w:t>2006</w:t>
      </w:r>
      <w:r w:rsidRPr="003B6FE7">
        <w:rPr>
          <w:rFonts w:ascii="Times New Roman" w:eastAsia="Helvetica-Bold" w:hAnsi="Times New Roman"/>
          <w:sz w:val="28"/>
          <w:szCs w:val="28"/>
          <w:lang w:val="en-US"/>
        </w:rPr>
        <w:t xml:space="preserve">. — Vol. </w:t>
      </w:r>
      <w:r w:rsidRPr="003B6FE7">
        <w:rPr>
          <w:rStyle w:val="A10"/>
          <w:rFonts w:ascii="Times New Roman" w:hAnsi="Times New Roman" w:cs="Times New Roman"/>
          <w:color w:val="auto"/>
          <w:sz w:val="28"/>
          <w:szCs w:val="28"/>
          <w:lang w:val="en-US"/>
        </w:rPr>
        <w:t>25</w:t>
      </w:r>
      <w:r w:rsidRPr="003B6FE7">
        <w:rPr>
          <w:rFonts w:ascii="Times New Roman" w:eastAsia="Helvetica-Bold" w:hAnsi="Times New Roman"/>
          <w:sz w:val="28"/>
          <w:szCs w:val="28"/>
          <w:lang w:val="en-US"/>
        </w:rPr>
        <w:t xml:space="preserve">. — </w:t>
      </w:r>
      <w:r w:rsidRPr="003B6FE7">
        <w:rPr>
          <w:rStyle w:val="A10"/>
          <w:rFonts w:ascii="Times New Roman" w:hAnsi="Times New Roman" w:cs="Times New Roman"/>
          <w:color w:val="auto"/>
          <w:sz w:val="28"/>
          <w:szCs w:val="28"/>
          <w:lang w:val="en-US"/>
        </w:rPr>
        <w:t>P. 224–244.</w:t>
      </w:r>
      <w:bookmarkEnd w:id="10"/>
    </w:p>
    <w:p w:rsidR="006E5C91" w:rsidRPr="006C3C9A" w:rsidRDefault="006E5C91" w:rsidP="00E35879">
      <w:pPr>
        <w:spacing w:after="0" w:line="360" w:lineRule="auto"/>
        <w:ind w:firstLine="709"/>
        <w:jc w:val="both"/>
        <w:rPr>
          <w:rFonts w:ascii="Times New Roman" w:hAnsi="Times New Roman"/>
          <w:sz w:val="28"/>
          <w:szCs w:val="28"/>
        </w:rPr>
      </w:pPr>
    </w:p>
    <w:bookmarkEnd w:id="0"/>
    <w:p w:rsidR="0039009E" w:rsidRPr="00000061" w:rsidRDefault="0039009E">
      <w:pPr>
        <w:rPr>
          <w:rFonts w:ascii="Times New Roman" w:hAnsi="Times New Roman"/>
          <w:sz w:val="28"/>
          <w:szCs w:val="28"/>
          <w:lang w:val="en-US"/>
        </w:rPr>
      </w:pPr>
      <w:r w:rsidRPr="00000061">
        <w:rPr>
          <w:rFonts w:ascii="Times New Roman" w:hAnsi="Times New Roman"/>
          <w:sz w:val="28"/>
          <w:szCs w:val="28"/>
          <w:lang w:val="en-US"/>
        </w:rPr>
        <w:br w:type="page"/>
      </w:r>
    </w:p>
    <w:p w:rsidR="0039009E" w:rsidRPr="003B6FE7" w:rsidRDefault="0039009E" w:rsidP="0039009E">
      <w:pPr>
        <w:pStyle w:val="1"/>
        <w:spacing w:after="0" w:line="360" w:lineRule="auto"/>
        <w:ind w:left="0"/>
        <w:jc w:val="center"/>
        <w:rPr>
          <w:rFonts w:ascii="Times New Roman" w:hAnsi="Times New Roman"/>
          <w:b/>
          <w:sz w:val="28"/>
          <w:szCs w:val="28"/>
          <w:lang w:val="en-US"/>
        </w:rPr>
      </w:pPr>
      <w:r w:rsidRPr="003B6FE7">
        <w:rPr>
          <w:rFonts w:ascii="Times New Roman" w:hAnsi="Times New Roman"/>
          <w:b/>
          <w:sz w:val="28"/>
          <w:szCs w:val="28"/>
          <w:lang w:val="en-US"/>
        </w:rPr>
        <w:lastRenderedPageBreak/>
        <w:t>Clinical features and surgical treatment of chronic pancreatitis</w:t>
      </w:r>
    </w:p>
    <w:p w:rsidR="0039009E" w:rsidRPr="003B6FE7" w:rsidRDefault="0039009E" w:rsidP="0039009E">
      <w:pPr>
        <w:pStyle w:val="1"/>
        <w:spacing w:after="0" w:line="360" w:lineRule="auto"/>
        <w:ind w:left="0"/>
        <w:jc w:val="center"/>
        <w:rPr>
          <w:rFonts w:ascii="Times New Roman" w:hAnsi="Times New Roman"/>
          <w:b/>
          <w:sz w:val="28"/>
          <w:szCs w:val="28"/>
          <w:lang w:val="en-US"/>
        </w:rPr>
      </w:pPr>
      <w:proofErr w:type="gramStart"/>
      <w:r w:rsidRPr="003B6FE7">
        <w:rPr>
          <w:rFonts w:ascii="Times New Roman" w:hAnsi="Times New Roman"/>
          <w:b/>
          <w:sz w:val="28"/>
          <w:szCs w:val="28"/>
          <w:lang w:val="en-US"/>
        </w:rPr>
        <w:t>with</w:t>
      </w:r>
      <w:proofErr w:type="gramEnd"/>
      <w:r w:rsidRPr="003B6FE7">
        <w:rPr>
          <w:rFonts w:ascii="Times New Roman" w:hAnsi="Times New Roman"/>
          <w:b/>
          <w:sz w:val="28"/>
          <w:szCs w:val="28"/>
          <w:lang w:val="en-US"/>
        </w:rPr>
        <w:t xml:space="preserve"> symptoms of </w:t>
      </w:r>
      <w:proofErr w:type="spellStart"/>
      <w:r w:rsidRPr="003B6FE7">
        <w:rPr>
          <w:rFonts w:ascii="Times New Roman" w:hAnsi="Times New Roman"/>
          <w:b/>
          <w:sz w:val="28"/>
          <w:szCs w:val="28"/>
          <w:lang w:val="en-US"/>
        </w:rPr>
        <w:t>biliary</w:t>
      </w:r>
      <w:proofErr w:type="spellEnd"/>
      <w:r w:rsidRPr="003B6FE7">
        <w:rPr>
          <w:rFonts w:ascii="Times New Roman" w:hAnsi="Times New Roman"/>
          <w:b/>
          <w:sz w:val="28"/>
          <w:szCs w:val="28"/>
          <w:lang w:val="en-US"/>
        </w:rPr>
        <w:t xml:space="preserve"> hypertension</w:t>
      </w:r>
    </w:p>
    <w:p w:rsidR="0039009E" w:rsidRPr="003B6FE7" w:rsidRDefault="0039009E" w:rsidP="0039009E">
      <w:pPr>
        <w:pStyle w:val="1"/>
        <w:spacing w:after="0" w:line="360" w:lineRule="auto"/>
        <w:ind w:left="0"/>
        <w:jc w:val="center"/>
        <w:rPr>
          <w:rFonts w:ascii="Times New Roman" w:hAnsi="Times New Roman"/>
          <w:sz w:val="28"/>
          <w:szCs w:val="28"/>
          <w:lang w:val="en-US"/>
        </w:rPr>
      </w:pPr>
      <w:r w:rsidRPr="003B6FE7">
        <w:rPr>
          <w:rFonts w:ascii="Times New Roman" w:hAnsi="Times New Roman"/>
          <w:sz w:val="28"/>
          <w:szCs w:val="28"/>
          <w:lang w:val="en-US"/>
        </w:rPr>
        <w:t xml:space="preserve">V. I. </w:t>
      </w:r>
      <w:proofErr w:type="spellStart"/>
      <w:r w:rsidRPr="003B6FE7">
        <w:rPr>
          <w:rFonts w:ascii="Times New Roman" w:hAnsi="Times New Roman"/>
          <w:sz w:val="28"/>
          <w:szCs w:val="28"/>
          <w:lang w:val="en-US"/>
        </w:rPr>
        <w:t>Pylypchuk</w:t>
      </w:r>
      <w:proofErr w:type="spellEnd"/>
    </w:p>
    <w:p w:rsidR="0039009E" w:rsidRPr="003B6FE7" w:rsidRDefault="0039009E" w:rsidP="0039009E">
      <w:pPr>
        <w:pStyle w:val="1"/>
        <w:spacing w:after="0" w:line="360" w:lineRule="auto"/>
        <w:ind w:left="0"/>
        <w:jc w:val="center"/>
        <w:rPr>
          <w:rFonts w:ascii="Times New Roman" w:hAnsi="Times New Roman"/>
          <w:i/>
          <w:sz w:val="28"/>
          <w:szCs w:val="28"/>
          <w:lang w:val="en-US"/>
        </w:rPr>
      </w:pPr>
      <w:proofErr w:type="spellStart"/>
      <w:r w:rsidRPr="003B6FE7">
        <w:rPr>
          <w:rFonts w:ascii="Times New Roman" w:hAnsi="Times New Roman"/>
          <w:i/>
          <w:sz w:val="28"/>
          <w:szCs w:val="28"/>
          <w:lang w:val="en-US"/>
        </w:rPr>
        <w:t>Ivano-Frankivsk</w:t>
      </w:r>
      <w:proofErr w:type="spellEnd"/>
      <w:r w:rsidRPr="003B6FE7">
        <w:rPr>
          <w:rFonts w:ascii="Times New Roman" w:hAnsi="Times New Roman"/>
          <w:i/>
          <w:sz w:val="28"/>
          <w:szCs w:val="28"/>
          <w:lang w:val="en-US"/>
        </w:rPr>
        <w:t xml:space="preserve"> National Medical University, Ukraine</w:t>
      </w:r>
    </w:p>
    <w:p w:rsidR="0039009E" w:rsidRPr="003B6FE7" w:rsidRDefault="0039009E" w:rsidP="0039009E">
      <w:pPr>
        <w:pStyle w:val="1"/>
        <w:spacing w:after="0" w:line="360" w:lineRule="auto"/>
        <w:ind w:firstLine="708"/>
        <w:jc w:val="both"/>
        <w:rPr>
          <w:rFonts w:ascii="Times New Roman" w:hAnsi="Times New Roman"/>
          <w:sz w:val="28"/>
          <w:szCs w:val="28"/>
          <w:lang w:val="en-US"/>
        </w:rPr>
      </w:pPr>
    </w:p>
    <w:p w:rsidR="0039009E" w:rsidRPr="003B6FE7" w:rsidRDefault="0039009E" w:rsidP="0039009E">
      <w:pPr>
        <w:pStyle w:val="1"/>
        <w:spacing w:after="0" w:line="360" w:lineRule="auto"/>
        <w:ind w:left="0" w:firstLine="708"/>
        <w:jc w:val="both"/>
        <w:rPr>
          <w:rFonts w:ascii="Times New Roman" w:hAnsi="Times New Roman"/>
          <w:sz w:val="28"/>
          <w:szCs w:val="28"/>
          <w:lang w:val="en-US"/>
        </w:rPr>
      </w:pPr>
      <w:r w:rsidRPr="003B6FE7">
        <w:rPr>
          <w:rFonts w:ascii="Times New Roman" w:hAnsi="Times New Roman"/>
          <w:b/>
          <w:sz w:val="28"/>
          <w:szCs w:val="28"/>
          <w:lang w:val="en-US"/>
        </w:rPr>
        <w:t>Key words:</w:t>
      </w:r>
      <w:r w:rsidRPr="003B6FE7">
        <w:rPr>
          <w:rFonts w:ascii="Times New Roman" w:hAnsi="Times New Roman"/>
          <w:sz w:val="28"/>
          <w:szCs w:val="28"/>
          <w:lang w:val="en-US"/>
        </w:rPr>
        <w:t xml:space="preserve"> chronic pancreatitis,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hypertension,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pressure, magnetic resonance </w:t>
      </w:r>
      <w:proofErr w:type="spellStart"/>
      <w:r w:rsidRPr="003B6FE7">
        <w:rPr>
          <w:rFonts w:ascii="Times New Roman" w:hAnsi="Times New Roman"/>
          <w:sz w:val="28"/>
          <w:szCs w:val="28"/>
          <w:lang w:val="en-US"/>
        </w:rPr>
        <w:t>cholangiopancreatography</w:t>
      </w:r>
      <w:proofErr w:type="spellEnd"/>
      <w:r w:rsidRPr="003B6FE7">
        <w:rPr>
          <w:rFonts w:ascii="Times New Roman" w:hAnsi="Times New Roman"/>
          <w:sz w:val="28"/>
          <w:szCs w:val="28"/>
          <w:lang w:val="en-US"/>
        </w:rPr>
        <w:t>, duodenum-preserving resection</w:t>
      </w:r>
    </w:p>
    <w:p w:rsidR="0039009E" w:rsidRPr="003B6FE7" w:rsidRDefault="0039009E" w:rsidP="0039009E">
      <w:pPr>
        <w:pStyle w:val="1"/>
        <w:spacing w:after="0" w:line="360" w:lineRule="auto"/>
        <w:ind w:left="0" w:firstLine="708"/>
        <w:jc w:val="both"/>
        <w:rPr>
          <w:rFonts w:ascii="Times New Roman" w:hAnsi="Times New Roman"/>
          <w:sz w:val="28"/>
          <w:szCs w:val="28"/>
          <w:lang w:val="en-US"/>
        </w:rPr>
      </w:pPr>
      <w:r w:rsidRPr="003B6FE7">
        <w:rPr>
          <w:rFonts w:ascii="Times New Roman" w:hAnsi="Times New Roman"/>
          <w:sz w:val="28"/>
          <w:szCs w:val="28"/>
          <w:lang w:val="en-US"/>
        </w:rPr>
        <w:t xml:space="preserve">The article analyzes the clinical features of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hypertension in chronic pancreatitis and capabilities of instrumental methods for their diagnosis. The developed algorithm of pre-surgical preparation of patients with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hypertension takes into account changes in the organs and body systems related to the violation of the outflow of bile. Surgeries performed in patients with chronic pancreatitis with symptoms of </w:t>
      </w:r>
      <w:proofErr w:type="spellStart"/>
      <w:r w:rsidRPr="003B6FE7">
        <w:rPr>
          <w:rFonts w:ascii="Times New Roman" w:hAnsi="Times New Roman"/>
          <w:sz w:val="28"/>
          <w:szCs w:val="28"/>
          <w:lang w:val="en-US"/>
        </w:rPr>
        <w:t>biliary</w:t>
      </w:r>
      <w:proofErr w:type="spellEnd"/>
      <w:r w:rsidRPr="003B6FE7">
        <w:rPr>
          <w:rFonts w:ascii="Times New Roman" w:hAnsi="Times New Roman"/>
          <w:sz w:val="28"/>
          <w:szCs w:val="28"/>
          <w:lang w:val="en-US"/>
        </w:rPr>
        <w:t xml:space="preserve"> hypertension are briefly analyzed. Surgeries of choice are duodenum-preserving resections (Frey, </w:t>
      </w:r>
      <w:proofErr w:type="spellStart"/>
      <w:r w:rsidRPr="003B6FE7">
        <w:rPr>
          <w:rFonts w:ascii="Times New Roman" w:hAnsi="Times New Roman"/>
          <w:sz w:val="28"/>
          <w:szCs w:val="28"/>
          <w:lang w:val="en-US"/>
        </w:rPr>
        <w:t>Beger</w:t>
      </w:r>
      <w:proofErr w:type="spellEnd"/>
      <w:r w:rsidRPr="003B6FE7">
        <w:rPr>
          <w:rFonts w:ascii="Times New Roman" w:hAnsi="Times New Roman"/>
          <w:sz w:val="28"/>
          <w:szCs w:val="28"/>
          <w:lang w:val="en-US"/>
        </w:rPr>
        <w:t xml:space="preserve">, Berne surgeries), which in 30% of cases require additional intervention on the bile ducts (application of </w:t>
      </w:r>
      <w:proofErr w:type="spellStart"/>
      <w:r w:rsidRPr="003B6FE7">
        <w:rPr>
          <w:rFonts w:ascii="Times New Roman" w:hAnsi="Times New Roman"/>
          <w:sz w:val="28"/>
          <w:szCs w:val="28"/>
          <w:lang w:val="en-US"/>
        </w:rPr>
        <w:t>biliodigestive</w:t>
      </w:r>
      <w:proofErr w:type="spellEnd"/>
      <w:r w:rsidRPr="003B6FE7">
        <w:rPr>
          <w:rFonts w:ascii="Times New Roman" w:hAnsi="Times New Roman"/>
          <w:sz w:val="28"/>
          <w:szCs w:val="28"/>
          <w:lang w:val="en-US"/>
        </w:rPr>
        <w:t xml:space="preserve"> or </w:t>
      </w:r>
      <w:proofErr w:type="spellStart"/>
      <w:r w:rsidRPr="003B6FE7">
        <w:rPr>
          <w:rFonts w:ascii="Times New Roman" w:hAnsi="Times New Roman"/>
          <w:sz w:val="28"/>
          <w:szCs w:val="28"/>
          <w:lang w:val="en-US"/>
        </w:rPr>
        <w:t>biliopancreatic</w:t>
      </w:r>
      <w:proofErr w:type="spellEnd"/>
      <w:r w:rsidRPr="003B6FE7">
        <w:rPr>
          <w:rFonts w:ascii="Times New Roman" w:hAnsi="Times New Roman"/>
          <w:sz w:val="28"/>
          <w:szCs w:val="28"/>
          <w:lang w:val="en-US"/>
        </w:rPr>
        <w:t xml:space="preserve"> </w:t>
      </w:r>
      <w:proofErr w:type="spellStart"/>
      <w:r w:rsidRPr="003B6FE7">
        <w:rPr>
          <w:rFonts w:ascii="Times New Roman" w:hAnsi="Times New Roman"/>
          <w:sz w:val="28"/>
          <w:szCs w:val="28"/>
          <w:lang w:val="en-US"/>
        </w:rPr>
        <w:t>anastomosis</w:t>
      </w:r>
      <w:proofErr w:type="spellEnd"/>
      <w:r w:rsidRPr="003B6FE7">
        <w:rPr>
          <w:rFonts w:ascii="Times New Roman" w:hAnsi="Times New Roman"/>
          <w:sz w:val="28"/>
          <w:szCs w:val="28"/>
          <w:lang w:val="en-US"/>
        </w:rPr>
        <w:t xml:space="preserve"> in pancreatic head resection area).</w:t>
      </w:r>
    </w:p>
    <w:p w:rsidR="00CC4DD4" w:rsidRPr="0039009E" w:rsidRDefault="00CC4DD4" w:rsidP="0039009E">
      <w:pPr>
        <w:spacing w:after="0"/>
        <w:rPr>
          <w:rFonts w:ascii="Times New Roman" w:hAnsi="Times New Roman"/>
          <w:sz w:val="28"/>
          <w:szCs w:val="28"/>
          <w:lang w:val="en-US"/>
        </w:rPr>
      </w:pPr>
    </w:p>
    <w:sectPr w:rsidR="00CC4DD4" w:rsidRPr="0039009E" w:rsidSect="00E35879">
      <w:headerReference w:type="even" r:id="rId8"/>
      <w:headerReference w:type="default" r:id="rId9"/>
      <w:pgSz w:w="11906" w:h="16838"/>
      <w:pgMar w:top="1134" w:right="84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3C9" w:rsidRDefault="00DD13C9">
      <w:pPr>
        <w:spacing w:after="0" w:line="240" w:lineRule="auto"/>
      </w:pPr>
      <w:r>
        <w:separator/>
      </w:r>
    </w:p>
  </w:endnote>
  <w:endnote w:type="continuationSeparator" w:id="0">
    <w:p w:rsidR="00DD13C9" w:rsidRDefault="00DD1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Janson Text LT">
    <w:altName w:val="Times New Roman"/>
    <w:panose1 w:val="00000000000000000000"/>
    <w:charset w:val="00"/>
    <w:family w:val="roman"/>
    <w:notTrueType/>
    <w:pitch w:val="default"/>
    <w:sig w:usb0="00000003" w:usb1="00000000" w:usb2="00000000" w:usb3="00000000" w:csb0="00000001" w:csb1="00000000"/>
  </w:font>
  <w:font w:name="Helvetica-Bold">
    <w:panose1 w:val="00000000000000000000"/>
    <w:charset w:val="80"/>
    <w:family w:val="swiss"/>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3C9" w:rsidRDefault="00DD13C9">
      <w:pPr>
        <w:spacing w:after="0" w:line="240" w:lineRule="auto"/>
      </w:pPr>
      <w:r>
        <w:separator/>
      </w:r>
    </w:p>
  </w:footnote>
  <w:footnote w:type="continuationSeparator" w:id="0">
    <w:p w:rsidR="00DD13C9" w:rsidRDefault="00DD13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61" w:rsidRDefault="005F306A" w:rsidP="008C4280">
    <w:pPr>
      <w:pStyle w:val="a3"/>
      <w:framePr w:wrap="around" w:vAnchor="text" w:hAnchor="margin" w:xAlign="right" w:y="1"/>
      <w:rPr>
        <w:rStyle w:val="a5"/>
      </w:rPr>
    </w:pPr>
    <w:r>
      <w:rPr>
        <w:rStyle w:val="a5"/>
      </w:rPr>
      <w:fldChar w:fldCharType="begin"/>
    </w:r>
    <w:r w:rsidR="00F94C61">
      <w:rPr>
        <w:rStyle w:val="a5"/>
      </w:rPr>
      <w:instrText xml:space="preserve">PAGE  </w:instrText>
    </w:r>
    <w:r>
      <w:rPr>
        <w:rStyle w:val="a5"/>
      </w:rPr>
      <w:fldChar w:fldCharType="end"/>
    </w:r>
  </w:p>
  <w:p w:rsidR="00F94C61" w:rsidRDefault="00F94C61" w:rsidP="008C428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61" w:rsidRDefault="00F94C61" w:rsidP="008C428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82A"/>
    <w:multiLevelType w:val="hybridMultilevel"/>
    <w:tmpl w:val="35C657DE"/>
    <w:lvl w:ilvl="0" w:tplc="25F6C30C">
      <w:start w:val="5"/>
      <w:numFmt w:val="bullet"/>
      <w:lvlText w:val=""/>
      <w:lvlJc w:val="left"/>
      <w:pPr>
        <w:ind w:left="1080" w:hanging="360"/>
      </w:pPr>
      <w:rPr>
        <w:rFonts w:ascii="Wingdings" w:eastAsia="Times New Roman"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04FF5566"/>
    <w:multiLevelType w:val="singleLevel"/>
    <w:tmpl w:val="4D784980"/>
    <w:lvl w:ilvl="0">
      <w:numFmt w:val="bullet"/>
      <w:lvlText w:val="-"/>
      <w:lvlJc w:val="left"/>
      <w:pPr>
        <w:tabs>
          <w:tab w:val="num" w:pos="1097"/>
        </w:tabs>
        <w:ind w:left="680" w:firstLine="57"/>
      </w:pPr>
      <w:rPr>
        <w:rFonts w:hint="default"/>
      </w:rPr>
    </w:lvl>
  </w:abstractNum>
  <w:abstractNum w:abstractNumId="2">
    <w:nsid w:val="06B8611B"/>
    <w:multiLevelType w:val="hybridMultilevel"/>
    <w:tmpl w:val="5160384C"/>
    <w:lvl w:ilvl="0" w:tplc="0422000B">
      <w:start w:val="10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6F5149E"/>
    <w:multiLevelType w:val="hybridMultilevel"/>
    <w:tmpl w:val="1EB80258"/>
    <w:lvl w:ilvl="0" w:tplc="74C8A04C">
      <w:start w:val="5"/>
      <w:numFmt w:val="bullet"/>
      <w:lvlText w:val=""/>
      <w:lvlJc w:val="left"/>
      <w:pPr>
        <w:ind w:left="1233" w:hanging="360"/>
      </w:pPr>
      <w:rPr>
        <w:rFonts w:ascii="Wingdings" w:eastAsia="Times New Roman" w:hAnsi="Wingdings" w:cs="Times New Roman" w:hint="default"/>
      </w:rPr>
    </w:lvl>
    <w:lvl w:ilvl="1" w:tplc="04220003" w:tentative="1">
      <w:start w:val="1"/>
      <w:numFmt w:val="bullet"/>
      <w:lvlText w:val="o"/>
      <w:lvlJc w:val="left"/>
      <w:pPr>
        <w:ind w:left="1953" w:hanging="360"/>
      </w:pPr>
      <w:rPr>
        <w:rFonts w:ascii="Courier New" w:hAnsi="Courier New" w:cs="Courier New" w:hint="default"/>
      </w:rPr>
    </w:lvl>
    <w:lvl w:ilvl="2" w:tplc="04220005" w:tentative="1">
      <w:start w:val="1"/>
      <w:numFmt w:val="bullet"/>
      <w:lvlText w:val=""/>
      <w:lvlJc w:val="left"/>
      <w:pPr>
        <w:ind w:left="2673" w:hanging="360"/>
      </w:pPr>
      <w:rPr>
        <w:rFonts w:ascii="Wingdings" w:hAnsi="Wingdings" w:hint="default"/>
      </w:rPr>
    </w:lvl>
    <w:lvl w:ilvl="3" w:tplc="04220001" w:tentative="1">
      <w:start w:val="1"/>
      <w:numFmt w:val="bullet"/>
      <w:lvlText w:val=""/>
      <w:lvlJc w:val="left"/>
      <w:pPr>
        <w:ind w:left="3393" w:hanging="360"/>
      </w:pPr>
      <w:rPr>
        <w:rFonts w:ascii="Symbol" w:hAnsi="Symbol" w:hint="default"/>
      </w:rPr>
    </w:lvl>
    <w:lvl w:ilvl="4" w:tplc="04220003" w:tentative="1">
      <w:start w:val="1"/>
      <w:numFmt w:val="bullet"/>
      <w:lvlText w:val="o"/>
      <w:lvlJc w:val="left"/>
      <w:pPr>
        <w:ind w:left="4113" w:hanging="360"/>
      </w:pPr>
      <w:rPr>
        <w:rFonts w:ascii="Courier New" w:hAnsi="Courier New" w:cs="Courier New" w:hint="default"/>
      </w:rPr>
    </w:lvl>
    <w:lvl w:ilvl="5" w:tplc="04220005" w:tentative="1">
      <w:start w:val="1"/>
      <w:numFmt w:val="bullet"/>
      <w:lvlText w:val=""/>
      <w:lvlJc w:val="left"/>
      <w:pPr>
        <w:ind w:left="4833" w:hanging="360"/>
      </w:pPr>
      <w:rPr>
        <w:rFonts w:ascii="Wingdings" w:hAnsi="Wingdings" w:hint="default"/>
      </w:rPr>
    </w:lvl>
    <w:lvl w:ilvl="6" w:tplc="04220001" w:tentative="1">
      <w:start w:val="1"/>
      <w:numFmt w:val="bullet"/>
      <w:lvlText w:val=""/>
      <w:lvlJc w:val="left"/>
      <w:pPr>
        <w:ind w:left="5553" w:hanging="360"/>
      </w:pPr>
      <w:rPr>
        <w:rFonts w:ascii="Symbol" w:hAnsi="Symbol" w:hint="default"/>
      </w:rPr>
    </w:lvl>
    <w:lvl w:ilvl="7" w:tplc="04220003" w:tentative="1">
      <w:start w:val="1"/>
      <w:numFmt w:val="bullet"/>
      <w:lvlText w:val="o"/>
      <w:lvlJc w:val="left"/>
      <w:pPr>
        <w:ind w:left="6273" w:hanging="360"/>
      </w:pPr>
      <w:rPr>
        <w:rFonts w:ascii="Courier New" w:hAnsi="Courier New" w:cs="Courier New" w:hint="default"/>
      </w:rPr>
    </w:lvl>
    <w:lvl w:ilvl="8" w:tplc="04220005" w:tentative="1">
      <w:start w:val="1"/>
      <w:numFmt w:val="bullet"/>
      <w:lvlText w:val=""/>
      <w:lvlJc w:val="left"/>
      <w:pPr>
        <w:ind w:left="6993" w:hanging="360"/>
      </w:pPr>
      <w:rPr>
        <w:rFonts w:ascii="Wingdings" w:hAnsi="Wingdings" w:hint="default"/>
      </w:rPr>
    </w:lvl>
  </w:abstractNum>
  <w:abstractNum w:abstractNumId="4">
    <w:nsid w:val="0FE7418F"/>
    <w:multiLevelType w:val="hybridMultilevel"/>
    <w:tmpl w:val="B14AE69E"/>
    <w:lvl w:ilvl="0" w:tplc="1D2691A4">
      <w:start w:val="11"/>
      <w:numFmt w:val="bullet"/>
      <w:lvlText w:val="-"/>
      <w:lvlJc w:val="left"/>
      <w:pPr>
        <w:ind w:left="1244" w:hanging="360"/>
      </w:pPr>
      <w:rPr>
        <w:rFonts w:ascii="Times New Roman" w:eastAsia="Times New Roman" w:hAnsi="Times New Roman" w:cs="Times New Roman" w:hint="default"/>
      </w:rPr>
    </w:lvl>
    <w:lvl w:ilvl="1" w:tplc="04220003" w:tentative="1">
      <w:start w:val="1"/>
      <w:numFmt w:val="bullet"/>
      <w:lvlText w:val="o"/>
      <w:lvlJc w:val="left"/>
      <w:pPr>
        <w:ind w:left="1964" w:hanging="360"/>
      </w:pPr>
      <w:rPr>
        <w:rFonts w:ascii="Courier New" w:hAnsi="Courier New" w:cs="Courier New" w:hint="default"/>
      </w:rPr>
    </w:lvl>
    <w:lvl w:ilvl="2" w:tplc="04220005" w:tentative="1">
      <w:start w:val="1"/>
      <w:numFmt w:val="bullet"/>
      <w:lvlText w:val=""/>
      <w:lvlJc w:val="left"/>
      <w:pPr>
        <w:ind w:left="2684" w:hanging="360"/>
      </w:pPr>
      <w:rPr>
        <w:rFonts w:ascii="Wingdings" w:hAnsi="Wingdings" w:hint="default"/>
      </w:rPr>
    </w:lvl>
    <w:lvl w:ilvl="3" w:tplc="04220001" w:tentative="1">
      <w:start w:val="1"/>
      <w:numFmt w:val="bullet"/>
      <w:lvlText w:val=""/>
      <w:lvlJc w:val="left"/>
      <w:pPr>
        <w:ind w:left="3404" w:hanging="360"/>
      </w:pPr>
      <w:rPr>
        <w:rFonts w:ascii="Symbol" w:hAnsi="Symbol" w:hint="default"/>
      </w:rPr>
    </w:lvl>
    <w:lvl w:ilvl="4" w:tplc="04220003" w:tentative="1">
      <w:start w:val="1"/>
      <w:numFmt w:val="bullet"/>
      <w:lvlText w:val="o"/>
      <w:lvlJc w:val="left"/>
      <w:pPr>
        <w:ind w:left="4124" w:hanging="360"/>
      </w:pPr>
      <w:rPr>
        <w:rFonts w:ascii="Courier New" w:hAnsi="Courier New" w:cs="Courier New" w:hint="default"/>
      </w:rPr>
    </w:lvl>
    <w:lvl w:ilvl="5" w:tplc="04220005" w:tentative="1">
      <w:start w:val="1"/>
      <w:numFmt w:val="bullet"/>
      <w:lvlText w:val=""/>
      <w:lvlJc w:val="left"/>
      <w:pPr>
        <w:ind w:left="4844" w:hanging="360"/>
      </w:pPr>
      <w:rPr>
        <w:rFonts w:ascii="Wingdings" w:hAnsi="Wingdings" w:hint="default"/>
      </w:rPr>
    </w:lvl>
    <w:lvl w:ilvl="6" w:tplc="04220001" w:tentative="1">
      <w:start w:val="1"/>
      <w:numFmt w:val="bullet"/>
      <w:lvlText w:val=""/>
      <w:lvlJc w:val="left"/>
      <w:pPr>
        <w:ind w:left="5564" w:hanging="360"/>
      </w:pPr>
      <w:rPr>
        <w:rFonts w:ascii="Symbol" w:hAnsi="Symbol" w:hint="default"/>
      </w:rPr>
    </w:lvl>
    <w:lvl w:ilvl="7" w:tplc="04220003" w:tentative="1">
      <w:start w:val="1"/>
      <w:numFmt w:val="bullet"/>
      <w:lvlText w:val="o"/>
      <w:lvlJc w:val="left"/>
      <w:pPr>
        <w:ind w:left="6284" w:hanging="360"/>
      </w:pPr>
      <w:rPr>
        <w:rFonts w:ascii="Courier New" w:hAnsi="Courier New" w:cs="Courier New" w:hint="default"/>
      </w:rPr>
    </w:lvl>
    <w:lvl w:ilvl="8" w:tplc="04220005" w:tentative="1">
      <w:start w:val="1"/>
      <w:numFmt w:val="bullet"/>
      <w:lvlText w:val=""/>
      <w:lvlJc w:val="left"/>
      <w:pPr>
        <w:ind w:left="7004" w:hanging="360"/>
      </w:pPr>
      <w:rPr>
        <w:rFonts w:ascii="Wingdings" w:hAnsi="Wingdings" w:hint="default"/>
      </w:rPr>
    </w:lvl>
  </w:abstractNum>
  <w:abstractNum w:abstractNumId="5">
    <w:nsid w:val="10C50190"/>
    <w:multiLevelType w:val="hybridMultilevel"/>
    <w:tmpl w:val="BB5A0DA4"/>
    <w:lvl w:ilvl="0" w:tplc="A1965FB4">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14A23D33"/>
    <w:multiLevelType w:val="singleLevel"/>
    <w:tmpl w:val="39D299F0"/>
    <w:lvl w:ilvl="0">
      <w:start w:val="1"/>
      <w:numFmt w:val="decimal"/>
      <w:lvlText w:val="%1."/>
      <w:lvlJc w:val="left"/>
      <w:pPr>
        <w:tabs>
          <w:tab w:val="num" w:pos="587"/>
        </w:tabs>
        <w:ind w:left="0" w:firstLine="227"/>
      </w:pPr>
    </w:lvl>
  </w:abstractNum>
  <w:abstractNum w:abstractNumId="7">
    <w:nsid w:val="1BB77CBC"/>
    <w:multiLevelType w:val="hybridMultilevel"/>
    <w:tmpl w:val="67909DF8"/>
    <w:lvl w:ilvl="0" w:tplc="050CF7D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nsid w:val="1D211F63"/>
    <w:multiLevelType w:val="hybridMultilevel"/>
    <w:tmpl w:val="0900AEE4"/>
    <w:lvl w:ilvl="0" w:tplc="834804AA">
      <w:start w:val="1"/>
      <w:numFmt w:val="upperRoman"/>
      <w:lvlText w:val="%1."/>
      <w:lvlJc w:val="left"/>
      <w:pPr>
        <w:tabs>
          <w:tab w:val="num" w:pos="1080"/>
        </w:tabs>
        <w:ind w:left="1080" w:hanging="720"/>
      </w:pPr>
    </w:lvl>
    <w:lvl w:ilvl="1" w:tplc="15E085F2">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D69066B"/>
    <w:multiLevelType w:val="hybridMultilevel"/>
    <w:tmpl w:val="592C8506"/>
    <w:lvl w:ilvl="0" w:tplc="DE90BC24">
      <w:start w:val="1"/>
      <w:numFmt w:val="decimal"/>
      <w:lvlText w:val="%1."/>
      <w:lvlJc w:val="left"/>
      <w:pPr>
        <w:ind w:left="36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3C14925"/>
    <w:multiLevelType w:val="multilevel"/>
    <w:tmpl w:val="B7F2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204CD9"/>
    <w:multiLevelType w:val="hybridMultilevel"/>
    <w:tmpl w:val="EC9235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7E7716D"/>
    <w:multiLevelType w:val="hybridMultilevel"/>
    <w:tmpl w:val="65C802CC"/>
    <w:lvl w:ilvl="0" w:tplc="F6C45F88">
      <w:start w:val="1"/>
      <w:numFmt w:val="decimal"/>
      <w:lvlText w:val="%1."/>
      <w:lvlJc w:val="left"/>
      <w:pPr>
        <w:ind w:left="1571" w:hanging="360"/>
      </w:pPr>
      <w:rPr>
        <w:rFonts w:hint="default"/>
        <w:b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nsid w:val="29391A00"/>
    <w:multiLevelType w:val="hybridMultilevel"/>
    <w:tmpl w:val="592C8506"/>
    <w:lvl w:ilvl="0" w:tplc="DE90BC24">
      <w:start w:val="1"/>
      <w:numFmt w:val="decimal"/>
      <w:lvlText w:val="%1."/>
      <w:lvlJc w:val="left"/>
      <w:pPr>
        <w:ind w:left="36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13569ED"/>
    <w:multiLevelType w:val="hybridMultilevel"/>
    <w:tmpl w:val="592C8506"/>
    <w:lvl w:ilvl="0" w:tplc="DE90BC24">
      <w:start w:val="1"/>
      <w:numFmt w:val="decimal"/>
      <w:lvlText w:val="%1."/>
      <w:lvlJc w:val="left"/>
      <w:pPr>
        <w:ind w:left="36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75C13DE"/>
    <w:multiLevelType w:val="multilevel"/>
    <w:tmpl w:val="0618353A"/>
    <w:lvl w:ilvl="0">
      <w:start w:val="1"/>
      <w:numFmt w:val="decimal"/>
      <w:lvlText w:val="%1."/>
      <w:lvlJc w:val="left"/>
      <w:pPr>
        <w:ind w:left="1080" w:hanging="360"/>
      </w:pPr>
    </w:lvl>
    <w:lvl w:ilvl="1">
      <w:start w:val="1"/>
      <w:numFmt w:val="decimal"/>
      <w:isLgl/>
      <w:lvlText w:val="%2."/>
      <w:lvlJc w:val="left"/>
      <w:pPr>
        <w:ind w:left="1440" w:hanging="720"/>
      </w:pPr>
      <w:rPr>
        <w:rFonts w:ascii="Times New Roman" w:eastAsiaTheme="minorHAnsi" w:hAnsi="Times New Roman" w:cs="Times New Roman"/>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6">
    <w:nsid w:val="37771181"/>
    <w:multiLevelType w:val="hybridMultilevel"/>
    <w:tmpl w:val="67909DF8"/>
    <w:lvl w:ilvl="0" w:tplc="050CF7D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nsid w:val="384F640E"/>
    <w:multiLevelType w:val="hybridMultilevel"/>
    <w:tmpl w:val="302EAFF2"/>
    <w:lvl w:ilvl="0" w:tplc="819CD1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25670F"/>
    <w:multiLevelType w:val="hybridMultilevel"/>
    <w:tmpl w:val="EC006C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3DFC36ED"/>
    <w:multiLevelType w:val="hybridMultilevel"/>
    <w:tmpl w:val="592C8506"/>
    <w:lvl w:ilvl="0" w:tplc="DE90BC24">
      <w:start w:val="1"/>
      <w:numFmt w:val="decimal"/>
      <w:lvlText w:val="%1."/>
      <w:lvlJc w:val="left"/>
      <w:pPr>
        <w:ind w:left="36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604412C"/>
    <w:multiLevelType w:val="hybridMultilevel"/>
    <w:tmpl w:val="A8D8121A"/>
    <w:lvl w:ilvl="0" w:tplc="D568AFA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49A749A0"/>
    <w:multiLevelType w:val="hybridMultilevel"/>
    <w:tmpl w:val="4DC27C08"/>
    <w:lvl w:ilvl="0" w:tplc="46E67142">
      <w:start w:val="1"/>
      <w:numFmt w:val="upperRoman"/>
      <w:lvlText w:val="%1."/>
      <w:lvlJc w:val="left"/>
      <w:pPr>
        <w:ind w:left="1961" w:hanging="111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2">
    <w:nsid w:val="4B5240DE"/>
    <w:multiLevelType w:val="hybridMultilevel"/>
    <w:tmpl w:val="9BEC3F8C"/>
    <w:lvl w:ilvl="0" w:tplc="4354398C">
      <w:start w:val="1"/>
      <w:numFmt w:val="decimal"/>
      <w:lvlText w:val="%1."/>
      <w:lvlJc w:val="left"/>
      <w:pPr>
        <w:ind w:left="1353"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FFA6ECA"/>
    <w:multiLevelType w:val="singleLevel"/>
    <w:tmpl w:val="FF46B3DC"/>
    <w:lvl w:ilvl="0">
      <w:start w:val="1"/>
      <w:numFmt w:val="decimal"/>
      <w:lvlText w:val="%1."/>
      <w:lvlJc w:val="left"/>
      <w:pPr>
        <w:tabs>
          <w:tab w:val="num" w:pos="587"/>
        </w:tabs>
        <w:ind w:left="0" w:firstLine="227"/>
      </w:pPr>
    </w:lvl>
  </w:abstractNum>
  <w:abstractNum w:abstractNumId="24">
    <w:nsid w:val="5145133E"/>
    <w:multiLevelType w:val="hybridMultilevel"/>
    <w:tmpl w:val="0F58E0A2"/>
    <w:lvl w:ilvl="0" w:tplc="4C42DA2A">
      <w:start w:val="1"/>
      <w:numFmt w:val="decimal"/>
      <w:lvlText w:val="%1."/>
      <w:lvlJc w:val="left"/>
      <w:pPr>
        <w:ind w:left="1211" w:hanging="360"/>
      </w:pPr>
      <w:rPr>
        <w:rFonts w:ascii="Times New Roman" w:eastAsia="Times New Roman" w:hAnsi="Times New Roman" w:cs="Times New Roman"/>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nsid w:val="51A33267"/>
    <w:multiLevelType w:val="hybridMultilevel"/>
    <w:tmpl w:val="0F58E0A2"/>
    <w:lvl w:ilvl="0" w:tplc="4C42DA2A">
      <w:start w:val="1"/>
      <w:numFmt w:val="decimal"/>
      <w:lvlText w:val="%1."/>
      <w:lvlJc w:val="left"/>
      <w:pPr>
        <w:ind w:left="1211" w:hanging="360"/>
      </w:pPr>
      <w:rPr>
        <w:rFonts w:ascii="Times New Roman" w:eastAsia="Times New Roman" w:hAnsi="Times New Roman" w:cs="Times New Roman"/>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6">
    <w:nsid w:val="52357510"/>
    <w:multiLevelType w:val="hybridMultilevel"/>
    <w:tmpl w:val="7E446F52"/>
    <w:lvl w:ilvl="0" w:tplc="054A2FA0">
      <w:start w:val="1"/>
      <w:numFmt w:val="decimal"/>
      <w:lvlText w:val="%1."/>
      <w:lvlJc w:val="left"/>
      <w:pPr>
        <w:ind w:left="928" w:hanging="360"/>
      </w:pPr>
      <w:rPr>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5794678"/>
    <w:multiLevelType w:val="multilevel"/>
    <w:tmpl w:val="55389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0C35E3"/>
    <w:multiLevelType w:val="hybridMultilevel"/>
    <w:tmpl w:val="00528B3A"/>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9">
    <w:nsid w:val="57ED685F"/>
    <w:multiLevelType w:val="hybridMultilevel"/>
    <w:tmpl w:val="AC2EEE4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5BC86070"/>
    <w:multiLevelType w:val="multilevel"/>
    <w:tmpl w:val="E16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561C87"/>
    <w:multiLevelType w:val="singleLevel"/>
    <w:tmpl w:val="D1065ABE"/>
    <w:lvl w:ilvl="0">
      <w:start w:val="1"/>
      <w:numFmt w:val="decimal"/>
      <w:lvlText w:val="%1."/>
      <w:lvlJc w:val="left"/>
      <w:pPr>
        <w:tabs>
          <w:tab w:val="num" w:pos="587"/>
        </w:tabs>
        <w:ind w:left="0" w:firstLine="227"/>
      </w:pPr>
    </w:lvl>
  </w:abstractNum>
  <w:abstractNum w:abstractNumId="32">
    <w:nsid w:val="5C783B81"/>
    <w:multiLevelType w:val="multilevel"/>
    <w:tmpl w:val="AE929B52"/>
    <w:lvl w:ilvl="0">
      <w:start w:val="1"/>
      <w:numFmt w:val="upperRoman"/>
      <w:lvlText w:val="%1."/>
      <w:lvlJc w:val="left"/>
      <w:pPr>
        <w:ind w:left="1961" w:hanging="111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nsid w:val="5E03663E"/>
    <w:multiLevelType w:val="hybridMultilevel"/>
    <w:tmpl w:val="03784C68"/>
    <w:lvl w:ilvl="0" w:tplc="4A4CA31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4">
    <w:nsid w:val="67811A10"/>
    <w:multiLevelType w:val="singleLevel"/>
    <w:tmpl w:val="15B403D2"/>
    <w:lvl w:ilvl="0">
      <w:start w:val="2"/>
      <w:numFmt w:val="decimal"/>
      <w:lvlText w:val="%1."/>
      <w:lvlJc w:val="left"/>
      <w:pPr>
        <w:tabs>
          <w:tab w:val="num" w:pos="587"/>
        </w:tabs>
        <w:ind w:left="0" w:firstLine="227"/>
      </w:pPr>
    </w:lvl>
  </w:abstractNum>
  <w:abstractNum w:abstractNumId="35">
    <w:nsid w:val="68DB6316"/>
    <w:multiLevelType w:val="hybridMultilevel"/>
    <w:tmpl w:val="D29EA9A2"/>
    <w:lvl w:ilvl="0" w:tplc="B1EC55CC">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EAB6AEA"/>
    <w:multiLevelType w:val="hybridMultilevel"/>
    <w:tmpl w:val="E2427E6C"/>
    <w:lvl w:ilvl="0" w:tplc="824C3098">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257482C"/>
    <w:multiLevelType w:val="singleLevel"/>
    <w:tmpl w:val="4D784980"/>
    <w:lvl w:ilvl="0">
      <w:numFmt w:val="bullet"/>
      <w:lvlText w:val="-"/>
      <w:lvlJc w:val="left"/>
      <w:pPr>
        <w:tabs>
          <w:tab w:val="num" w:pos="1097"/>
        </w:tabs>
        <w:ind w:left="680" w:firstLine="57"/>
      </w:pPr>
      <w:rPr>
        <w:rFonts w:hint="default"/>
      </w:rPr>
    </w:lvl>
  </w:abstractNum>
  <w:abstractNum w:abstractNumId="38">
    <w:nsid w:val="73E9748A"/>
    <w:multiLevelType w:val="multilevel"/>
    <w:tmpl w:val="D9369E14"/>
    <w:lvl w:ilvl="0">
      <w:start w:val="1"/>
      <w:numFmt w:val="decimal"/>
      <w:lvlText w:val="%1."/>
      <w:lvlJc w:val="left"/>
      <w:pPr>
        <w:ind w:left="1080" w:hanging="360"/>
      </w:pPr>
    </w:lvl>
    <w:lvl w:ilvl="1">
      <w:start w:val="1"/>
      <w:numFmt w:val="decimal"/>
      <w:isLgl/>
      <w:lvlText w:val="%2."/>
      <w:lvlJc w:val="left"/>
      <w:pPr>
        <w:ind w:left="1440" w:hanging="720"/>
      </w:pPr>
      <w:rPr>
        <w:rFonts w:ascii="Times New Roman" w:eastAsiaTheme="minorHAnsi" w:hAnsi="Times New Roman" w:cs="Times New Roman"/>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9">
    <w:nsid w:val="77F83B44"/>
    <w:multiLevelType w:val="multilevel"/>
    <w:tmpl w:val="B128C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4A71A2"/>
    <w:multiLevelType w:val="hybridMultilevel"/>
    <w:tmpl w:val="36BC4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5D303F"/>
    <w:multiLevelType w:val="hybridMultilevel"/>
    <w:tmpl w:val="C47433E2"/>
    <w:lvl w:ilvl="0" w:tplc="F66C3E48">
      <w:start w:val="1"/>
      <w:numFmt w:val="decimal"/>
      <w:lvlText w:val="%1."/>
      <w:lvlJc w:val="left"/>
      <w:pPr>
        <w:ind w:left="2036" w:hanging="118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2">
    <w:nsid w:val="7F38534F"/>
    <w:multiLevelType w:val="multilevel"/>
    <w:tmpl w:val="670829F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FD202B4"/>
    <w:multiLevelType w:val="hybridMultilevel"/>
    <w:tmpl w:val="67909DF8"/>
    <w:lvl w:ilvl="0" w:tplc="050CF7D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29"/>
  </w:num>
  <w:num w:numId="2">
    <w:abstractNumId w:val="25"/>
  </w:num>
  <w:num w:numId="3">
    <w:abstractNumId w:val="35"/>
  </w:num>
  <w:num w:numId="4">
    <w:abstractNumId w:val="1"/>
  </w:num>
  <w:num w:numId="5">
    <w:abstractNumId w:val="37"/>
  </w:num>
  <w:num w:numId="6">
    <w:abstractNumId w:val="30"/>
  </w:num>
  <w:num w:numId="7">
    <w:abstractNumId w:val="10"/>
  </w:num>
  <w:num w:numId="8">
    <w:abstractNumId w:val="42"/>
  </w:num>
  <w:num w:numId="9">
    <w:abstractNumId w:val="32"/>
  </w:num>
  <w:num w:numId="10">
    <w:abstractNumId w:val="41"/>
  </w:num>
  <w:num w:numId="11">
    <w:abstractNumId w:val="21"/>
  </w:num>
  <w:num w:numId="12">
    <w:abstractNumId w:val="39"/>
  </w:num>
  <w:num w:numId="13">
    <w:abstractNumId w:val="27"/>
  </w:num>
  <w:num w:numId="14">
    <w:abstractNumId w:val="19"/>
  </w:num>
  <w:num w:numId="15">
    <w:abstractNumId w:val="17"/>
  </w:num>
  <w:num w:numId="16">
    <w:abstractNumId w:val="6"/>
  </w:num>
  <w:num w:numId="17">
    <w:abstractNumId w:val="23"/>
  </w:num>
  <w:num w:numId="18">
    <w:abstractNumId w:val="34"/>
  </w:num>
  <w:num w:numId="19">
    <w:abstractNumId w:val="31"/>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 w:numId="25">
    <w:abstractNumId w:val="13"/>
  </w:num>
  <w:num w:numId="26">
    <w:abstractNumId w:val="26"/>
  </w:num>
  <w:num w:numId="27">
    <w:abstractNumId w:val="1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
  </w:num>
  <w:num w:numId="31">
    <w:abstractNumId w:val="24"/>
  </w:num>
  <w:num w:numId="32">
    <w:abstractNumId w:val="22"/>
  </w:num>
  <w:num w:numId="33">
    <w:abstractNumId w:val="33"/>
  </w:num>
  <w:num w:numId="34">
    <w:abstractNumId w:val="43"/>
  </w:num>
  <w:num w:numId="35">
    <w:abstractNumId w:val="7"/>
  </w:num>
  <w:num w:numId="36">
    <w:abstractNumId w:val="36"/>
  </w:num>
  <w:num w:numId="37">
    <w:abstractNumId w:val="2"/>
  </w:num>
  <w:num w:numId="38">
    <w:abstractNumId w:val="3"/>
  </w:num>
  <w:num w:numId="39">
    <w:abstractNumId w:val="0"/>
  </w:num>
  <w:num w:numId="40">
    <w:abstractNumId w:val="40"/>
  </w:num>
  <w:num w:numId="41">
    <w:abstractNumId w:val="18"/>
  </w:num>
  <w:num w:numId="42">
    <w:abstractNumId w:val="12"/>
  </w:num>
  <w:num w:numId="43">
    <w:abstractNumId w:val="28"/>
  </w:num>
  <w:num w:numId="44">
    <w:abstractNumId w:val="5"/>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E2F3A"/>
    <w:rsid w:val="00000061"/>
    <w:rsid w:val="0000525E"/>
    <w:rsid w:val="00006F36"/>
    <w:rsid w:val="0000796C"/>
    <w:rsid w:val="00010494"/>
    <w:rsid w:val="00012DC5"/>
    <w:rsid w:val="000147EA"/>
    <w:rsid w:val="000148B8"/>
    <w:rsid w:val="00017692"/>
    <w:rsid w:val="00017CF7"/>
    <w:rsid w:val="00023F1B"/>
    <w:rsid w:val="00027CC1"/>
    <w:rsid w:val="00032395"/>
    <w:rsid w:val="000332AE"/>
    <w:rsid w:val="00034197"/>
    <w:rsid w:val="00035BFE"/>
    <w:rsid w:val="0003627B"/>
    <w:rsid w:val="000378DF"/>
    <w:rsid w:val="00040F5E"/>
    <w:rsid w:val="000412FF"/>
    <w:rsid w:val="00046FE9"/>
    <w:rsid w:val="000501C3"/>
    <w:rsid w:val="00054242"/>
    <w:rsid w:val="00062822"/>
    <w:rsid w:val="00070EB4"/>
    <w:rsid w:val="000721CC"/>
    <w:rsid w:val="00074AE1"/>
    <w:rsid w:val="000762AC"/>
    <w:rsid w:val="00083CF1"/>
    <w:rsid w:val="00084220"/>
    <w:rsid w:val="00090E73"/>
    <w:rsid w:val="000928F1"/>
    <w:rsid w:val="000934F4"/>
    <w:rsid w:val="000A305A"/>
    <w:rsid w:val="000A440A"/>
    <w:rsid w:val="000A585C"/>
    <w:rsid w:val="000B18F1"/>
    <w:rsid w:val="000B4503"/>
    <w:rsid w:val="000B6B29"/>
    <w:rsid w:val="000B74D2"/>
    <w:rsid w:val="000C16D2"/>
    <w:rsid w:val="000C692F"/>
    <w:rsid w:val="000C6FD4"/>
    <w:rsid w:val="000C7FA8"/>
    <w:rsid w:val="000D1BE1"/>
    <w:rsid w:val="000D39A6"/>
    <w:rsid w:val="000D50B7"/>
    <w:rsid w:val="000D621D"/>
    <w:rsid w:val="000E099E"/>
    <w:rsid w:val="000E29C8"/>
    <w:rsid w:val="000E67A4"/>
    <w:rsid w:val="000F17E0"/>
    <w:rsid w:val="000F2700"/>
    <w:rsid w:val="0010378F"/>
    <w:rsid w:val="0010467D"/>
    <w:rsid w:val="00105C2E"/>
    <w:rsid w:val="00105EC5"/>
    <w:rsid w:val="00107CD1"/>
    <w:rsid w:val="00112AEC"/>
    <w:rsid w:val="0011404F"/>
    <w:rsid w:val="001207A5"/>
    <w:rsid w:val="001221AD"/>
    <w:rsid w:val="00130319"/>
    <w:rsid w:val="001348C9"/>
    <w:rsid w:val="00140DC4"/>
    <w:rsid w:val="001421CB"/>
    <w:rsid w:val="00142D0E"/>
    <w:rsid w:val="00143D95"/>
    <w:rsid w:val="00143F97"/>
    <w:rsid w:val="00147102"/>
    <w:rsid w:val="00151C1B"/>
    <w:rsid w:val="00152AAF"/>
    <w:rsid w:val="001545D9"/>
    <w:rsid w:val="001548A5"/>
    <w:rsid w:val="00160A3C"/>
    <w:rsid w:val="001616C1"/>
    <w:rsid w:val="00164135"/>
    <w:rsid w:val="001664CD"/>
    <w:rsid w:val="00172410"/>
    <w:rsid w:val="001739FC"/>
    <w:rsid w:val="00176251"/>
    <w:rsid w:val="0017724F"/>
    <w:rsid w:val="00177384"/>
    <w:rsid w:val="00180B6A"/>
    <w:rsid w:val="00180BA7"/>
    <w:rsid w:val="00183AB7"/>
    <w:rsid w:val="00186DB7"/>
    <w:rsid w:val="001952A5"/>
    <w:rsid w:val="00195D94"/>
    <w:rsid w:val="001A370A"/>
    <w:rsid w:val="001A4B3C"/>
    <w:rsid w:val="001A59DD"/>
    <w:rsid w:val="001A624A"/>
    <w:rsid w:val="001B1DA6"/>
    <w:rsid w:val="001C2D8B"/>
    <w:rsid w:val="001C3F12"/>
    <w:rsid w:val="001C3F59"/>
    <w:rsid w:val="001C4100"/>
    <w:rsid w:val="001D029C"/>
    <w:rsid w:val="001D2FD7"/>
    <w:rsid w:val="001D508D"/>
    <w:rsid w:val="001D570D"/>
    <w:rsid w:val="001D60D8"/>
    <w:rsid w:val="001D652B"/>
    <w:rsid w:val="001D686F"/>
    <w:rsid w:val="001E04E0"/>
    <w:rsid w:val="001E2A51"/>
    <w:rsid w:val="001E2C84"/>
    <w:rsid w:val="001E2F3A"/>
    <w:rsid w:val="001E3313"/>
    <w:rsid w:val="001E361C"/>
    <w:rsid w:val="001E5A54"/>
    <w:rsid w:val="001F0C48"/>
    <w:rsid w:val="001F1545"/>
    <w:rsid w:val="001F1761"/>
    <w:rsid w:val="001F1D77"/>
    <w:rsid w:val="001F28E6"/>
    <w:rsid w:val="0020111B"/>
    <w:rsid w:val="0020166A"/>
    <w:rsid w:val="00213D3B"/>
    <w:rsid w:val="00217CB1"/>
    <w:rsid w:val="00220E35"/>
    <w:rsid w:val="00224274"/>
    <w:rsid w:val="002259A9"/>
    <w:rsid w:val="0023096D"/>
    <w:rsid w:val="002324F3"/>
    <w:rsid w:val="0023337F"/>
    <w:rsid w:val="00235700"/>
    <w:rsid w:val="00235736"/>
    <w:rsid w:val="0024110B"/>
    <w:rsid w:val="002438CE"/>
    <w:rsid w:val="002439EE"/>
    <w:rsid w:val="002458EE"/>
    <w:rsid w:val="002504AF"/>
    <w:rsid w:val="00253F9C"/>
    <w:rsid w:val="00255700"/>
    <w:rsid w:val="00261398"/>
    <w:rsid w:val="00263EBE"/>
    <w:rsid w:val="0026453B"/>
    <w:rsid w:val="00270B34"/>
    <w:rsid w:val="00276D71"/>
    <w:rsid w:val="00280CC6"/>
    <w:rsid w:val="002819B1"/>
    <w:rsid w:val="002830B9"/>
    <w:rsid w:val="00285D13"/>
    <w:rsid w:val="002914E6"/>
    <w:rsid w:val="0029167D"/>
    <w:rsid w:val="00292835"/>
    <w:rsid w:val="00293D39"/>
    <w:rsid w:val="00297BEB"/>
    <w:rsid w:val="002A48A3"/>
    <w:rsid w:val="002A612D"/>
    <w:rsid w:val="002A7EF1"/>
    <w:rsid w:val="002B00AA"/>
    <w:rsid w:val="002B0BD0"/>
    <w:rsid w:val="002B1354"/>
    <w:rsid w:val="002B2A01"/>
    <w:rsid w:val="002C0479"/>
    <w:rsid w:val="002C11CD"/>
    <w:rsid w:val="002C4E0B"/>
    <w:rsid w:val="002C4ECA"/>
    <w:rsid w:val="002C5CDE"/>
    <w:rsid w:val="002C622E"/>
    <w:rsid w:val="002D411E"/>
    <w:rsid w:val="002D4332"/>
    <w:rsid w:val="002D4FAA"/>
    <w:rsid w:val="002E1300"/>
    <w:rsid w:val="002E18BC"/>
    <w:rsid w:val="002E236D"/>
    <w:rsid w:val="002E568F"/>
    <w:rsid w:val="002E7AB8"/>
    <w:rsid w:val="002F2817"/>
    <w:rsid w:val="002F3BEF"/>
    <w:rsid w:val="002F536F"/>
    <w:rsid w:val="0030153C"/>
    <w:rsid w:val="003015F7"/>
    <w:rsid w:val="00305727"/>
    <w:rsid w:val="00305EFC"/>
    <w:rsid w:val="0030723C"/>
    <w:rsid w:val="003077F8"/>
    <w:rsid w:val="00307F2E"/>
    <w:rsid w:val="003130C2"/>
    <w:rsid w:val="0032339C"/>
    <w:rsid w:val="003242EA"/>
    <w:rsid w:val="00341EF2"/>
    <w:rsid w:val="003432E9"/>
    <w:rsid w:val="00344695"/>
    <w:rsid w:val="00347D4D"/>
    <w:rsid w:val="00355E2E"/>
    <w:rsid w:val="00357A13"/>
    <w:rsid w:val="003636AB"/>
    <w:rsid w:val="00363C2A"/>
    <w:rsid w:val="00363DBC"/>
    <w:rsid w:val="0036520C"/>
    <w:rsid w:val="00365782"/>
    <w:rsid w:val="003729EA"/>
    <w:rsid w:val="003773C6"/>
    <w:rsid w:val="00381971"/>
    <w:rsid w:val="00386595"/>
    <w:rsid w:val="00387317"/>
    <w:rsid w:val="00387530"/>
    <w:rsid w:val="0039009E"/>
    <w:rsid w:val="00390F57"/>
    <w:rsid w:val="0039267F"/>
    <w:rsid w:val="00392A3A"/>
    <w:rsid w:val="003A0D39"/>
    <w:rsid w:val="003A327A"/>
    <w:rsid w:val="003A3DF9"/>
    <w:rsid w:val="003A420D"/>
    <w:rsid w:val="003A546A"/>
    <w:rsid w:val="003A56B6"/>
    <w:rsid w:val="003B130B"/>
    <w:rsid w:val="003B1F2D"/>
    <w:rsid w:val="003C0C78"/>
    <w:rsid w:val="003C1BA7"/>
    <w:rsid w:val="003C532A"/>
    <w:rsid w:val="003D1617"/>
    <w:rsid w:val="003D76ED"/>
    <w:rsid w:val="003D7E1F"/>
    <w:rsid w:val="003E3032"/>
    <w:rsid w:val="003E6421"/>
    <w:rsid w:val="003F1654"/>
    <w:rsid w:val="003F5FA1"/>
    <w:rsid w:val="00402C94"/>
    <w:rsid w:val="004047E0"/>
    <w:rsid w:val="00410870"/>
    <w:rsid w:val="00417591"/>
    <w:rsid w:val="004221BA"/>
    <w:rsid w:val="00423C85"/>
    <w:rsid w:val="00424245"/>
    <w:rsid w:val="00425EFE"/>
    <w:rsid w:val="004331B1"/>
    <w:rsid w:val="00433924"/>
    <w:rsid w:val="00437C60"/>
    <w:rsid w:val="004417AF"/>
    <w:rsid w:val="00442728"/>
    <w:rsid w:val="00444AA2"/>
    <w:rsid w:val="00445201"/>
    <w:rsid w:val="00447143"/>
    <w:rsid w:val="0044734B"/>
    <w:rsid w:val="0044736D"/>
    <w:rsid w:val="004503D8"/>
    <w:rsid w:val="004513C7"/>
    <w:rsid w:val="00453D71"/>
    <w:rsid w:val="0045450B"/>
    <w:rsid w:val="00462C4A"/>
    <w:rsid w:val="004637E6"/>
    <w:rsid w:val="00465392"/>
    <w:rsid w:val="0046632D"/>
    <w:rsid w:val="00470115"/>
    <w:rsid w:val="004717EF"/>
    <w:rsid w:val="00471C30"/>
    <w:rsid w:val="00475BD5"/>
    <w:rsid w:val="004771EF"/>
    <w:rsid w:val="00481809"/>
    <w:rsid w:val="0048202B"/>
    <w:rsid w:val="00484380"/>
    <w:rsid w:val="0048456C"/>
    <w:rsid w:val="00486887"/>
    <w:rsid w:val="00486D4E"/>
    <w:rsid w:val="004922BD"/>
    <w:rsid w:val="004925CC"/>
    <w:rsid w:val="00492AA7"/>
    <w:rsid w:val="004950B5"/>
    <w:rsid w:val="004A1ACD"/>
    <w:rsid w:val="004A46FB"/>
    <w:rsid w:val="004A47DB"/>
    <w:rsid w:val="004B2909"/>
    <w:rsid w:val="004B6A43"/>
    <w:rsid w:val="004B756C"/>
    <w:rsid w:val="004C2EC4"/>
    <w:rsid w:val="004C37AE"/>
    <w:rsid w:val="004C40A1"/>
    <w:rsid w:val="004C59F9"/>
    <w:rsid w:val="004C69C4"/>
    <w:rsid w:val="004C7463"/>
    <w:rsid w:val="004D02B1"/>
    <w:rsid w:val="004D379D"/>
    <w:rsid w:val="004D389A"/>
    <w:rsid w:val="004D3B05"/>
    <w:rsid w:val="004D7C66"/>
    <w:rsid w:val="004E1806"/>
    <w:rsid w:val="004E729E"/>
    <w:rsid w:val="004F7336"/>
    <w:rsid w:val="004F79D5"/>
    <w:rsid w:val="005021BC"/>
    <w:rsid w:val="00506040"/>
    <w:rsid w:val="0051305F"/>
    <w:rsid w:val="00516109"/>
    <w:rsid w:val="005175F0"/>
    <w:rsid w:val="005177B6"/>
    <w:rsid w:val="00520421"/>
    <w:rsid w:val="005204E5"/>
    <w:rsid w:val="0052118A"/>
    <w:rsid w:val="00521EBF"/>
    <w:rsid w:val="00523D04"/>
    <w:rsid w:val="00535EA1"/>
    <w:rsid w:val="00536EE8"/>
    <w:rsid w:val="00540D7D"/>
    <w:rsid w:val="00541433"/>
    <w:rsid w:val="00544C0B"/>
    <w:rsid w:val="0054539C"/>
    <w:rsid w:val="00545B9E"/>
    <w:rsid w:val="00550354"/>
    <w:rsid w:val="00550F06"/>
    <w:rsid w:val="00552EAB"/>
    <w:rsid w:val="0055483C"/>
    <w:rsid w:val="00560043"/>
    <w:rsid w:val="00561EDD"/>
    <w:rsid w:val="00564A0D"/>
    <w:rsid w:val="00571723"/>
    <w:rsid w:val="0057300A"/>
    <w:rsid w:val="00576C2F"/>
    <w:rsid w:val="00577634"/>
    <w:rsid w:val="005829AE"/>
    <w:rsid w:val="00586E24"/>
    <w:rsid w:val="00590163"/>
    <w:rsid w:val="00590A51"/>
    <w:rsid w:val="00593141"/>
    <w:rsid w:val="00596906"/>
    <w:rsid w:val="005A14F5"/>
    <w:rsid w:val="005B1AC6"/>
    <w:rsid w:val="005B1F66"/>
    <w:rsid w:val="005C17BF"/>
    <w:rsid w:val="005C1802"/>
    <w:rsid w:val="005C4712"/>
    <w:rsid w:val="005C4C5C"/>
    <w:rsid w:val="005C50D5"/>
    <w:rsid w:val="005C5266"/>
    <w:rsid w:val="005C5620"/>
    <w:rsid w:val="005C5813"/>
    <w:rsid w:val="005C6E44"/>
    <w:rsid w:val="005C763C"/>
    <w:rsid w:val="005D2E5B"/>
    <w:rsid w:val="005D4A4B"/>
    <w:rsid w:val="005D4CF5"/>
    <w:rsid w:val="005D6BDC"/>
    <w:rsid w:val="005E3820"/>
    <w:rsid w:val="005E3BA1"/>
    <w:rsid w:val="005E5489"/>
    <w:rsid w:val="005E5B92"/>
    <w:rsid w:val="005E5B94"/>
    <w:rsid w:val="005E7974"/>
    <w:rsid w:val="005F1CF9"/>
    <w:rsid w:val="005F306A"/>
    <w:rsid w:val="005F3B49"/>
    <w:rsid w:val="005F3FD8"/>
    <w:rsid w:val="005F7C94"/>
    <w:rsid w:val="00600F93"/>
    <w:rsid w:val="006019BC"/>
    <w:rsid w:val="00603160"/>
    <w:rsid w:val="006064B8"/>
    <w:rsid w:val="00610743"/>
    <w:rsid w:val="00610A18"/>
    <w:rsid w:val="00616CF6"/>
    <w:rsid w:val="00620F14"/>
    <w:rsid w:val="00621D5C"/>
    <w:rsid w:val="006224E1"/>
    <w:rsid w:val="00631486"/>
    <w:rsid w:val="00631DC5"/>
    <w:rsid w:val="006345DE"/>
    <w:rsid w:val="00635D88"/>
    <w:rsid w:val="00636668"/>
    <w:rsid w:val="006409AA"/>
    <w:rsid w:val="006409EE"/>
    <w:rsid w:val="00640E3E"/>
    <w:rsid w:val="00643487"/>
    <w:rsid w:val="00644229"/>
    <w:rsid w:val="00644362"/>
    <w:rsid w:val="00645269"/>
    <w:rsid w:val="00646661"/>
    <w:rsid w:val="00647606"/>
    <w:rsid w:val="00647C62"/>
    <w:rsid w:val="006525EC"/>
    <w:rsid w:val="0065582F"/>
    <w:rsid w:val="006572D4"/>
    <w:rsid w:val="0065748B"/>
    <w:rsid w:val="006579E1"/>
    <w:rsid w:val="00661226"/>
    <w:rsid w:val="006653DA"/>
    <w:rsid w:val="006657F9"/>
    <w:rsid w:val="006661DA"/>
    <w:rsid w:val="00666525"/>
    <w:rsid w:val="00667B69"/>
    <w:rsid w:val="00667DBD"/>
    <w:rsid w:val="006707CE"/>
    <w:rsid w:val="00671A63"/>
    <w:rsid w:val="006768A4"/>
    <w:rsid w:val="006778EE"/>
    <w:rsid w:val="00680999"/>
    <w:rsid w:val="00683F2B"/>
    <w:rsid w:val="006846CE"/>
    <w:rsid w:val="006854D7"/>
    <w:rsid w:val="00686751"/>
    <w:rsid w:val="00690C75"/>
    <w:rsid w:val="00694A6A"/>
    <w:rsid w:val="006974FC"/>
    <w:rsid w:val="006A0758"/>
    <w:rsid w:val="006A08DD"/>
    <w:rsid w:val="006A3888"/>
    <w:rsid w:val="006A6B6F"/>
    <w:rsid w:val="006B32EA"/>
    <w:rsid w:val="006B5340"/>
    <w:rsid w:val="006C3708"/>
    <w:rsid w:val="006C3C9A"/>
    <w:rsid w:val="006C7222"/>
    <w:rsid w:val="006D27CD"/>
    <w:rsid w:val="006D2CD6"/>
    <w:rsid w:val="006D54A3"/>
    <w:rsid w:val="006D5D33"/>
    <w:rsid w:val="006D6414"/>
    <w:rsid w:val="006D6B05"/>
    <w:rsid w:val="006E3561"/>
    <w:rsid w:val="006E5C91"/>
    <w:rsid w:val="006E79F6"/>
    <w:rsid w:val="006F24EF"/>
    <w:rsid w:val="006F3D62"/>
    <w:rsid w:val="006F6B03"/>
    <w:rsid w:val="006F6B62"/>
    <w:rsid w:val="006F7789"/>
    <w:rsid w:val="007224FE"/>
    <w:rsid w:val="007273D6"/>
    <w:rsid w:val="007312DF"/>
    <w:rsid w:val="0073468C"/>
    <w:rsid w:val="00743679"/>
    <w:rsid w:val="007440A5"/>
    <w:rsid w:val="007452B1"/>
    <w:rsid w:val="00747046"/>
    <w:rsid w:val="00752DA8"/>
    <w:rsid w:val="0075426B"/>
    <w:rsid w:val="00761B4D"/>
    <w:rsid w:val="0076250F"/>
    <w:rsid w:val="00765FB8"/>
    <w:rsid w:val="007668B6"/>
    <w:rsid w:val="00773925"/>
    <w:rsid w:val="007740C4"/>
    <w:rsid w:val="00775A5A"/>
    <w:rsid w:val="007764A3"/>
    <w:rsid w:val="007839C8"/>
    <w:rsid w:val="00791C59"/>
    <w:rsid w:val="00792BC1"/>
    <w:rsid w:val="00794A41"/>
    <w:rsid w:val="0079651F"/>
    <w:rsid w:val="0079765E"/>
    <w:rsid w:val="007A0F12"/>
    <w:rsid w:val="007A1A34"/>
    <w:rsid w:val="007A3440"/>
    <w:rsid w:val="007A4590"/>
    <w:rsid w:val="007B11DD"/>
    <w:rsid w:val="007B1B06"/>
    <w:rsid w:val="007B5105"/>
    <w:rsid w:val="007B7EC7"/>
    <w:rsid w:val="007C1784"/>
    <w:rsid w:val="007D002F"/>
    <w:rsid w:val="007D1813"/>
    <w:rsid w:val="007D1A25"/>
    <w:rsid w:val="007D28B3"/>
    <w:rsid w:val="007D70FE"/>
    <w:rsid w:val="007D72F0"/>
    <w:rsid w:val="007D72F1"/>
    <w:rsid w:val="007D750E"/>
    <w:rsid w:val="007E0BAE"/>
    <w:rsid w:val="007E7DD9"/>
    <w:rsid w:val="007F5592"/>
    <w:rsid w:val="007F78D4"/>
    <w:rsid w:val="00800897"/>
    <w:rsid w:val="00801E5C"/>
    <w:rsid w:val="00810237"/>
    <w:rsid w:val="0081097E"/>
    <w:rsid w:val="0081409D"/>
    <w:rsid w:val="00820A16"/>
    <w:rsid w:val="00821090"/>
    <w:rsid w:val="00821BA7"/>
    <w:rsid w:val="00830EFE"/>
    <w:rsid w:val="00831CEE"/>
    <w:rsid w:val="0083354D"/>
    <w:rsid w:val="00834307"/>
    <w:rsid w:val="00850224"/>
    <w:rsid w:val="00854D84"/>
    <w:rsid w:val="00862236"/>
    <w:rsid w:val="008642F0"/>
    <w:rsid w:val="00864E99"/>
    <w:rsid w:val="00873461"/>
    <w:rsid w:val="00873877"/>
    <w:rsid w:val="008803A2"/>
    <w:rsid w:val="00880C67"/>
    <w:rsid w:val="00882C26"/>
    <w:rsid w:val="0088332B"/>
    <w:rsid w:val="0088558E"/>
    <w:rsid w:val="00885EE0"/>
    <w:rsid w:val="00886C89"/>
    <w:rsid w:val="00887C3C"/>
    <w:rsid w:val="00893648"/>
    <w:rsid w:val="00893F09"/>
    <w:rsid w:val="00895AA5"/>
    <w:rsid w:val="00896641"/>
    <w:rsid w:val="008A5646"/>
    <w:rsid w:val="008A5897"/>
    <w:rsid w:val="008B5D6B"/>
    <w:rsid w:val="008B6866"/>
    <w:rsid w:val="008B77C1"/>
    <w:rsid w:val="008C0084"/>
    <w:rsid w:val="008C309D"/>
    <w:rsid w:val="008C4280"/>
    <w:rsid w:val="008C59B2"/>
    <w:rsid w:val="008D0303"/>
    <w:rsid w:val="008D66F6"/>
    <w:rsid w:val="008D6884"/>
    <w:rsid w:val="008E1B1E"/>
    <w:rsid w:val="008E3CC8"/>
    <w:rsid w:val="008E5D5C"/>
    <w:rsid w:val="008E6EF9"/>
    <w:rsid w:val="008F077B"/>
    <w:rsid w:val="008F53F7"/>
    <w:rsid w:val="008F62E8"/>
    <w:rsid w:val="009140A9"/>
    <w:rsid w:val="00920861"/>
    <w:rsid w:val="00920999"/>
    <w:rsid w:val="00923149"/>
    <w:rsid w:val="00924375"/>
    <w:rsid w:val="00925D35"/>
    <w:rsid w:val="0092615C"/>
    <w:rsid w:val="0092738E"/>
    <w:rsid w:val="00927AAC"/>
    <w:rsid w:val="0093207F"/>
    <w:rsid w:val="009347AA"/>
    <w:rsid w:val="0094123E"/>
    <w:rsid w:val="00945A94"/>
    <w:rsid w:val="009466C0"/>
    <w:rsid w:val="00946B14"/>
    <w:rsid w:val="00947BAF"/>
    <w:rsid w:val="009518A4"/>
    <w:rsid w:val="00954B90"/>
    <w:rsid w:val="00956271"/>
    <w:rsid w:val="00956ABF"/>
    <w:rsid w:val="00957D75"/>
    <w:rsid w:val="00957EB3"/>
    <w:rsid w:val="00962413"/>
    <w:rsid w:val="00962913"/>
    <w:rsid w:val="009650BA"/>
    <w:rsid w:val="00976C72"/>
    <w:rsid w:val="00977B07"/>
    <w:rsid w:val="00980D3E"/>
    <w:rsid w:val="00984EAE"/>
    <w:rsid w:val="00996E51"/>
    <w:rsid w:val="00997D6C"/>
    <w:rsid w:val="009A2AEA"/>
    <w:rsid w:val="009A637B"/>
    <w:rsid w:val="009A6DEA"/>
    <w:rsid w:val="009B086D"/>
    <w:rsid w:val="009B2EB9"/>
    <w:rsid w:val="009B4786"/>
    <w:rsid w:val="009B6184"/>
    <w:rsid w:val="009B7DB2"/>
    <w:rsid w:val="009C4ADC"/>
    <w:rsid w:val="009C6EF0"/>
    <w:rsid w:val="009D0F68"/>
    <w:rsid w:val="009D33DC"/>
    <w:rsid w:val="009D678B"/>
    <w:rsid w:val="009D7563"/>
    <w:rsid w:val="009E0F09"/>
    <w:rsid w:val="009E2B1A"/>
    <w:rsid w:val="009E47C0"/>
    <w:rsid w:val="009E5985"/>
    <w:rsid w:val="009E68DA"/>
    <w:rsid w:val="009F27EF"/>
    <w:rsid w:val="009F66B4"/>
    <w:rsid w:val="009F72B7"/>
    <w:rsid w:val="009F74B7"/>
    <w:rsid w:val="00A0240D"/>
    <w:rsid w:val="00A02D5F"/>
    <w:rsid w:val="00A044AF"/>
    <w:rsid w:val="00A056AA"/>
    <w:rsid w:val="00A06BA6"/>
    <w:rsid w:val="00A10D7E"/>
    <w:rsid w:val="00A1397B"/>
    <w:rsid w:val="00A157D4"/>
    <w:rsid w:val="00A30284"/>
    <w:rsid w:val="00A307FA"/>
    <w:rsid w:val="00A359BA"/>
    <w:rsid w:val="00A42D3C"/>
    <w:rsid w:val="00A430CD"/>
    <w:rsid w:val="00A45F44"/>
    <w:rsid w:val="00A5332F"/>
    <w:rsid w:val="00A61304"/>
    <w:rsid w:val="00A61FD0"/>
    <w:rsid w:val="00A64348"/>
    <w:rsid w:val="00A6468D"/>
    <w:rsid w:val="00A6595C"/>
    <w:rsid w:val="00A66D51"/>
    <w:rsid w:val="00A671A9"/>
    <w:rsid w:val="00A67364"/>
    <w:rsid w:val="00A71A88"/>
    <w:rsid w:val="00A8024F"/>
    <w:rsid w:val="00A81903"/>
    <w:rsid w:val="00A91977"/>
    <w:rsid w:val="00A95CE4"/>
    <w:rsid w:val="00AA169F"/>
    <w:rsid w:val="00AA566F"/>
    <w:rsid w:val="00AA61C6"/>
    <w:rsid w:val="00AA7FD7"/>
    <w:rsid w:val="00AB0946"/>
    <w:rsid w:val="00AB2EC6"/>
    <w:rsid w:val="00AC62EE"/>
    <w:rsid w:val="00AD146E"/>
    <w:rsid w:val="00AD3B43"/>
    <w:rsid w:val="00AD40BC"/>
    <w:rsid w:val="00AD570B"/>
    <w:rsid w:val="00AD65F5"/>
    <w:rsid w:val="00AE00A3"/>
    <w:rsid w:val="00AE0245"/>
    <w:rsid w:val="00AE149D"/>
    <w:rsid w:val="00AE327C"/>
    <w:rsid w:val="00AE3428"/>
    <w:rsid w:val="00AE553D"/>
    <w:rsid w:val="00AE61C4"/>
    <w:rsid w:val="00AE6BD1"/>
    <w:rsid w:val="00AF0762"/>
    <w:rsid w:val="00AF32F2"/>
    <w:rsid w:val="00AF387D"/>
    <w:rsid w:val="00AF4F87"/>
    <w:rsid w:val="00B00BA4"/>
    <w:rsid w:val="00B012E5"/>
    <w:rsid w:val="00B01C7E"/>
    <w:rsid w:val="00B034E9"/>
    <w:rsid w:val="00B11233"/>
    <w:rsid w:val="00B14260"/>
    <w:rsid w:val="00B17FDD"/>
    <w:rsid w:val="00B202A2"/>
    <w:rsid w:val="00B20C91"/>
    <w:rsid w:val="00B21D39"/>
    <w:rsid w:val="00B22B64"/>
    <w:rsid w:val="00B32FD1"/>
    <w:rsid w:val="00B40CC8"/>
    <w:rsid w:val="00B45550"/>
    <w:rsid w:val="00B5132E"/>
    <w:rsid w:val="00B5466C"/>
    <w:rsid w:val="00B552A7"/>
    <w:rsid w:val="00B56AB3"/>
    <w:rsid w:val="00B6388A"/>
    <w:rsid w:val="00B648D3"/>
    <w:rsid w:val="00B6557B"/>
    <w:rsid w:val="00B73BD9"/>
    <w:rsid w:val="00B745E6"/>
    <w:rsid w:val="00B754CA"/>
    <w:rsid w:val="00B76818"/>
    <w:rsid w:val="00B77D8F"/>
    <w:rsid w:val="00B8181D"/>
    <w:rsid w:val="00B83032"/>
    <w:rsid w:val="00B8488F"/>
    <w:rsid w:val="00B959E2"/>
    <w:rsid w:val="00B9629D"/>
    <w:rsid w:val="00BA1558"/>
    <w:rsid w:val="00BA5A96"/>
    <w:rsid w:val="00BA77BA"/>
    <w:rsid w:val="00BB2A05"/>
    <w:rsid w:val="00BB2A7F"/>
    <w:rsid w:val="00BB3069"/>
    <w:rsid w:val="00BB3688"/>
    <w:rsid w:val="00BB3F2F"/>
    <w:rsid w:val="00BB4A9E"/>
    <w:rsid w:val="00BB4B69"/>
    <w:rsid w:val="00BB599C"/>
    <w:rsid w:val="00BC192F"/>
    <w:rsid w:val="00BC194C"/>
    <w:rsid w:val="00BC2796"/>
    <w:rsid w:val="00BD50E0"/>
    <w:rsid w:val="00BE2E26"/>
    <w:rsid w:val="00BE4E04"/>
    <w:rsid w:val="00BE7703"/>
    <w:rsid w:val="00BF04D2"/>
    <w:rsid w:val="00BF0CAF"/>
    <w:rsid w:val="00BF1702"/>
    <w:rsid w:val="00BF27F5"/>
    <w:rsid w:val="00BF5748"/>
    <w:rsid w:val="00C06FEE"/>
    <w:rsid w:val="00C102BE"/>
    <w:rsid w:val="00C11FA3"/>
    <w:rsid w:val="00C14C04"/>
    <w:rsid w:val="00C167FB"/>
    <w:rsid w:val="00C16B08"/>
    <w:rsid w:val="00C2220E"/>
    <w:rsid w:val="00C314AE"/>
    <w:rsid w:val="00C35399"/>
    <w:rsid w:val="00C36957"/>
    <w:rsid w:val="00C37B5C"/>
    <w:rsid w:val="00C41FFC"/>
    <w:rsid w:val="00C43563"/>
    <w:rsid w:val="00C437B5"/>
    <w:rsid w:val="00C46646"/>
    <w:rsid w:val="00C523AC"/>
    <w:rsid w:val="00C533F6"/>
    <w:rsid w:val="00C535BC"/>
    <w:rsid w:val="00C553D6"/>
    <w:rsid w:val="00C646E5"/>
    <w:rsid w:val="00C660F5"/>
    <w:rsid w:val="00C66A70"/>
    <w:rsid w:val="00C7154F"/>
    <w:rsid w:val="00C74806"/>
    <w:rsid w:val="00C83853"/>
    <w:rsid w:val="00C844F0"/>
    <w:rsid w:val="00C853C4"/>
    <w:rsid w:val="00C9612C"/>
    <w:rsid w:val="00C978BD"/>
    <w:rsid w:val="00CA3263"/>
    <w:rsid w:val="00CA3B00"/>
    <w:rsid w:val="00CA6091"/>
    <w:rsid w:val="00CB1511"/>
    <w:rsid w:val="00CB6DB1"/>
    <w:rsid w:val="00CB7510"/>
    <w:rsid w:val="00CC2364"/>
    <w:rsid w:val="00CC40E5"/>
    <w:rsid w:val="00CC4DD4"/>
    <w:rsid w:val="00CC5688"/>
    <w:rsid w:val="00CD0079"/>
    <w:rsid w:val="00CD2921"/>
    <w:rsid w:val="00CD757B"/>
    <w:rsid w:val="00CE044C"/>
    <w:rsid w:val="00CE0B11"/>
    <w:rsid w:val="00CE2355"/>
    <w:rsid w:val="00CE2909"/>
    <w:rsid w:val="00CF1FBD"/>
    <w:rsid w:val="00CF2B46"/>
    <w:rsid w:val="00CF2FD1"/>
    <w:rsid w:val="00CF3C15"/>
    <w:rsid w:val="00CF4388"/>
    <w:rsid w:val="00CF4B8C"/>
    <w:rsid w:val="00CF5727"/>
    <w:rsid w:val="00CF7859"/>
    <w:rsid w:val="00D007E3"/>
    <w:rsid w:val="00D02AB0"/>
    <w:rsid w:val="00D03EAB"/>
    <w:rsid w:val="00D074BF"/>
    <w:rsid w:val="00D1079B"/>
    <w:rsid w:val="00D111AA"/>
    <w:rsid w:val="00D14B2B"/>
    <w:rsid w:val="00D15A2B"/>
    <w:rsid w:val="00D211BA"/>
    <w:rsid w:val="00D25C93"/>
    <w:rsid w:val="00D30450"/>
    <w:rsid w:val="00D325A3"/>
    <w:rsid w:val="00D332B8"/>
    <w:rsid w:val="00D36148"/>
    <w:rsid w:val="00D37703"/>
    <w:rsid w:val="00D43287"/>
    <w:rsid w:val="00D43AA6"/>
    <w:rsid w:val="00D501AA"/>
    <w:rsid w:val="00D55ABC"/>
    <w:rsid w:val="00D55F96"/>
    <w:rsid w:val="00D61720"/>
    <w:rsid w:val="00D63A76"/>
    <w:rsid w:val="00D65F55"/>
    <w:rsid w:val="00D777D9"/>
    <w:rsid w:val="00D828EF"/>
    <w:rsid w:val="00D8293C"/>
    <w:rsid w:val="00D82A1E"/>
    <w:rsid w:val="00D832F6"/>
    <w:rsid w:val="00D936ED"/>
    <w:rsid w:val="00D95A87"/>
    <w:rsid w:val="00DA0E07"/>
    <w:rsid w:val="00DA1627"/>
    <w:rsid w:val="00DA4298"/>
    <w:rsid w:val="00DA782D"/>
    <w:rsid w:val="00DB5FC3"/>
    <w:rsid w:val="00DB6661"/>
    <w:rsid w:val="00DC17D8"/>
    <w:rsid w:val="00DC1818"/>
    <w:rsid w:val="00DC1B03"/>
    <w:rsid w:val="00DC3862"/>
    <w:rsid w:val="00DC56C5"/>
    <w:rsid w:val="00DC6569"/>
    <w:rsid w:val="00DC6A54"/>
    <w:rsid w:val="00DC71BD"/>
    <w:rsid w:val="00DD13C9"/>
    <w:rsid w:val="00DD1FD6"/>
    <w:rsid w:val="00DD694B"/>
    <w:rsid w:val="00DE00CD"/>
    <w:rsid w:val="00DE7D0A"/>
    <w:rsid w:val="00DF099B"/>
    <w:rsid w:val="00DF6E17"/>
    <w:rsid w:val="00E019B7"/>
    <w:rsid w:val="00E05E98"/>
    <w:rsid w:val="00E071BD"/>
    <w:rsid w:val="00E07E15"/>
    <w:rsid w:val="00E12C65"/>
    <w:rsid w:val="00E14384"/>
    <w:rsid w:val="00E171B8"/>
    <w:rsid w:val="00E17C70"/>
    <w:rsid w:val="00E21F8B"/>
    <w:rsid w:val="00E326A9"/>
    <w:rsid w:val="00E35879"/>
    <w:rsid w:val="00E36852"/>
    <w:rsid w:val="00E42782"/>
    <w:rsid w:val="00E4448B"/>
    <w:rsid w:val="00E45846"/>
    <w:rsid w:val="00E5413F"/>
    <w:rsid w:val="00E55BB7"/>
    <w:rsid w:val="00E55C39"/>
    <w:rsid w:val="00E571BB"/>
    <w:rsid w:val="00E60733"/>
    <w:rsid w:val="00E6170A"/>
    <w:rsid w:val="00E64F04"/>
    <w:rsid w:val="00E65AE1"/>
    <w:rsid w:val="00E65C83"/>
    <w:rsid w:val="00E74734"/>
    <w:rsid w:val="00E91118"/>
    <w:rsid w:val="00E931E2"/>
    <w:rsid w:val="00E93604"/>
    <w:rsid w:val="00E94445"/>
    <w:rsid w:val="00EA0FE4"/>
    <w:rsid w:val="00EA1798"/>
    <w:rsid w:val="00EA17B3"/>
    <w:rsid w:val="00EA3489"/>
    <w:rsid w:val="00EA70E4"/>
    <w:rsid w:val="00EB31A7"/>
    <w:rsid w:val="00EB598A"/>
    <w:rsid w:val="00EB6BE0"/>
    <w:rsid w:val="00EC1A9B"/>
    <w:rsid w:val="00EC5375"/>
    <w:rsid w:val="00ED1BF0"/>
    <w:rsid w:val="00ED30BC"/>
    <w:rsid w:val="00ED4A67"/>
    <w:rsid w:val="00ED7869"/>
    <w:rsid w:val="00ED78FA"/>
    <w:rsid w:val="00EE13B0"/>
    <w:rsid w:val="00EE1EBC"/>
    <w:rsid w:val="00EE3ADB"/>
    <w:rsid w:val="00EE4B34"/>
    <w:rsid w:val="00EE5C73"/>
    <w:rsid w:val="00EF1763"/>
    <w:rsid w:val="00EF1E33"/>
    <w:rsid w:val="00EF2F30"/>
    <w:rsid w:val="00EF2FDC"/>
    <w:rsid w:val="00EF6FAC"/>
    <w:rsid w:val="00F03E8A"/>
    <w:rsid w:val="00F107E4"/>
    <w:rsid w:val="00F13219"/>
    <w:rsid w:val="00F1408C"/>
    <w:rsid w:val="00F170A6"/>
    <w:rsid w:val="00F20A30"/>
    <w:rsid w:val="00F21A3D"/>
    <w:rsid w:val="00F23677"/>
    <w:rsid w:val="00F25BB3"/>
    <w:rsid w:val="00F30C84"/>
    <w:rsid w:val="00F334F1"/>
    <w:rsid w:val="00F34CA5"/>
    <w:rsid w:val="00F37698"/>
    <w:rsid w:val="00F41C7C"/>
    <w:rsid w:val="00F426C5"/>
    <w:rsid w:val="00F43535"/>
    <w:rsid w:val="00F43FC4"/>
    <w:rsid w:val="00F45C01"/>
    <w:rsid w:val="00F53617"/>
    <w:rsid w:val="00F561A4"/>
    <w:rsid w:val="00F6260D"/>
    <w:rsid w:val="00F63952"/>
    <w:rsid w:val="00F663AF"/>
    <w:rsid w:val="00F723A8"/>
    <w:rsid w:val="00F7425A"/>
    <w:rsid w:val="00F74F92"/>
    <w:rsid w:val="00F7639A"/>
    <w:rsid w:val="00F7768E"/>
    <w:rsid w:val="00F80E44"/>
    <w:rsid w:val="00F81401"/>
    <w:rsid w:val="00F85B18"/>
    <w:rsid w:val="00F92079"/>
    <w:rsid w:val="00F94A5C"/>
    <w:rsid w:val="00F94C61"/>
    <w:rsid w:val="00F94C91"/>
    <w:rsid w:val="00F9502D"/>
    <w:rsid w:val="00FA3890"/>
    <w:rsid w:val="00FB2A1B"/>
    <w:rsid w:val="00FB5C72"/>
    <w:rsid w:val="00FB5CD7"/>
    <w:rsid w:val="00FB6350"/>
    <w:rsid w:val="00FC10EA"/>
    <w:rsid w:val="00FC3228"/>
    <w:rsid w:val="00FC368A"/>
    <w:rsid w:val="00FC5582"/>
    <w:rsid w:val="00FC5599"/>
    <w:rsid w:val="00FC58B7"/>
    <w:rsid w:val="00FD0564"/>
    <w:rsid w:val="00FD1C2A"/>
    <w:rsid w:val="00FD5B87"/>
    <w:rsid w:val="00FD74DA"/>
    <w:rsid w:val="00FE0FAF"/>
    <w:rsid w:val="00FE1C73"/>
    <w:rsid w:val="00FE289F"/>
    <w:rsid w:val="00FE5927"/>
    <w:rsid w:val="00FF41FA"/>
    <w:rsid w:val="00FF653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D4"/>
    <w:rPr>
      <w:rFonts w:ascii="Calibri" w:eastAsia="Times New Roman" w:hAnsi="Calibri" w:cs="Times New Roman"/>
    </w:rPr>
  </w:style>
  <w:style w:type="paragraph" w:styleId="2">
    <w:name w:val="heading 2"/>
    <w:basedOn w:val="a"/>
    <w:next w:val="a"/>
    <w:link w:val="20"/>
    <w:unhideWhenUsed/>
    <w:qFormat/>
    <w:rsid w:val="00130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3031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nhideWhenUsed/>
    <w:qFormat/>
    <w:rsid w:val="00130319"/>
    <w:pPr>
      <w:spacing w:before="240" w:after="60" w:line="240" w:lineRule="auto"/>
      <w:outlineLvl w:val="4"/>
    </w:pPr>
    <w:rP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C4DD4"/>
    <w:pPr>
      <w:ind w:left="720"/>
      <w:contextualSpacing/>
    </w:pPr>
  </w:style>
  <w:style w:type="paragraph" w:styleId="a3">
    <w:name w:val="header"/>
    <w:basedOn w:val="a"/>
    <w:link w:val="a4"/>
    <w:uiPriority w:val="99"/>
    <w:rsid w:val="00CC4DD4"/>
    <w:pPr>
      <w:tabs>
        <w:tab w:val="center" w:pos="4677"/>
        <w:tab w:val="right" w:pos="9355"/>
      </w:tabs>
    </w:pPr>
  </w:style>
  <w:style w:type="character" w:customStyle="1" w:styleId="a4">
    <w:name w:val="Верхний колонтитул Знак"/>
    <w:basedOn w:val="a0"/>
    <w:link w:val="a3"/>
    <w:uiPriority w:val="99"/>
    <w:rsid w:val="00CC4DD4"/>
    <w:rPr>
      <w:rFonts w:ascii="Calibri" w:eastAsia="Times New Roman" w:hAnsi="Calibri" w:cs="Times New Roman"/>
    </w:rPr>
  </w:style>
  <w:style w:type="character" w:styleId="a5">
    <w:name w:val="page number"/>
    <w:basedOn w:val="a0"/>
    <w:rsid w:val="00CC4DD4"/>
  </w:style>
  <w:style w:type="paragraph" w:styleId="a6">
    <w:name w:val="Normal (Web)"/>
    <w:basedOn w:val="a"/>
    <w:rsid w:val="00CC4DD4"/>
    <w:pPr>
      <w:spacing w:before="100" w:beforeAutospacing="1" w:after="100" w:afterAutospacing="1" w:line="240" w:lineRule="auto"/>
    </w:pPr>
    <w:rPr>
      <w:rFonts w:ascii="Times New Roman" w:hAnsi="Times New Roman"/>
      <w:sz w:val="24"/>
      <w:szCs w:val="24"/>
      <w:lang w:val="ru-RU" w:eastAsia="ru-RU"/>
    </w:rPr>
  </w:style>
  <w:style w:type="character" w:customStyle="1" w:styleId="element-citation">
    <w:name w:val="element-citation"/>
    <w:basedOn w:val="a0"/>
    <w:rsid w:val="00CC4DD4"/>
  </w:style>
  <w:style w:type="character" w:customStyle="1" w:styleId="ref-journal">
    <w:name w:val="ref-journal"/>
    <w:basedOn w:val="a0"/>
    <w:rsid w:val="00CC4DD4"/>
  </w:style>
  <w:style w:type="character" w:customStyle="1" w:styleId="ref-vol">
    <w:name w:val="ref-vol"/>
    <w:basedOn w:val="a0"/>
    <w:rsid w:val="00CC4DD4"/>
  </w:style>
  <w:style w:type="character" w:customStyle="1" w:styleId="apple-converted-space">
    <w:name w:val="apple-converted-space"/>
    <w:basedOn w:val="a0"/>
    <w:rsid w:val="00CC4DD4"/>
  </w:style>
  <w:style w:type="paragraph" w:styleId="a7">
    <w:name w:val="List Paragraph"/>
    <w:basedOn w:val="a"/>
    <w:uiPriority w:val="99"/>
    <w:qFormat/>
    <w:rsid w:val="00FB6350"/>
    <w:pPr>
      <w:ind w:left="720"/>
      <w:contextualSpacing/>
    </w:pPr>
    <w:rPr>
      <w:rFonts w:eastAsia="Calibri"/>
    </w:rPr>
  </w:style>
  <w:style w:type="character" w:styleId="a8">
    <w:name w:val="Emphasis"/>
    <w:basedOn w:val="a0"/>
    <w:uiPriority w:val="20"/>
    <w:qFormat/>
    <w:rsid w:val="00365782"/>
    <w:rPr>
      <w:i/>
      <w:iCs/>
    </w:rPr>
  </w:style>
  <w:style w:type="paragraph" w:styleId="21">
    <w:name w:val="Body Text Indent 2"/>
    <w:basedOn w:val="a"/>
    <w:link w:val="22"/>
    <w:semiHidden/>
    <w:rsid w:val="00D211BA"/>
    <w:pPr>
      <w:spacing w:after="0" w:line="360" w:lineRule="auto"/>
      <w:ind w:firstLine="720"/>
      <w:jc w:val="both"/>
    </w:pPr>
    <w:rPr>
      <w:rFonts w:ascii="Times New Roman" w:hAnsi="Times New Roman"/>
      <w:sz w:val="28"/>
      <w:szCs w:val="20"/>
      <w:lang w:val="ru-RU" w:eastAsia="ru-RU"/>
    </w:rPr>
  </w:style>
  <w:style w:type="character" w:customStyle="1" w:styleId="22">
    <w:name w:val="Основной текст с отступом 2 Знак"/>
    <w:basedOn w:val="a0"/>
    <w:link w:val="21"/>
    <w:semiHidden/>
    <w:rsid w:val="00D211BA"/>
    <w:rPr>
      <w:rFonts w:ascii="Times New Roman" w:eastAsia="Times New Roman" w:hAnsi="Times New Roman" w:cs="Times New Roman"/>
      <w:sz w:val="28"/>
      <w:szCs w:val="20"/>
      <w:lang w:val="ru-RU" w:eastAsia="ru-RU"/>
    </w:rPr>
  </w:style>
  <w:style w:type="character" w:styleId="a9">
    <w:name w:val="Strong"/>
    <w:basedOn w:val="a0"/>
    <w:qFormat/>
    <w:rsid w:val="00D55F96"/>
    <w:rPr>
      <w:b/>
      <w:bCs/>
    </w:rPr>
  </w:style>
  <w:style w:type="paragraph" w:customStyle="1" w:styleId="6">
    <w:name w:val="Абзац списка6"/>
    <w:basedOn w:val="a"/>
    <w:rsid w:val="00D55F96"/>
    <w:pPr>
      <w:ind w:left="720"/>
    </w:pPr>
    <w:rPr>
      <w:lang w:val="ru-RU"/>
    </w:rPr>
  </w:style>
  <w:style w:type="paragraph" w:styleId="aa">
    <w:name w:val="Body Text Indent"/>
    <w:basedOn w:val="a"/>
    <w:link w:val="ab"/>
    <w:unhideWhenUsed/>
    <w:rsid w:val="005C1802"/>
    <w:pPr>
      <w:spacing w:after="120"/>
      <w:ind w:left="283"/>
    </w:pPr>
    <w:rPr>
      <w:rFonts w:asciiTheme="minorHAnsi" w:eastAsiaTheme="minorHAnsi" w:hAnsiTheme="minorHAnsi" w:cstheme="minorBidi"/>
    </w:rPr>
  </w:style>
  <w:style w:type="character" w:customStyle="1" w:styleId="ab">
    <w:name w:val="Основной текст с отступом Знак"/>
    <w:basedOn w:val="a0"/>
    <w:link w:val="aa"/>
    <w:rsid w:val="005C1802"/>
  </w:style>
  <w:style w:type="character" w:styleId="ac">
    <w:name w:val="Hyperlink"/>
    <w:basedOn w:val="a0"/>
    <w:unhideWhenUsed/>
    <w:rsid w:val="008C4280"/>
    <w:rPr>
      <w:color w:val="0000FF"/>
      <w:u w:val="single"/>
    </w:rPr>
  </w:style>
  <w:style w:type="paragraph" w:customStyle="1" w:styleId="7">
    <w:name w:val="Абзац списка7"/>
    <w:basedOn w:val="a"/>
    <w:rsid w:val="008C4280"/>
    <w:pPr>
      <w:ind w:left="720"/>
    </w:pPr>
    <w:rPr>
      <w:lang w:val="ru-RU"/>
    </w:rPr>
  </w:style>
  <w:style w:type="character" w:customStyle="1" w:styleId="20">
    <w:name w:val="Заголовок 2 Знак"/>
    <w:basedOn w:val="a0"/>
    <w:link w:val="2"/>
    <w:rsid w:val="0013031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30319"/>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130319"/>
    <w:rPr>
      <w:rFonts w:ascii="Calibri" w:eastAsia="Times New Roman" w:hAnsi="Calibri" w:cs="Times New Roman"/>
      <w:b/>
      <w:bCs/>
      <w:i/>
      <w:iCs/>
      <w:sz w:val="26"/>
      <w:szCs w:val="26"/>
      <w:lang w:val="ru-RU" w:eastAsia="ru-RU"/>
    </w:rPr>
  </w:style>
  <w:style w:type="paragraph" w:customStyle="1" w:styleId="210">
    <w:name w:val="Основной текст с отступом 21"/>
    <w:basedOn w:val="a"/>
    <w:rsid w:val="00130319"/>
    <w:pPr>
      <w:spacing w:after="0" w:line="360" w:lineRule="auto"/>
      <w:ind w:firstLine="720"/>
      <w:jc w:val="both"/>
    </w:pPr>
    <w:rPr>
      <w:rFonts w:ascii="Times New Roman" w:hAnsi="Times New Roman"/>
      <w:sz w:val="28"/>
      <w:szCs w:val="20"/>
      <w:lang w:val="ru-RU" w:eastAsia="ru-RU"/>
    </w:rPr>
  </w:style>
  <w:style w:type="paragraph" w:customStyle="1" w:styleId="rtejustify">
    <w:name w:val="rtejustify"/>
    <w:basedOn w:val="a"/>
    <w:rsid w:val="00130319"/>
    <w:pPr>
      <w:spacing w:before="100" w:beforeAutospacing="1" w:after="100" w:afterAutospacing="1" w:line="240" w:lineRule="auto"/>
    </w:pPr>
    <w:rPr>
      <w:rFonts w:ascii="Times New Roman" w:hAnsi="Times New Roman"/>
      <w:sz w:val="24"/>
      <w:szCs w:val="24"/>
      <w:lang w:eastAsia="uk-UA"/>
    </w:rPr>
  </w:style>
  <w:style w:type="character" w:customStyle="1" w:styleId="articleseperator">
    <w:name w:val="article_seperator"/>
    <w:basedOn w:val="a0"/>
    <w:rsid w:val="00130319"/>
  </w:style>
  <w:style w:type="paragraph" w:styleId="31">
    <w:name w:val="Body Text Indent 3"/>
    <w:basedOn w:val="a"/>
    <w:link w:val="32"/>
    <w:semiHidden/>
    <w:unhideWhenUsed/>
    <w:rsid w:val="00130319"/>
    <w:pPr>
      <w:spacing w:after="120"/>
      <w:ind w:left="283"/>
    </w:pPr>
    <w:rPr>
      <w:rFonts w:asciiTheme="minorHAnsi" w:eastAsiaTheme="minorHAnsi" w:hAnsiTheme="minorHAnsi" w:cstheme="minorBidi"/>
      <w:sz w:val="16"/>
      <w:szCs w:val="16"/>
    </w:rPr>
  </w:style>
  <w:style w:type="character" w:customStyle="1" w:styleId="32">
    <w:name w:val="Основной текст с отступом 3 Знак"/>
    <w:basedOn w:val="a0"/>
    <w:link w:val="31"/>
    <w:semiHidden/>
    <w:rsid w:val="00130319"/>
    <w:rPr>
      <w:sz w:val="16"/>
      <w:szCs w:val="16"/>
    </w:rPr>
  </w:style>
  <w:style w:type="paragraph" w:styleId="ad">
    <w:name w:val="footer"/>
    <w:basedOn w:val="a"/>
    <w:link w:val="ae"/>
    <w:uiPriority w:val="99"/>
    <w:unhideWhenUsed/>
    <w:rsid w:val="0013031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d"/>
    <w:uiPriority w:val="99"/>
    <w:rsid w:val="00130319"/>
  </w:style>
  <w:style w:type="paragraph" w:styleId="af">
    <w:name w:val="Body Text"/>
    <w:basedOn w:val="a"/>
    <w:link w:val="af0"/>
    <w:unhideWhenUsed/>
    <w:rsid w:val="00130319"/>
    <w:pPr>
      <w:spacing w:after="120"/>
    </w:pPr>
    <w:rPr>
      <w:rFonts w:asciiTheme="minorHAnsi" w:eastAsiaTheme="minorHAnsi" w:hAnsiTheme="minorHAnsi" w:cstheme="minorBidi"/>
    </w:rPr>
  </w:style>
  <w:style w:type="character" w:customStyle="1" w:styleId="af0">
    <w:name w:val="Основной текст Знак"/>
    <w:basedOn w:val="a0"/>
    <w:link w:val="af"/>
    <w:rsid w:val="00130319"/>
  </w:style>
  <w:style w:type="paragraph" w:customStyle="1" w:styleId="23">
    <w:name w:val="Абзац списка2"/>
    <w:basedOn w:val="a"/>
    <w:rsid w:val="00130319"/>
    <w:pPr>
      <w:ind w:left="720"/>
    </w:pPr>
    <w:rPr>
      <w:lang w:val="ru-RU"/>
    </w:rPr>
  </w:style>
  <w:style w:type="paragraph" w:customStyle="1" w:styleId="220">
    <w:name w:val="Основной текст с отступом 22"/>
    <w:basedOn w:val="a"/>
    <w:rsid w:val="00130319"/>
    <w:pPr>
      <w:spacing w:after="0" w:line="360" w:lineRule="auto"/>
      <w:ind w:firstLine="720"/>
      <w:jc w:val="both"/>
    </w:pPr>
    <w:rPr>
      <w:rFonts w:ascii="Times New Roman" w:hAnsi="Times New Roman"/>
      <w:sz w:val="28"/>
      <w:szCs w:val="20"/>
      <w:lang w:val="ru-RU" w:eastAsia="ru-RU"/>
    </w:rPr>
  </w:style>
  <w:style w:type="paragraph" w:customStyle="1" w:styleId="33">
    <w:name w:val="Абзац списка3"/>
    <w:basedOn w:val="a"/>
    <w:rsid w:val="00130319"/>
    <w:pPr>
      <w:ind w:left="720"/>
    </w:pPr>
    <w:rPr>
      <w:lang w:val="ru-RU"/>
    </w:rPr>
  </w:style>
  <w:style w:type="paragraph" w:customStyle="1" w:styleId="4">
    <w:name w:val="Абзац списка4"/>
    <w:basedOn w:val="a"/>
    <w:rsid w:val="00130319"/>
    <w:pPr>
      <w:ind w:left="720"/>
    </w:pPr>
    <w:rPr>
      <w:lang w:val="ru-RU"/>
    </w:rPr>
  </w:style>
  <w:style w:type="paragraph" w:styleId="af1">
    <w:name w:val="Balloon Text"/>
    <w:basedOn w:val="a"/>
    <w:link w:val="af2"/>
    <w:uiPriority w:val="99"/>
    <w:semiHidden/>
    <w:unhideWhenUsed/>
    <w:rsid w:val="00130319"/>
    <w:pPr>
      <w:spacing w:after="0" w:line="240" w:lineRule="auto"/>
    </w:pPr>
    <w:rPr>
      <w:rFonts w:ascii="Tahoma" w:eastAsiaTheme="minorHAnsi" w:hAnsi="Tahoma" w:cs="Tahoma"/>
      <w:sz w:val="16"/>
      <w:szCs w:val="16"/>
    </w:rPr>
  </w:style>
  <w:style w:type="character" w:customStyle="1" w:styleId="af2">
    <w:name w:val="Текст выноски Знак"/>
    <w:basedOn w:val="a0"/>
    <w:link w:val="af1"/>
    <w:uiPriority w:val="99"/>
    <w:semiHidden/>
    <w:rsid w:val="00130319"/>
    <w:rPr>
      <w:rFonts w:ascii="Tahoma" w:hAnsi="Tahoma" w:cs="Tahoma"/>
      <w:sz w:val="16"/>
      <w:szCs w:val="16"/>
    </w:rPr>
  </w:style>
  <w:style w:type="paragraph" w:customStyle="1" w:styleId="51">
    <w:name w:val="Абзац списка5"/>
    <w:basedOn w:val="a"/>
    <w:rsid w:val="00130319"/>
    <w:pPr>
      <w:ind w:left="720"/>
    </w:pPr>
    <w:rPr>
      <w:lang w:val="ru-RU"/>
    </w:rPr>
  </w:style>
  <w:style w:type="paragraph" w:customStyle="1" w:styleId="8">
    <w:name w:val="Абзац списка8"/>
    <w:basedOn w:val="a"/>
    <w:rsid w:val="00130319"/>
    <w:pPr>
      <w:ind w:left="720"/>
    </w:pPr>
    <w:rPr>
      <w:lang w:val="ru-RU"/>
    </w:rPr>
  </w:style>
  <w:style w:type="paragraph" w:customStyle="1" w:styleId="230">
    <w:name w:val="Основной текст с отступом 23"/>
    <w:basedOn w:val="a"/>
    <w:rsid w:val="00130319"/>
    <w:pPr>
      <w:spacing w:after="0" w:line="360" w:lineRule="auto"/>
      <w:ind w:firstLine="720"/>
      <w:jc w:val="both"/>
    </w:pPr>
    <w:rPr>
      <w:rFonts w:ascii="Times New Roman" w:hAnsi="Times New Roman"/>
      <w:sz w:val="28"/>
      <w:szCs w:val="20"/>
      <w:lang w:val="ru-RU" w:eastAsia="ru-RU"/>
    </w:rPr>
  </w:style>
  <w:style w:type="paragraph" w:customStyle="1" w:styleId="9">
    <w:name w:val="Абзац списка9"/>
    <w:basedOn w:val="a"/>
    <w:rsid w:val="00130319"/>
    <w:pPr>
      <w:ind w:left="720"/>
    </w:pPr>
    <w:rPr>
      <w:lang w:val="ru-RU"/>
    </w:rPr>
  </w:style>
  <w:style w:type="paragraph" w:customStyle="1" w:styleId="10">
    <w:name w:val="Абзац списка10"/>
    <w:basedOn w:val="a"/>
    <w:rsid w:val="00130319"/>
    <w:pPr>
      <w:ind w:left="720"/>
    </w:pPr>
    <w:rPr>
      <w:lang w:val="ru-RU"/>
    </w:rPr>
  </w:style>
  <w:style w:type="paragraph" w:customStyle="1" w:styleId="11">
    <w:name w:val="Абзац списка11"/>
    <w:basedOn w:val="a"/>
    <w:rsid w:val="00130319"/>
    <w:pPr>
      <w:ind w:left="720"/>
    </w:pPr>
    <w:rPr>
      <w:lang w:val="ru-RU"/>
    </w:rPr>
  </w:style>
  <w:style w:type="paragraph" w:customStyle="1" w:styleId="12">
    <w:name w:val="Абзац списка12"/>
    <w:basedOn w:val="a"/>
    <w:rsid w:val="00130319"/>
    <w:pPr>
      <w:ind w:left="720"/>
    </w:pPr>
    <w:rPr>
      <w:lang w:val="ru-RU"/>
    </w:rPr>
  </w:style>
  <w:style w:type="paragraph" w:customStyle="1" w:styleId="13">
    <w:name w:val="Абзац списка13"/>
    <w:basedOn w:val="a"/>
    <w:rsid w:val="00130319"/>
    <w:pPr>
      <w:ind w:left="720"/>
    </w:pPr>
    <w:rPr>
      <w:lang w:val="ru-RU"/>
    </w:rPr>
  </w:style>
  <w:style w:type="paragraph" w:customStyle="1" w:styleId="14">
    <w:name w:val="Абзац списка14"/>
    <w:basedOn w:val="a"/>
    <w:rsid w:val="00130319"/>
    <w:pPr>
      <w:ind w:left="720"/>
    </w:pPr>
    <w:rPr>
      <w:lang w:val="ru-RU"/>
    </w:rPr>
  </w:style>
  <w:style w:type="table" w:styleId="af3">
    <w:name w:val="Table Grid"/>
    <w:basedOn w:val="a1"/>
    <w:rsid w:val="0013031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130319"/>
  </w:style>
  <w:style w:type="character" w:customStyle="1" w:styleId="hps">
    <w:name w:val="hps"/>
    <w:basedOn w:val="a0"/>
    <w:rsid w:val="00130319"/>
  </w:style>
  <w:style w:type="character" w:customStyle="1" w:styleId="hpsatn">
    <w:name w:val="hps atn"/>
    <w:basedOn w:val="a0"/>
    <w:rsid w:val="00130319"/>
  </w:style>
  <w:style w:type="character" w:customStyle="1" w:styleId="atn">
    <w:name w:val="atn"/>
    <w:basedOn w:val="a0"/>
    <w:rsid w:val="00130319"/>
  </w:style>
  <w:style w:type="character" w:customStyle="1" w:styleId="nowraprefpubmed">
    <w:name w:val="nowrap ref pubmed"/>
    <w:basedOn w:val="a0"/>
    <w:rsid w:val="00130319"/>
  </w:style>
  <w:style w:type="character" w:customStyle="1" w:styleId="nowraprefpmc">
    <w:name w:val="nowrap ref pmc"/>
    <w:basedOn w:val="a0"/>
    <w:rsid w:val="00130319"/>
  </w:style>
  <w:style w:type="character" w:customStyle="1" w:styleId="journaltitle">
    <w:name w:val="journaltitle"/>
    <w:basedOn w:val="a0"/>
    <w:rsid w:val="006768A4"/>
  </w:style>
  <w:style w:type="character" w:customStyle="1" w:styleId="articlecitationyear">
    <w:name w:val="articlecitation_year"/>
    <w:basedOn w:val="a0"/>
    <w:rsid w:val="006768A4"/>
  </w:style>
  <w:style w:type="character" w:customStyle="1" w:styleId="articlecitationvolume">
    <w:name w:val="articlecitation_volume"/>
    <w:basedOn w:val="a0"/>
    <w:rsid w:val="006768A4"/>
  </w:style>
  <w:style w:type="paragraph" w:customStyle="1" w:styleId="xfmc1">
    <w:name w:val="xfmc1"/>
    <w:basedOn w:val="a"/>
    <w:rsid w:val="006E5C91"/>
    <w:pPr>
      <w:spacing w:before="100" w:beforeAutospacing="1" w:after="100" w:afterAutospacing="1" w:line="240" w:lineRule="auto"/>
    </w:pPr>
    <w:rPr>
      <w:rFonts w:ascii="Times New Roman" w:hAnsi="Times New Roman"/>
      <w:sz w:val="24"/>
      <w:szCs w:val="24"/>
      <w:lang w:eastAsia="uk-UA"/>
    </w:rPr>
  </w:style>
  <w:style w:type="paragraph" w:styleId="24">
    <w:name w:val="Body Text 2"/>
    <w:basedOn w:val="a"/>
    <w:link w:val="25"/>
    <w:semiHidden/>
    <w:rsid w:val="001548A5"/>
    <w:pPr>
      <w:spacing w:after="0" w:line="240" w:lineRule="auto"/>
      <w:jc w:val="both"/>
    </w:pPr>
    <w:rPr>
      <w:rFonts w:ascii="Times New Roman" w:hAnsi="Times New Roman"/>
      <w:sz w:val="28"/>
      <w:szCs w:val="20"/>
      <w:lang w:val="ru-RU" w:eastAsia="ru-RU"/>
    </w:rPr>
  </w:style>
  <w:style w:type="character" w:customStyle="1" w:styleId="25">
    <w:name w:val="Основной текст 2 Знак"/>
    <w:basedOn w:val="a0"/>
    <w:link w:val="24"/>
    <w:semiHidden/>
    <w:rsid w:val="001548A5"/>
    <w:rPr>
      <w:rFonts w:ascii="Times New Roman" w:eastAsia="Times New Roman" w:hAnsi="Times New Roman" w:cs="Times New Roman"/>
      <w:sz w:val="28"/>
      <w:szCs w:val="20"/>
      <w:lang w:val="ru-RU" w:eastAsia="ru-RU"/>
    </w:rPr>
  </w:style>
  <w:style w:type="character" w:customStyle="1" w:styleId="A10">
    <w:name w:val="A1"/>
    <w:uiPriority w:val="99"/>
    <w:rsid w:val="00402C94"/>
    <w:rPr>
      <w:rFonts w:cs="Janson Text LT"/>
      <w:color w:val="000000"/>
      <w:sz w:val="18"/>
      <w:szCs w:val="18"/>
    </w:rPr>
  </w:style>
</w:styles>
</file>

<file path=word/webSettings.xml><?xml version="1.0" encoding="utf-8"?>
<w:webSettings xmlns:r="http://schemas.openxmlformats.org/officeDocument/2006/relationships" xmlns:w="http://schemas.openxmlformats.org/wordprocessingml/2006/main">
  <w:divs>
    <w:div w:id="239558752">
      <w:bodyDiv w:val="1"/>
      <w:marLeft w:val="0"/>
      <w:marRight w:val="0"/>
      <w:marTop w:val="0"/>
      <w:marBottom w:val="0"/>
      <w:divBdr>
        <w:top w:val="none" w:sz="0" w:space="0" w:color="auto"/>
        <w:left w:val="none" w:sz="0" w:space="0" w:color="auto"/>
        <w:bottom w:val="none" w:sz="0" w:space="0" w:color="auto"/>
        <w:right w:val="none" w:sz="0" w:space="0" w:color="auto"/>
      </w:divBdr>
    </w:div>
    <w:div w:id="6787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863CC-EE7F-4A18-AB7F-10C9FDF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15</Pages>
  <Words>3834</Words>
  <Characters>21857</Characters>
  <Application>Microsoft Office Word</Application>
  <DocSecurity>0</DocSecurity>
  <Lines>182</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25640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Eka</cp:lastModifiedBy>
  <cp:revision>201</cp:revision>
  <dcterms:created xsi:type="dcterms:W3CDTF">2016-02-20T17:20:00Z</dcterms:created>
  <dcterms:modified xsi:type="dcterms:W3CDTF">2016-08-05T07:29:00Z</dcterms:modified>
</cp:coreProperties>
</file>