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3A" w:rsidRPr="00877326" w:rsidRDefault="004E2B3A" w:rsidP="004E2B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>УДК 616.366-008.811.3 : 616.37-002.2]-092-08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Жовчний </w:t>
      </w:r>
      <w:proofErr w:type="spellStart"/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>рефлюкс</w:t>
      </w:r>
      <w:proofErr w:type="spellEnd"/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особливості його патогенезу та лікування при хронічному панкреатиті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>Н. Б. Губергріц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Н. В. Бєляєва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Г. М. Лукашевич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А. В. Юр’єва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Багатопрофільна клініка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Інто-Сана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Одеса, Україна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Донецький національний медичний університет, Україна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>Ключові слова: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фізіологічний і патологічний жовчні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рефлюкси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>, патогенез, хронічний панкреатит, клініка, діагностика, лікування</w:t>
      </w:r>
    </w:p>
    <w:p w:rsidR="0036611D" w:rsidRDefault="0036611D" w:rsidP="0036611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6611D" w:rsidRPr="0036611D" w:rsidRDefault="0036611D" w:rsidP="0036611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6611D">
        <w:rPr>
          <w:rFonts w:ascii="Times New Roman" w:hAnsi="Times New Roman" w:cs="Times New Roman"/>
          <w:sz w:val="24"/>
          <w:szCs w:val="24"/>
          <w:lang w:val="uk-UA"/>
        </w:rPr>
        <w:t>Кожн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36611D">
        <w:rPr>
          <w:rFonts w:ascii="Times New Roman" w:hAnsi="Times New Roman" w:cs="Times New Roman"/>
          <w:sz w:val="24"/>
          <w:szCs w:val="24"/>
          <w:lang w:val="uk-UA"/>
        </w:rPr>
        <w:t xml:space="preserve"> задоволенн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6611D">
        <w:rPr>
          <w:rFonts w:ascii="Times New Roman" w:hAnsi="Times New Roman" w:cs="Times New Roman"/>
          <w:sz w:val="24"/>
          <w:szCs w:val="24"/>
          <w:lang w:val="uk-UA"/>
        </w:rPr>
        <w:t xml:space="preserve"> в житті, 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6611D">
        <w:rPr>
          <w:rFonts w:ascii="Times New Roman" w:hAnsi="Times New Roman" w:cs="Times New Roman"/>
          <w:sz w:val="24"/>
          <w:szCs w:val="24"/>
          <w:lang w:val="uk-UA"/>
        </w:rPr>
        <w:t xml:space="preserve"> тому числі травленн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6611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6611D" w:rsidRPr="0036611D" w:rsidRDefault="0036611D" w:rsidP="0036611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6611D">
        <w:rPr>
          <w:rFonts w:ascii="Times New Roman" w:hAnsi="Times New Roman" w:cs="Times New Roman"/>
          <w:sz w:val="24"/>
          <w:szCs w:val="24"/>
          <w:lang w:val="uk-UA"/>
        </w:rPr>
        <w:t>супроводжує свій присмак гіркоти.</w:t>
      </w:r>
    </w:p>
    <w:p w:rsidR="00550B5F" w:rsidRPr="00426641" w:rsidRDefault="0036611D" w:rsidP="0036611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26641">
        <w:rPr>
          <w:rFonts w:ascii="Times New Roman" w:hAnsi="Times New Roman" w:cs="Times New Roman"/>
          <w:i/>
          <w:sz w:val="24"/>
          <w:szCs w:val="24"/>
          <w:lang w:val="uk-UA"/>
        </w:rPr>
        <w:t>Ш.Т. Лаво,</w:t>
      </w:r>
      <w:r w:rsidR="00426641" w:rsidRPr="0042664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26641">
        <w:rPr>
          <w:rFonts w:ascii="Times New Roman" w:hAnsi="Times New Roman" w:cs="Times New Roman"/>
          <w:i/>
          <w:sz w:val="24"/>
          <w:szCs w:val="24"/>
          <w:lang w:val="uk-UA"/>
        </w:rPr>
        <w:t>французький філолог</w:t>
      </w:r>
    </w:p>
    <w:p w:rsidR="004C561C" w:rsidRPr="000108ED" w:rsidRDefault="004C561C" w:rsidP="0087732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50B5F" w:rsidRPr="000108ED" w:rsidRDefault="00550B5F" w:rsidP="0087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02C5" w:rsidRPr="000108ED" w:rsidRDefault="00426641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перше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дуоденогастральн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(ДГР) був описаний ще в 1833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William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Beaumont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пацієнта 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шлунково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фістул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[33].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Хоча справжня поширеність ДГР невідома, вона має тенденцію до збільшення, що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язано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підвищенням поширеності станів, 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які сприяють</w:t>
      </w:r>
      <w:r w:rsid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гастродуоденальн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смотор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иці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таких як цукровий діабет 2-го типу,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баріатр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ні</w:t>
      </w:r>
      <w:proofErr w:type="spellEnd"/>
      <w:r w:rsid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операці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прийом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опіоїдних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аналгетиків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або інших препаратів, що уповільнюють спорожнення шлунка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антихолінергічні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засоби, антидепресанти,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леводопа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) [27].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Слід визнати, що ДГР може бути як патологічним, тобто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иникати при розладах травлення з порушеннями моторики, так і фізіологічним [15]. 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Низка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авторів вважають ДГР захисним механізмом, який дозволяє протистояти активізації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дрім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7C4AF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чої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інфекції </w:t>
      </w:r>
      <w:proofErr w:type="spellStart"/>
      <w:r w:rsidRPr="007C4AF3">
        <w:rPr>
          <w:rFonts w:ascii="Times New Roman" w:hAnsi="Times New Roman" w:cs="Times New Roman"/>
          <w:i/>
          <w:sz w:val="24"/>
          <w:szCs w:val="24"/>
          <w:lang w:val="uk-UA"/>
        </w:rPr>
        <w:t>Helicobacter</w:t>
      </w:r>
      <w:proofErr w:type="spellEnd"/>
      <w:r w:rsidR="00426641" w:rsidRPr="007C4AF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C4AF3">
        <w:rPr>
          <w:rFonts w:ascii="Times New Roman" w:hAnsi="Times New Roman" w:cs="Times New Roman"/>
          <w:i/>
          <w:sz w:val="24"/>
          <w:szCs w:val="24"/>
          <w:lang w:val="uk-UA"/>
        </w:rPr>
        <w:t>pylori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Нр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 (див. </w:t>
      </w:r>
      <w:r w:rsidR="00426641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ижче). При послабленні ДГР підвищується ризик виразки дванадцятипалої кишки (ДПК) [3, 8, 14, 28]. Інші автори, навпаки, вважають ДГР фактором виникнення та прогресування цього захворювання [6, 7, 24, 38]. Ще класики гастроентерології вважали ДГР важливим патогенетичним механізмом виразкової хвороби [5], та й 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сьогодні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існує термін «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біліогенна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виразка» для позначення патогенезу захворювання у пацієнтів, які перенесл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2C0E5E">
        <w:rPr>
          <w:rFonts w:ascii="Times New Roman" w:hAnsi="Times New Roman" w:cs="Times New Roman"/>
          <w:sz w:val="24"/>
          <w:szCs w:val="24"/>
          <w:lang w:val="uk-UA"/>
        </w:rPr>
        <w:t>холецистектомію</w:t>
      </w:r>
      <w:proofErr w:type="spellEnd"/>
      <w:r w:rsidR="002C0E5E">
        <w:rPr>
          <w:rFonts w:ascii="Times New Roman" w:hAnsi="Times New Roman" w:cs="Times New Roman"/>
          <w:sz w:val="24"/>
          <w:szCs w:val="24"/>
          <w:lang w:val="uk-UA"/>
        </w:rPr>
        <w:t xml:space="preserve"> і/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виражени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ДГР [23].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При ДГР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виявляють рідше. 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інфікованих осіб відзначають зворотну залежність між частотою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кількістю бактерій. Висунуто припущення: у інфікованих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ДГР призводить до поступового «витіснення» мікроорганізмів зі слизової оболонки, що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викликає змін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морфологічної картини у вигляді зменшення активності гастриту (знижується ступінь інфільтрації поліморфно-ядерними лейкоцитами), а потім і хронічного запалення [17]. Аналізуючи вищесказане, можна відзначити протилежність висновків: з одного боку, жовчні кислоти викликають запальні зміни, а з іншого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зменшують активність гастриту і хронічне запалення шляхом витіснення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[9, 19].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І якщо ДГР,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гастроезофагеальний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ГЕР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 в 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низці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випадків можна вважати фізіологічними, то ДГЕР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завжди патологічний [2].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При патологічному ДГР розвивається жовчний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(гастрит типу С), а при ДГЕР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ще і жовчний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рефлюкс-езофагіт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[22, 29, 30].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Виділяють три принципових механізм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жовчного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[2]:</w:t>
      </w:r>
    </w:p>
    <w:p w:rsidR="006502C5" w:rsidRPr="000108ED" w:rsidRDefault="002C0E5E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неспроможність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сфінктерного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апарату: дуоденальн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вміст може вільно досягати шлунка і стравоходу через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лорич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ий і нижній стравохідний сфінктер;</w:t>
      </w:r>
    </w:p>
    <w:p w:rsidR="006502C5" w:rsidRPr="000108ED" w:rsidRDefault="002C0E5E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антродуоденальна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смотор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порушення координації між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антральним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,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лорич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им відділами шлунка і ДПК, які керують напрямком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потоку 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дуоденального вмісту;</w:t>
      </w:r>
    </w:p>
    <w:p w:rsidR="006502C5" w:rsidRPr="000108ED" w:rsidRDefault="002C0E5E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ліквідація природного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антирефлюксного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бар</w:t>
      </w:r>
      <w:r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єр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Факторами ризику розвитку первинного ДГР 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дисфункція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жовчного міхура (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ЖМ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 і дуоденальна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смотор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Вторинний ДГР нерідко розвивається після операцій на шлунку (резекція воротаря,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лоропластика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 або </w:t>
      </w:r>
      <w:r w:rsidR="002C0E5E">
        <w:rPr>
          <w:rFonts w:ascii="Times New Roman" w:hAnsi="Times New Roman" w:cs="Times New Roman"/>
          <w:sz w:val="24"/>
          <w:szCs w:val="24"/>
          <w:lang w:val="uk-UA"/>
        </w:rPr>
        <w:t>ЖМ/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жовчовивідних шляхах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холецистектомія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біліарна</w:t>
      </w:r>
      <w:proofErr w:type="spellEnd"/>
      <w:r w:rsidR="002C0E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сфінктеротомія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Вторинний ДГР частіше розвивається через недостатність пілоричного жому, який,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свою чергу, частіше є наслідком анатомічних змін після оперативних втручань (</w:t>
      </w:r>
      <w:proofErr w:type="spellStart"/>
      <w:r w:rsidR="00C42757">
        <w:rPr>
          <w:rFonts w:ascii="Times New Roman" w:hAnsi="Times New Roman" w:cs="Times New Roman"/>
          <w:sz w:val="24"/>
          <w:szCs w:val="24"/>
          <w:lang w:val="uk-UA"/>
        </w:rPr>
        <w:t>гастректомії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резекції шлунка,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гастроентеростомі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ентероентеростомі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ваготомії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). Частою причиною ДГР стає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язана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ним дуоденальна гіпертензія [2, 11]. Це пояснює високу частоту ДГР і ДГЕР після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холецистектомії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при </w:t>
      </w:r>
      <w:proofErr w:type="spellStart"/>
      <w:r w:rsidR="00DC0A28">
        <w:rPr>
          <w:rFonts w:ascii="Times New Roman" w:hAnsi="Times New Roman" w:cs="Times New Roman"/>
          <w:sz w:val="24"/>
          <w:szCs w:val="24"/>
          <w:lang w:val="uk-UA"/>
        </w:rPr>
        <w:t>зовнішньо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секреторній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підшлункової залози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(П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Звернемося до патогенезу ДГР і ДГЕР при хронічному панкреатиті (ХП), а саме при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зовнішньосекреторн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 заглиблюватися в фізіологічні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взаємозв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між ДПК і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скажемо лише, що забезпечена надійна залежність між наявністю в ДПК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нутрієнтів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зовнішньо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секрецією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Так, якщо в ДПК знаходяться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негідролізован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або недостатньо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дрол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зован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нутрієнти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надійшли з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шлунка, то до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надходить команда: «Подайте-но травні ферменти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 xml:space="preserve">просвіт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ДПК!» Ця команда здійснюється через стимуляцію S- і I-клітин слизової ДПК білками, жирами і іонами Н</w:t>
      </w:r>
      <w:r w:rsidRPr="00C4275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. Коли необхідн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ферментів, бікарбонатів,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панкреатичного секрету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надійде в ДПК і станеться достатній гідроліз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нутрієнтів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стимуляція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слабшає. Від неї в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травному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періоді ДПК не вимагає ферментів або вимагає мінімальну їх кількість.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А що ж відбувається при хронічному панкреатиті (ХП),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тобто при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панкреатичн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недостатності? Природно, що при зменшенні кількості функціонально активних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ац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нарних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клітин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(атрофія, фіброз) вона не може забезпечити надходження в ДПК потрібної кількості ферментів,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тобто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ако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необхідн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для повного гідролізу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нутрієнтів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Негідролізован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нутрієнти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затримуються в ДПК в надії компенсувати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нестачу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ферментів часом,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тобто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очікуванні того, що панкреатичні ферменти, що надходять в зниженій кількості, але протягом тривалого часу, все ж забезпечать необхідний гідроліз компонентів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хімусу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Саме таким шляхом формуються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хронічна дуоденальна гіпертензія (ХДГ) при ХП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зовнішньосекреторно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недостатністю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. Клінічний результат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тяжкість, біль, розпирання, дискомфорт у верхніх відділах живота,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тобто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испепсія. Крім того,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рефлекторним шляхом викликає збудження блювотного центру для зниження тиску в ДПК, що призводить до нудоти і блюв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ання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що не приносить полегшення,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тому що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подразнення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центру триває. Рефлекторно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збудженн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блювотного центру сприяють також розтягнення стінок головно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панкреатично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проток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(характерно для обструктивного панкреатиту), загальної жовчної протоки (наприклад,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разі ЖКХ при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біліарному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ХП), інтоксикація, типова для вираженого загострення панкреатиту.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нудота посилюється, збільшується ймовірність блюв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ання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. Виходячи з описаних вище патогенетичних механізмів болю і диспепсії, стає абсолютно очевидним, що основний шлях їх усунення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призначення сучасних ферментних препаратів. Евакуювавшись в ДПК з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</w:t>
      </w:r>
      <w:r w:rsidR="006128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разом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6128F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мусом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мінімікросфери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ферментного препарату забезпечать швидкий і повний гідроліз компонентів цього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хімусу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ДПК, що сприятиме ліквідації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При розвитку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пацієнтів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з ХП він нерідко є причиною не тільки компенсован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але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суб-</w:t>
      </w:r>
      <w:proofErr w:type="spellEnd"/>
      <w:r w:rsidR="00F67E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і навіть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декомпенсован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ХДГ. При цьому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вірсунгов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проток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призводить до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погіршення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ХП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ентерокіназа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потрапляючи в </w:t>
      </w:r>
      <w:r w:rsidR="00C42757">
        <w:rPr>
          <w:rFonts w:ascii="Times New Roman" w:hAnsi="Times New Roman" w:cs="Times New Roman"/>
          <w:sz w:val="24"/>
          <w:szCs w:val="24"/>
          <w:lang w:val="uk-UA"/>
        </w:rPr>
        <w:t>ПЗ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викликає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внутрі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шньо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органну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активацію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трипсиноген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загальн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прот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призводить до розвитку холециститу;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шлунок, а потім і в стравохід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до формування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жовчного ДГЕР. Далі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постійний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викликає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діафрагмальної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грижі, яка зустрічається при ХП досить часто. Звичайно,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рефлюксн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F67EC5">
        <w:rPr>
          <w:rFonts w:ascii="Times New Roman" w:hAnsi="Times New Roman" w:cs="Times New Roman"/>
          <w:sz w:val="24"/>
          <w:szCs w:val="24"/>
          <w:lang w:val="uk-UA"/>
        </w:rPr>
        <w:t xml:space="preserve"> явища клінічно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виливаються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відрижку, печію, а в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низці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випадків виникають стравох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ідні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бол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Традиційно симптомами ДГЕР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ГЕР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вважають гіркот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роті, печію, відрижку [17]. За відчуття гіркого смаку відповідають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язані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G-білками рецептори типу T2R, що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локалізуються не тільки в ротовій порожнині, а й у верхніх дихальних шляхах,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вони 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віді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грають роль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бар</w:t>
      </w:r>
      <w:r w:rsidR="00F67EC5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єра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на шляху поширення інфекційних агентів [17, 34].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Методи виявлення ДГР включають його візуалізацію при ендоскопії, виявлення жовчних солей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шлунковому соку, вимірювання концентрації білірубіну в шлунковому соку за допомогою волоконно-оптичного спектрофотометра або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радіосц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графі</w:t>
      </w:r>
      <w:r w:rsidR="000F1552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(останні три дослідження в клінічній практиці зазвичай не виконуються, а застосовуються в наукових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 xml:space="preserve"> цілях) [27]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даний час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клінічну практику впроваджується новий метод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фіброопт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ної</w:t>
      </w:r>
      <w:proofErr w:type="spellEnd"/>
      <w:r w:rsidR="00674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спектрофотометрі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, заснований на визначенні абсорбційного спектра білірубіну ( «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Bilitec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2000»). Цей метод призначений саме для діагностики ДГР і ДГЕР [17].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Слід зазначити, що так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ендоскопічн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ознак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як наявність жовчі в шлунку, не завжди слід відносити саме до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Деякі автори справедливо, на наш погляд, вважають, що ДГР може бути спровокований самою процедурою ендоскопії [13, 57]. Що стосується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рефлюкс-езофагіту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то ДГЕР може призводити до розвитку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жкого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езофагіту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метаплазії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стравохідного епітелію і навіть аденокарциноми, що розвивається на тлі останньої [50, 51].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ендоскопії виділяють 3 ступеня ДГР залежно від кольору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рефлюктат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: від світло-жовтого прозорого (I ступінь) до яскраво-жовтого (II ступінь) і зеленого (III ступінь).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Мабуть, основним методом діагностики ДГР і ДГЕР є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 xml:space="preserve">добова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інтрагастральна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внутрішньостравохідна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рН-метрія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ДГР визначається як будь-яке збільшення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тіла шлунка вище 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5, не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674E0B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язане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прийомом їжі. ДГР вважають вираженим, якщо епізоди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перевищують 10% часу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моніторування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0CE5" w:rsidRPr="000108ED" w:rsidRDefault="00674E0B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сьогодні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для діагностики використовують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імпеданс-рН-моніторування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яке зробило можливим реєстрацію всіх епізодів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рефлюксів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незалежно від характеру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рефлюктат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(газ, рідина, змішаний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рефлюктат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 і його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. Це дало можливість диференціювати кислотні (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&lt;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4),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слабокислотні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4-7) і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слабо</w:t>
      </w:r>
      <w:r>
        <w:rPr>
          <w:rFonts w:ascii="Times New Roman" w:hAnsi="Times New Roman" w:cs="Times New Roman"/>
          <w:sz w:val="24"/>
          <w:szCs w:val="24"/>
          <w:lang w:val="uk-UA"/>
        </w:rPr>
        <w:t>лужні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&gt; 7)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рефлюкси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[21].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Основною метою терапії є зменшення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вираженості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симптоматики за допомогою лікарських засобів. Однозначної думки щодо необхідності проведення фармакотерапії 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відсутності симптомів 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даний час немає.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Лікування патологічних станів,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язаних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жовчним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починають з дієти. При цьому 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вплив харчових продуктів на секрецію жовчі. Однак ефект дієти сумнівний [40, 41].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препаратами 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лікування </w:t>
      </w:r>
      <w:proofErr w:type="spellStart"/>
      <w:r w:rsidR="00CA6AA9">
        <w:rPr>
          <w:rFonts w:ascii="Times New Roman" w:hAnsi="Times New Roman" w:cs="Times New Roman"/>
          <w:sz w:val="24"/>
          <w:szCs w:val="24"/>
          <w:lang w:val="uk-UA"/>
        </w:rPr>
        <w:t>ГЕРХ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залишаються інгібітори протонної помпи (ІПП). Їх рекомендують і при ДГР. Ефективність прийому деяких ІПП при ДГР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оцінювали в неконтрольованих або невеликих контрольованих дослідженнях з </w:t>
      </w:r>
      <w:r w:rsidR="000F1552">
        <w:rPr>
          <w:rFonts w:ascii="Times New Roman" w:hAnsi="Times New Roman" w:cs="Times New Roman"/>
          <w:sz w:val="24"/>
          <w:szCs w:val="24"/>
          <w:lang w:val="uk-UA"/>
        </w:rPr>
        <w:t>різними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результатами. Механізм їх дії при цій патології не зовсім ясний. Вважається, що жовчні кислоти викликають пошкодження через свої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детергентн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</w:t>
      </w:r>
      <w:r w:rsidR="00CA6AA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однак при більш високих значеннях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останні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преципітую</w:t>
      </w:r>
      <w:r w:rsidR="00C2391C">
        <w:rPr>
          <w:rFonts w:ascii="Times New Roman" w:hAnsi="Times New Roman" w:cs="Times New Roman"/>
          <w:sz w:val="24"/>
          <w:szCs w:val="24"/>
          <w:lang w:val="uk-UA"/>
        </w:rPr>
        <w:t>ться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а при більш низьких значеннях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здатні </w:t>
      </w:r>
      <w:r w:rsidR="00C2391C">
        <w:rPr>
          <w:rFonts w:ascii="Times New Roman" w:hAnsi="Times New Roman" w:cs="Times New Roman"/>
          <w:sz w:val="24"/>
          <w:szCs w:val="24"/>
          <w:lang w:val="uk-UA"/>
        </w:rPr>
        <w:t>справляти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більший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ушкоджу</w:t>
      </w:r>
      <w:r w:rsidR="00C2391C">
        <w:rPr>
          <w:rFonts w:ascii="Times New Roman" w:hAnsi="Times New Roman" w:cs="Times New Roman"/>
          <w:sz w:val="24"/>
          <w:szCs w:val="24"/>
          <w:lang w:val="uk-UA"/>
        </w:rPr>
        <w:t>ючий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ефект на слизову оболонку шлунка. Застосування ІПП супроводжується вираженим підвищенням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зменшенням шкідливого впливу жовчних кислот на слизову оболонку шлунка.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При наявності ДГЕР і ДГР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одночасно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ІПП повинні бути призначені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прок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нетики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препарати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урсодезоксихолевої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кислоти (УДХК) [22]. Застосовують також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антациди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альгінати,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холестирамін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сукрал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фат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баклофен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Зокрема,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антациди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 xml:space="preserve">що містять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карбонат кальцію і карбонат магнію, здатні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зв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язувати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токсичні жовчні кислоти [1, 4, 17, 26, 37, 45, 55]. У кількох неконтрольованих і одному контрольованому дослідженні вивчали ефективність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сукрал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фату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який забезпечував гістологічне, але не симптоматичне поліпшення. У невеликих контрольованих випробуваннях досліджували також ефективність застосування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холестираміну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поєднанні з альг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натами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простагландином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Е2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лікуванні пацієнтів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ДГР,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проте ці препарати виявилися не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ефективними. Деякі автори рекомендують для лікування ДГР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діоктаедр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ични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="00A15A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смект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Смекту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) [26].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Роль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прокінетиків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лікуванні ДГР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контрольованих дослідженнях до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сьогодні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детально не вивчена, хоча в клінічній практиці при цьому стані вони застосовуються дуже широко [9].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УДХК (</w:t>
      </w:r>
      <w:proofErr w:type="spellStart"/>
      <w:r w:rsidR="00A15A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рсон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ост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) займає значне місце і ефективна в лікуванні ціло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низки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захворювань ЖМ, жовчних шляхів, печінки, а також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рефлюкс-езофагіту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Виділена майже 120 років тому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практичній медицині стала застосовуватися з середини 70-х років минулого століття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після опису її здатності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десатурац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жовчі і розчинення холестеринових каменів.</w:t>
      </w:r>
    </w:p>
    <w:p w:rsidR="00A15A81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 міру накопичення клінічного досвіду були отримані інші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дані щодо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позитивного впливу УДХК на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внутрішньопечінкову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циркуляцію жовчі, метаболізм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гепатоцитів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слизову оболонку верхньої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травного тракту, що значно розширило показання до її застосування.</w:t>
      </w:r>
    </w:p>
    <w:p w:rsidR="006502C5" w:rsidRPr="000108ED" w:rsidRDefault="00A15A81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сьогодні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використовується при ЖКХ,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холестатичних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захворюваннях печінки, вірусних, алкогольних гепатитах, неалкогольном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стеатогепат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холестероз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ЖМ,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рефлюкс-гастритах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>рефлюкс-езофагіт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="006502C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та інших станах [25, 47].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 печінці з холестерину синтезуються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хенодезоксихолев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кислоти (первинні жовчні кислоти). З них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кишечнику в результаті реакцій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декон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югації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дегідрокс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илювання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під впливом кишкової флори утворюються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деокс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літохолева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кислоти (вторинні жовчні кислоти). 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>УДХК</w:t>
      </w:r>
      <w:r w:rsidR="00B72E36"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>третинна г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>дроф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льна жовчна кислота, яка утворюється 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336C5E">
        <w:rPr>
          <w:rFonts w:ascii="Times New Roman" w:hAnsi="Times New Roman" w:cs="Times New Roman"/>
          <w:sz w:val="24"/>
          <w:szCs w:val="24"/>
          <w:lang w:val="uk-UA"/>
        </w:rPr>
        <w:t>хенодезоксихолевої</w:t>
      </w:r>
      <w:proofErr w:type="spellEnd"/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кислоти. УДХК становить не більше 5% від загального пулу жовчних кислот, що містяться в жовчі. Гідрофобні властивості жовчних кислот і </w:t>
      </w:r>
      <w:proofErr w:type="spellStart"/>
      <w:r w:rsidRPr="00336C5E">
        <w:rPr>
          <w:rFonts w:ascii="Times New Roman" w:hAnsi="Times New Roman" w:cs="Times New Roman"/>
          <w:sz w:val="24"/>
          <w:szCs w:val="24"/>
          <w:lang w:val="uk-UA"/>
        </w:rPr>
        <w:t>пов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>язана</w:t>
      </w:r>
      <w:proofErr w:type="spellEnd"/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з ними токсичність наростають </w:t>
      </w:r>
      <w:r w:rsidR="00336C5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такому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порядку: </w:t>
      </w:r>
      <w:proofErr w:type="spellStart"/>
      <w:r w:rsidRPr="00336C5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УДХК → </w:t>
      </w:r>
      <w:proofErr w:type="spellStart"/>
      <w:r w:rsidRPr="00336C5E">
        <w:rPr>
          <w:rFonts w:ascii="Times New Roman" w:hAnsi="Times New Roman" w:cs="Times New Roman"/>
          <w:sz w:val="24"/>
          <w:szCs w:val="24"/>
          <w:lang w:val="uk-UA"/>
        </w:rPr>
        <w:t>хенодезоксихолева</w:t>
      </w:r>
      <w:proofErr w:type="spellEnd"/>
      <w:r w:rsidRPr="00336C5E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</w:t>
      </w:r>
      <w:proofErr w:type="spellStart"/>
      <w:r w:rsidRPr="00336C5E">
        <w:rPr>
          <w:rFonts w:ascii="Times New Roman" w:hAnsi="Times New Roman" w:cs="Times New Roman"/>
          <w:sz w:val="24"/>
          <w:szCs w:val="24"/>
          <w:lang w:val="uk-UA"/>
        </w:rPr>
        <w:t>деокс</w:t>
      </w:r>
      <w:r w:rsidR="00A15A81" w:rsidRPr="00336C5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36C5E">
        <w:rPr>
          <w:rFonts w:ascii="Times New Roman" w:hAnsi="Times New Roman" w:cs="Times New Roman"/>
          <w:sz w:val="24"/>
          <w:szCs w:val="24"/>
          <w:lang w:val="uk-UA"/>
        </w:rPr>
        <w:t>холева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кислота →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літохолева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кислота. Такий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зв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язок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дрофобност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токсичності жовчних кислот обумовлен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тим, що гідрофобні кислоти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ліпофільн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що забезпечує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іх</w:t>
      </w:r>
      <w:proofErr w:type="spellEnd"/>
      <w:r w:rsidR="00A15A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прон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икнення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ліпідні шари, </w:t>
      </w:r>
      <w:r w:rsidR="00A15A81">
        <w:rPr>
          <w:rFonts w:ascii="Times New Roman" w:hAnsi="Times New Roman" w:cs="Times New Roman"/>
          <w:sz w:val="24"/>
          <w:szCs w:val="24"/>
          <w:lang w:val="uk-UA"/>
        </w:rPr>
        <w:t>у тому числі в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клітинні мембрани і мембрани мітохондрій, що викликає порушення їх функцій і загибель [16, 31].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Більш висока полярність УДХК корелює з меншою тенденцією до утворення міцел, </w:t>
      </w:r>
      <w:r w:rsidR="00A3561B">
        <w:rPr>
          <w:rFonts w:ascii="Times New Roman" w:hAnsi="Times New Roman" w:cs="Times New Roman"/>
          <w:sz w:val="24"/>
          <w:szCs w:val="24"/>
          <w:lang w:val="uk-UA"/>
        </w:rPr>
        <w:t>чим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пояснюють відсутність токсичності цієї кислоти. Пр</w:t>
      </w:r>
      <w:r w:rsidR="00A3561B">
        <w:rPr>
          <w:rFonts w:ascii="Times New Roman" w:hAnsi="Times New Roman" w:cs="Times New Roman"/>
          <w:sz w:val="24"/>
          <w:szCs w:val="24"/>
          <w:lang w:val="uk-UA"/>
        </w:rPr>
        <w:t>и призначенні в дозі 13-15 мг/кг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сут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заміщ</w:t>
      </w:r>
      <w:r w:rsidR="00A3561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є токсичні жовчні кислоти і становить близько половини пулу жовчних кислот 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жовчі [12, 16, 18].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Призначення УДХК сприяє підвищенню її концентрації в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рефлюктат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шлунковому соку. 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зменшується пошкодження слизової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рефлюктатом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[46], 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той час як протизапальні </w:t>
      </w:r>
      <w:r w:rsidR="00336C5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імуномодулюючі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властивості УДХК корисні 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послаблення симптомів. Крім того, УДХК сприяє нормалізації моторики травного тракту [44]. Цей ефект дуже доречний для при</w:t>
      </w:r>
      <w:r w:rsidR="00473485">
        <w:rPr>
          <w:rFonts w:ascii="Times New Roman" w:hAnsi="Times New Roman" w:cs="Times New Roman"/>
          <w:sz w:val="24"/>
          <w:szCs w:val="24"/>
          <w:lang w:val="uk-UA"/>
        </w:rPr>
        <w:t>гніч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ення ДГР і ДГЕР.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Останнім часом доведено ще один механізм дії УДХК при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біліарному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рефлюкс-езофагіті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. Вивчається патогенетична роль жовчних кислот і касети гена фактора транскрипції CDX-2 </w:t>
      </w:r>
      <w:r w:rsidR="005B5108" w:rsidRPr="00324A5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канцерогенезі при стравоході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Барретта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: відзначено, що </w:t>
      </w:r>
      <w:r w:rsidR="005B5108"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експресія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mRNA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протеїну CDX-2 і фактора росту ендотелію судин (VEGF) підвищена. Вона ще збільшується при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ац</w:t>
      </w:r>
      <w:r w:rsidR="005B5108" w:rsidRPr="00324A5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24A5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24A5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24A50">
        <w:rPr>
          <w:rFonts w:ascii="Times New Roman" w:hAnsi="Times New Roman" w:cs="Times New Roman"/>
          <w:sz w:val="24"/>
          <w:szCs w:val="24"/>
          <w:lang w:val="uk-UA"/>
        </w:rPr>
        <w:t>фікаці</w:t>
      </w:r>
      <w:r w:rsidR="005B5108" w:rsidRPr="00324A50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стравоходу і при закиданні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дезоксихолевої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кислоти при стравоході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Барретта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. G.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Burnat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(2010) показав, що при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рефлюксі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УДХК подальшого зростання експресії </w:t>
      </w:r>
      <w:proofErr w:type="spellStart"/>
      <w:r w:rsidRPr="00324A50">
        <w:rPr>
          <w:rFonts w:ascii="Times New Roman" w:hAnsi="Times New Roman" w:cs="Times New Roman"/>
          <w:sz w:val="24"/>
          <w:szCs w:val="24"/>
          <w:lang w:val="uk-UA"/>
        </w:rPr>
        <w:t>mRNA</w:t>
      </w:r>
      <w:proofErr w:type="spellEnd"/>
      <w:r w:rsidRPr="00324A50">
        <w:rPr>
          <w:rFonts w:ascii="Times New Roman" w:hAnsi="Times New Roman" w:cs="Times New Roman"/>
          <w:sz w:val="24"/>
          <w:szCs w:val="24"/>
          <w:lang w:val="uk-UA"/>
        </w:rPr>
        <w:t xml:space="preserve"> CDX-2 і VEGF не відбувається, що знижує ризик малігнізації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[36]. При прийомі УДХК змінюється 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>відсоткове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співвідношення жовчних кислот і знижується тяжкість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езофагіту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Цитопротективний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ефект УДХК послужив підставою для застосування її при гастриті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езофагіті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, обумовлених ДГР і ДГЕР. Витіснення пулу гідрофобних жовчних кислот і запобігання індуковано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ними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апоптоз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5B5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епітеліоц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веде до редукції клінічної симптоматики та ендоскопічних ознак пошкодження слизової оболонки шлунка і стравоходу [4,</w:t>
      </w:r>
      <w:r w:rsidR="005B5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12, 42, 52]. Подібний ефект має місце і при лікуванні літніх хворих [10, 20, 35].</w:t>
      </w:r>
    </w:p>
    <w:p w:rsidR="006502C5" w:rsidRPr="00185B7A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УДХК </w:t>
      </w:r>
      <w:r w:rsidR="00185B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 лікуванні жовчного </w:t>
      </w:r>
      <w:proofErr w:type="spellStart"/>
      <w:r w:rsidRPr="00185B7A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 була показана в експериментальних і клінічних наукових дослідженнях.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5B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Т. </w:t>
      </w:r>
      <w:proofErr w:type="spellStart"/>
      <w:r w:rsidRPr="00185B7A">
        <w:rPr>
          <w:rFonts w:ascii="Times New Roman" w:hAnsi="Times New Roman" w:cs="Times New Roman"/>
          <w:sz w:val="24"/>
          <w:szCs w:val="24"/>
          <w:lang w:val="uk-UA"/>
        </w:rPr>
        <w:t>Kawamura</w:t>
      </w:r>
      <w:proofErr w:type="spellEnd"/>
      <w:r w:rsidR="00185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85B7A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="00185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85B7A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. (1989) викликали </w:t>
      </w:r>
      <w:r w:rsidR="00185B7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 експериментальних щурів стресов</w:t>
      </w:r>
      <w:r w:rsidR="00185B7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 пошкодження шлунка. Попереднє призначення УДХК захищало шлунок експериментальної тварини від </w:t>
      </w:r>
      <w:proofErr w:type="spellStart"/>
      <w:r w:rsidRPr="00185B7A">
        <w:rPr>
          <w:rFonts w:ascii="Times New Roman" w:hAnsi="Times New Roman" w:cs="Times New Roman"/>
          <w:sz w:val="24"/>
          <w:szCs w:val="24"/>
          <w:lang w:val="uk-UA"/>
        </w:rPr>
        <w:t>ульцерац</w:t>
      </w:r>
      <w:r w:rsidR="00185B7A"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185B7A">
        <w:rPr>
          <w:rFonts w:ascii="Times New Roman" w:hAnsi="Times New Roman" w:cs="Times New Roman"/>
          <w:sz w:val="24"/>
          <w:szCs w:val="24"/>
          <w:lang w:val="uk-UA"/>
        </w:rPr>
        <w:t>, при цьому рівень каталази в сироватці крові і тканин</w:t>
      </w:r>
      <w:r w:rsidR="00185B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85B7A">
        <w:rPr>
          <w:rFonts w:ascii="Times New Roman" w:hAnsi="Times New Roman" w:cs="Times New Roman"/>
          <w:sz w:val="24"/>
          <w:szCs w:val="24"/>
          <w:lang w:val="uk-UA"/>
        </w:rPr>
        <w:t xml:space="preserve"> шлунка був істотно нижч</w:t>
      </w:r>
      <w:r w:rsidR="00C0304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85B7A">
        <w:rPr>
          <w:rFonts w:ascii="Times New Roman" w:hAnsi="Times New Roman" w:cs="Times New Roman"/>
          <w:sz w:val="24"/>
          <w:szCs w:val="24"/>
          <w:lang w:val="uk-UA"/>
        </w:rPr>
        <w:t>, ніж у тварин з групи контролю. Крім того, УДХК в даному експерименті продемонструвала антиоксидантний ефект [43].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 2008 році групою вчених були опубліковані результати експерименту </w:t>
      </w:r>
      <w:r w:rsidR="00C03046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</w:t>
      </w:r>
      <w:r w:rsidR="008332A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у мишей, інфікованих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 Миші з Hp-позитивним гастритом були розділені на дві групи: 1-</w:t>
      </w:r>
      <w:r w:rsidR="008332AF">
        <w:rPr>
          <w:rFonts w:ascii="Times New Roman" w:hAnsi="Times New Roman" w:cs="Times New Roman"/>
          <w:sz w:val="24"/>
          <w:szCs w:val="24"/>
          <w:lang w:val="uk-UA"/>
        </w:rPr>
        <w:t>ша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отримувала УДХК, а 2-</w:t>
      </w:r>
      <w:r w:rsidR="008332AF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Результати експерименту </w:t>
      </w:r>
      <w:r w:rsidRPr="0010765A">
        <w:rPr>
          <w:rFonts w:ascii="Times New Roman" w:hAnsi="Times New Roman" w:cs="Times New Roman"/>
          <w:sz w:val="24"/>
          <w:szCs w:val="24"/>
          <w:lang w:val="uk-UA"/>
        </w:rPr>
        <w:t xml:space="preserve">показали зменшення колонізації </w:t>
      </w:r>
      <w:proofErr w:type="spellStart"/>
      <w:r w:rsidRPr="0010765A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10765A">
        <w:rPr>
          <w:rFonts w:ascii="Times New Roman" w:hAnsi="Times New Roman" w:cs="Times New Roman"/>
          <w:sz w:val="24"/>
          <w:szCs w:val="24"/>
          <w:lang w:val="uk-UA"/>
        </w:rPr>
        <w:t xml:space="preserve"> на слизовій оболонці шлунка. Це вплинуло на ступінь </w:t>
      </w:r>
      <w:proofErr w:type="spellStart"/>
      <w:r w:rsidRPr="0010765A">
        <w:rPr>
          <w:rFonts w:ascii="Times New Roman" w:hAnsi="Times New Roman" w:cs="Times New Roman"/>
          <w:sz w:val="24"/>
          <w:szCs w:val="24"/>
          <w:lang w:val="uk-UA"/>
        </w:rPr>
        <w:t>вираженості</w:t>
      </w:r>
      <w:proofErr w:type="spellEnd"/>
      <w:r w:rsidRPr="0010765A">
        <w:rPr>
          <w:rFonts w:ascii="Times New Roman" w:hAnsi="Times New Roman" w:cs="Times New Roman"/>
          <w:sz w:val="24"/>
          <w:szCs w:val="24"/>
          <w:lang w:val="uk-UA"/>
        </w:rPr>
        <w:t xml:space="preserve"> гастриту, яка оцінювалася за активністю </w:t>
      </w:r>
      <w:proofErr w:type="spellStart"/>
      <w:r w:rsidRPr="0010765A">
        <w:rPr>
          <w:rFonts w:ascii="Times New Roman" w:hAnsi="Times New Roman" w:cs="Times New Roman"/>
          <w:sz w:val="24"/>
          <w:szCs w:val="24"/>
          <w:lang w:val="uk-UA"/>
        </w:rPr>
        <w:t>мієлопероксидази</w:t>
      </w:r>
      <w:proofErr w:type="spellEnd"/>
      <w:r w:rsidRPr="0010765A">
        <w:rPr>
          <w:rFonts w:ascii="Times New Roman" w:hAnsi="Times New Roman" w:cs="Times New Roman"/>
          <w:sz w:val="24"/>
          <w:szCs w:val="24"/>
          <w:lang w:val="uk-UA"/>
        </w:rPr>
        <w:t>, що свідчить про наявність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765A">
        <w:rPr>
          <w:rFonts w:ascii="Times New Roman" w:hAnsi="Times New Roman" w:cs="Times New Roman"/>
          <w:sz w:val="24"/>
          <w:szCs w:val="24"/>
          <w:lang w:val="uk-UA"/>
        </w:rPr>
        <w:t>поліморфно</w:t>
      </w:r>
      <w:r w:rsidRPr="0010765A">
        <w:rPr>
          <w:rFonts w:ascii="Times New Roman" w:hAnsi="Times New Roman" w:cs="Times New Roman"/>
          <w:sz w:val="24"/>
          <w:szCs w:val="24"/>
          <w:lang w:val="uk-UA"/>
        </w:rPr>
        <w:t>ядерних</w:t>
      </w:r>
      <w:proofErr w:type="spellEnd"/>
      <w:r w:rsidRPr="0010765A">
        <w:rPr>
          <w:rFonts w:ascii="Times New Roman" w:hAnsi="Times New Roman" w:cs="Times New Roman"/>
          <w:sz w:val="24"/>
          <w:szCs w:val="24"/>
          <w:lang w:val="uk-UA"/>
        </w:rPr>
        <w:t xml:space="preserve"> лейкоцитів у тканин</w:t>
      </w:r>
      <w:r w:rsidR="00C124B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шлунка. Даний показник визначався на 4, 6 і 8-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тижнях прийому УДХК, при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ому зазначалося його зниження на 60, 40 і 37,5% відповідно. Було показано, що УДХК при гастриті знижує рівень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малатдегідрогенази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кисневих радикалів, що може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 xml:space="preserve">запобігти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апоптоз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при Hp-позитивному гастриті. Таким чином, на експериментальній моделі була показана ефективність застосування УДХК не тільки при ураженнях, викликаних ДГР, а й при гастритах, причиною яких є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[54]. Це важливий аспект застосування УДХК в силу того, що, як було зазначено вище,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патогенезі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рефлюкс-гастритів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жовчні кислоти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Hp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мають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синергізм в </w:t>
      </w:r>
      <w:proofErr w:type="spellStart"/>
      <w:r w:rsidR="0010765A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шкоджувальн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впливі на слизову оболонку шлунка і стравоходу.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A.B.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Stefaniwsky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 (1985) застосовували УДХК у хворих після опер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ацій на шлунку в дозі 1000 мг/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добу протягом місяця. У хворих були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наявні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епігастральний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біль, нудота і блюв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ання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жовчю. 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плацебо-контрольованому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дослідженні оцінювався вплив УДХК на клінічну симптоматику і гістологічні показники слизової оболонки шлунка.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 лікування за допомогою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УДХК значно зменшилися інтенсив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ність і частота болю, майже зникли нудота і блюв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ання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За період терапії частка УДХК 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жовчі, отриман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10765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шлункового вмісту, зросла до 50% від загальної кількості жовчних кислот [53]. Ефективність лікування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УДХК, підтверджена ендоскопічним дослідженням, була відзначена і у хворих після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холецистектомії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M.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Ozkaya</w:t>
      </w:r>
      <w:proofErr w:type="spellEnd"/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(2002) [48] досліджували вплив УДХК на рівень епідермального фактора росту в слизовій оболонці шлунка. Даний індуктор проліферації епітеліальних клітин слизової оболонки шлунка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секретується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відповідь на пошкодження слизової, а також є фактором захисту і загоєння слизової оболонки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шлунка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 хворих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біліарним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проведеної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холецистектомії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У дослідженні брав участь 31 пацієнт з ДГР і різними ступенями гастриту. Після 6-тижневого курсу лікування УДХК у 29% пацієнтів спостерігалося повне зникнення ендоскопічних симптомів захворювання, а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решти пацієнтів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лікування було частковим. Однак рівень епідермального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фактора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росту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значно знижувався у всіх пацієнтів на тлі лікування УДХК. Низький рівень вивільнення фактора рост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епідерміса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можна пояснити загоєнням слизової оболонки шлунка після курсу лікування. Проте автори вважають, що необхідні подальші дослідження для того, щоб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ясувати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чи має УДХК прямий вплив на епідермальний фактор росту або цей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взаємозв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язок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опосередкован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[48].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 подвійному сліпому дослідженні хворим 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диспептични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ми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скаргами призначали УДХК по 150 мг 2 рази на день протягом 14 днів. Результати лікування УДХК були значно кращ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ніж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[39].</w:t>
      </w:r>
    </w:p>
    <w:p w:rsidR="0050190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 іншому подвійному сліпому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плацебо-контрольованому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дослідженні 26 пацієнтів з диспепсією були розділені на дві групи: пацієнти першої групи отримували УДХК по 300 мг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день протягом 20 днів, пацієнти другої групи отримували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 Значне зменшення скарг досягнуто у 55% хворих першої групи, тоді як у другій групі подібний результат мав місце тільки у 21% хворих (рис. 1) [32].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72A" w:rsidRPr="000108ED" w:rsidRDefault="0055072A" w:rsidP="0087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0108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3970" cy="2064385"/>
            <wp:effectExtent l="0" t="0" r="5080" b="0"/>
            <wp:docPr id="1" name="Рисунок 1" descr="D:\Docs\Моя работа\Вестник\Вестник 2021\2021_2\Статья\ри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Моя работа\Вестник\Вестник 2021\2021_2\Статья\рис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05" w:rsidRPr="000108ED" w:rsidRDefault="0055072A" w:rsidP="0087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Рис.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1. Частота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зменшення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F312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раженост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симптом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958A3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у пац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іє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DF312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</w:t>
      </w:r>
      <w:r w:rsidR="003958A3" w:rsidRPr="000108ED">
        <w:rPr>
          <w:rFonts w:ascii="Times New Roman" w:hAnsi="Times New Roman" w:cs="Times New Roman"/>
          <w:sz w:val="24"/>
          <w:szCs w:val="24"/>
          <w:lang w:val="uk-UA"/>
        </w:rPr>
        <w:t>ритом</w:t>
      </w:r>
      <w:proofErr w:type="spellEnd"/>
      <w:r w:rsidR="003958A3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лікуванні</w:t>
      </w:r>
      <w:r w:rsidR="003958A3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порівняно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proofErr w:type="spellStart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L.</w:t>
      </w:r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Aggio</w:t>
      </w:r>
      <w:proofErr w:type="spellEnd"/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="00550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="00501905" w:rsidRPr="000108ED">
        <w:rPr>
          <w:rFonts w:ascii="Times New Roman" w:hAnsi="Times New Roman" w:cs="Times New Roman"/>
          <w:sz w:val="24"/>
          <w:szCs w:val="24"/>
          <w:lang w:val="uk-UA"/>
        </w:rPr>
        <w:t>., 1986 [</w:t>
      </w:r>
      <w:fldSimple w:instr=" REF _Ref58078147 \r \h  \* MERGEFORMAT ">
        <w:r w:rsidR="00656641" w:rsidRPr="000108ED">
          <w:rPr>
            <w:rFonts w:ascii="Times New Roman" w:hAnsi="Times New Roman" w:cs="Times New Roman"/>
            <w:sz w:val="24"/>
            <w:szCs w:val="24"/>
            <w:lang w:val="uk-UA"/>
          </w:rPr>
          <w:t>32</w:t>
        </w:r>
      </w:fldSimple>
      <w:r w:rsidRPr="000108ED">
        <w:rPr>
          <w:rFonts w:ascii="Times New Roman" w:hAnsi="Times New Roman" w:cs="Times New Roman"/>
          <w:sz w:val="24"/>
          <w:szCs w:val="24"/>
          <w:lang w:val="uk-UA"/>
        </w:rPr>
        <w:t>])</w:t>
      </w:r>
    </w:p>
    <w:p w:rsidR="0055072A" w:rsidRPr="000108ED" w:rsidRDefault="0055072A" w:rsidP="008773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P.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Pazzi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(1989) призначали УДХК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дозі 300 мг в день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сяц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одній групі пацієнтів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рефлюкс-гастритом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той час як решта хворих отримували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У групі УДХК отримано зменшення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вираженості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симптомів на 50% (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використовували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шкалу тяжкості симптомів), а в групі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подібний ефект зареєстрований тільки у 1/10 хворих. Клінічне поліпшення в групі УДХК корелювало з ендоскопічно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картиною [49].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P.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Ventura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et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al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(1996)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подвійному сліпому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плацебо-контрольованому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дослідженні отримали зменшення або повне зникнення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диспептичних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скарг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80,4% хворих, які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приймали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УДХК по 250 мг 2 рази на день протягом 2 місяців [56].</w:t>
      </w:r>
    </w:p>
    <w:p w:rsidR="006502C5" w:rsidRPr="000108ED" w:rsidRDefault="006502C5" w:rsidP="00650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Е.В.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Онучина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співавт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(2010) провели дослідження, яке підтвердило ефективність УДХК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лікуванні хворих зі стравоходом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Барретта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Автори обстежили 62 хворих з довжиною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метаплазії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менше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ніж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3 см. Методом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рандомізації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хворі були розділені на дві групи. Хворі першої групи отримували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добовій дозі 40 мг, а хворі другої групи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тій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самій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дозі поєднували з прийо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мом УДХК у добовій дозі 10 мг/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кг. Результати оцінювали через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ять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років. Комбінована терапія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омепразолом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і УДХК сприяла позитивній динаміці, яка полягала у відсутності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метаплазії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32,3% хворих, тоді як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групі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такий результат досягався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вірогідно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рідше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тільки у 6,5% пацієнтів. Частота діагностики ерозивного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езофагіту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 групі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знизилася з 80,6 до 51,6% (недостовірно), тоді як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групі комбінованої терапії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з 86,7 до 16,1% (р &lt;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0,001). Імовірність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персист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стравохідних скарг на тлі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монотерапії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ІПП була в 2,8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раз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а болі в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епігастрії</w:t>
      </w:r>
      <w:proofErr w:type="spellEnd"/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в 6,0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раз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вищ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порівнян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з групою хворих зі стравоходом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Барретта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, які отримували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омепразол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і УДХК. До моменту завершення дослідження в групі з УДХК </w:t>
      </w:r>
      <w:proofErr w:type="spellStart"/>
      <w:r w:rsidR="00C96E94">
        <w:rPr>
          <w:rFonts w:ascii="Times New Roman" w:hAnsi="Times New Roman" w:cs="Times New Roman"/>
          <w:sz w:val="24"/>
          <w:szCs w:val="24"/>
          <w:lang w:val="uk-UA"/>
        </w:rPr>
        <w:t>позастравохідні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скарги і тяжкість в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епігастрі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зовсім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були відсутні,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тоді 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групі тільки ІПП частота таких скарг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становила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16,1 і 22,6%. У групі ІПП + УДХК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неопластичн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прогресію не реєстрували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в жодному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випадку. У той же час у 16,1% хворих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групи ІПП на тлі кишкової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метаплазії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виявили розвиток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дисплазії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Ці дані переконливо демонструють ефективність УДХК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лікуванні хворих зі стравоходом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Барретта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[20].</w:t>
      </w:r>
    </w:p>
    <w:p w:rsidR="006502C5" w:rsidRPr="000108ED" w:rsidRDefault="006502C5" w:rsidP="00C96E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Досліджували також ефе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ктивність УДХК в дозі 1000 мг/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добу у 12 пацієнтів з ДГР після попередньої операції на шлунку. При вивченні вмісту жовчних кислот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шлунковому вмісті під час лікування мала місце зміна рівня УДХК.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᾽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ять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пацієнтів протягом 4 тижнів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приймали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, а потім протягом 4 тижнів</w:t>
      </w:r>
      <w:r w:rsidR="00B72E36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УДХК; на тлі прийому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у цих пацієнтів ефекту не було, але після призначення УДХК симптоматика суттєво зменшилася. Додатково 7 пацієнтів лікувалися УДХК з подальшим призначенням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; у всіх було зафіксовано клінічне поліпшення, проте у 3 з них відзначався рецидив симптомів після прийому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плацебо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>. Будь-яких змін ендоскопічної та гістологічної картини відзначено не було [27].</w:t>
      </w:r>
    </w:p>
    <w:p w:rsidR="006502C5" w:rsidRPr="000108ED" w:rsidRDefault="006502C5" w:rsidP="00C96E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Безумовно, в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низці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випадків при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рефрактерності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до консервативного лікування виникає необхідність в ендоскопіч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і оперативних втручаннях для полегшення ДГЕР і ліквідації викликаних ним ускладнень, зокрема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метаплазії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стравохідного епітелію [17, 37]. Можливість хірургічного лікування може розглядатися тільки у пацієнтів з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тя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жкими симптомами, як правило, у випадках розвитку ДГР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наслідок попередньої операції. Зазвичай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застосовувані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втручання включають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ізопер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стальт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ичну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петлю тонкої кишки (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Хенлі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ентероентеростомію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Брауна 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холедохоеюностомі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Roux-en-Y, яка може бути застосована для відв</w:t>
      </w:r>
      <w:r w:rsidR="00F42F90">
        <w:rPr>
          <w:rFonts w:ascii="Times New Roman" w:hAnsi="Times New Roman" w:cs="Times New Roman"/>
          <w:sz w:val="24"/>
          <w:szCs w:val="24"/>
          <w:lang w:val="uk-UA"/>
        </w:rPr>
        <w:t>едення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жовчі безпосередньо від жовчовивідних шляхів п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сл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lastRenderedPageBreak/>
        <w:t>холец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стектомі</w:t>
      </w:r>
      <w:r w:rsidR="00C96E94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. Ці процедури можуть бути ефективні в зменшенні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вираженості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симптомів, проте несуть в собі ризик таких ускладнень, як виразки, стаз, формування 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безоара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[27].</w:t>
      </w:r>
    </w:p>
    <w:p w:rsidR="006502C5" w:rsidRPr="000108ED" w:rsidRDefault="006502C5" w:rsidP="00221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Одним </w:t>
      </w:r>
      <w:r w:rsidR="00221EC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з ефективних препаратів УДХК є </w:t>
      </w:r>
      <w:proofErr w:type="spellStart"/>
      <w:r w:rsidR="00221EC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рсон</w:t>
      </w:r>
      <w:r w:rsidR="00221ECD">
        <w:rPr>
          <w:rFonts w:ascii="Times New Roman" w:hAnsi="Times New Roman" w:cs="Times New Roman"/>
          <w:sz w:val="24"/>
          <w:szCs w:val="24"/>
          <w:lang w:val="uk-UA"/>
        </w:rPr>
        <w:t>ост</w:t>
      </w:r>
      <w:proofErr w:type="spellEnd"/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(компанія </w:t>
      </w:r>
      <w:r w:rsidR="00221EC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0108ED">
        <w:rPr>
          <w:rFonts w:ascii="Times New Roman" w:hAnsi="Times New Roman" w:cs="Times New Roman"/>
          <w:sz w:val="24"/>
          <w:szCs w:val="24"/>
          <w:lang w:val="uk-UA"/>
        </w:rPr>
        <w:t>Органосін</w:t>
      </w:r>
      <w:proofErr w:type="spellEnd"/>
      <w:r w:rsidR="00221EC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="00221EC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21ECD" w:rsidRPr="000108ED">
        <w:rPr>
          <w:rFonts w:ascii="Times New Roman" w:hAnsi="Times New Roman" w:cs="Times New Roman"/>
          <w:sz w:val="24"/>
          <w:szCs w:val="24"/>
          <w:lang w:val="uk-UA"/>
        </w:rPr>
        <w:t>рсон</w:t>
      </w:r>
      <w:r w:rsidR="00221ECD">
        <w:rPr>
          <w:rFonts w:ascii="Times New Roman" w:hAnsi="Times New Roman" w:cs="Times New Roman"/>
          <w:sz w:val="24"/>
          <w:szCs w:val="24"/>
          <w:lang w:val="uk-UA"/>
        </w:rPr>
        <w:t>ост</w:t>
      </w:r>
      <w:proofErr w:type="spellEnd"/>
      <w:r w:rsidR="00221ECD" w:rsidRPr="000108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має європейську якість, зручну форму випуску для дозування пацієнтам з різною масою тіла, вигідне співвідношення вартіст</w:t>
      </w:r>
      <w:r w:rsidR="00221ECD">
        <w:rPr>
          <w:rFonts w:ascii="Times New Roman" w:hAnsi="Times New Roman" w:cs="Times New Roman"/>
          <w:sz w:val="24"/>
          <w:szCs w:val="24"/>
          <w:lang w:val="uk-UA"/>
        </w:rPr>
        <w:t>ь/</w:t>
      </w:r>
      <w:r w:rsidRPr="000108ED">
        <w:rPr>
          <w:rFonts w:ascii="Times New Roman" w:hAnsi="Times New Roman" w:cs="Times New Roman"/>
          <w:sz w:val="24"/>
          <w:szCs w:val="24"/>
          <w:lang w:val="uk-UA"/>
        </w:rPr>
        <w:t>ефективність.</w:t>
      </w:r>
    </w:p>
    <w:p w:rsidR="006502C5" w:rsidRPr="000108ED" w:rsidRDefault="006502C5" w:rsidP="00221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sz w:val="24"/>
          <w:szCs w:val="24"/>
          <w:lang w:val="uk-UA"/>
        </w:rPr>
        <w:t>На закінчення хотілося б навести слова царя Соломона: «Чаша життя була б прісною, якщо в ній не було б хоч краплі гіркоти». Головне, щоб ця гіркота не привела до патологічних процесів. Будемо сподіватися на УДХК, яка теж гірка, як жовчна кислота, зате корисна.</w:t>
      </w:r>
    </w:p>
    <w:p w:rsidR="006502C5" w:rsidRPr="000108ED" w:rsidRDefault="006502C5" w:rsidP="0065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7758" w:rsidRPr="000108ED" w:rsidRDefault="00F87758" w:rsidP="006502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08E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0108ED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0108ED">
        <w:rPr>
          <w:rFonts w:ascii="Times New Roman" w:hAnsi="Times New Roman" w:cs="Times New Roman"/>
          <w:b/>
          <w:sz w:val="24"/>
          <w:szCs w:val="24"/>
          <w:lang w:val="uk-UA"/>
        </w:rPr>
        <w:t>тература:</w:t>
      </w:r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58077950"/>
      <w:r w:rsidRPr="005E5852">
        <w:rPr>
          <w:rFonts w:ascii="Times New Roman" w:hAnsi="Times New Roman" w:cs="Times New Roman"/>
          <w:sz w:val="24"/>
          <w:szCs w:val="24"/>
        </w:rPr>
        <w:t xml:space="preserve">Антациды при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желчном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рефлюксе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2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5E5852">
        <w:rPr>
          <w:rFonts w:ascii="Times New Roman" w:hAnsi="Times New Roman" w:cs="Times New Roman"/>
          <w:sz w:val="24"/>
          <w:szCs w:val="24"/>
        </w:rPr>
        <w:t xml:space="preserve"> исследование связывания желчных кислот ионами магния и кальция. </w:t>
      </w:r>
      <w:r w:rsidRPr="005E5852">
        <w:rPr>
          <w:rFonts w:ascii="Times New Roman" w:hAnsi="Times New Roman" w:cs="Times New Roman"/>
          <w:i/>
          <w:sz w:val="24"/>
          <w:szCs w:val="24"/>
        </w:rPr>
        <w:t>Русский медицинский журнал. Медицинское обозрение: Гастроэнтерология</w:t>
      </w:r>
      <w:r w:rsidRPr="005E5852">
        <w:rPr>
          <w:rFonts w:ascii="Times New Roman" w:hAnsi="Times New Roman" w:cs="Times New Roman"/>
          <w:sz w:val="24"/>
          <w:szCs w:val="24"/>
        </w:rPr>
        <w:t>. 2017. № 2. С. 65–67.</w:t>
      </w:r>
      <w:bookmarkEnd w:id="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58077849"/>
      <w:proofErr w:type="spellStart"/>
      <w:proofErr w:type="gramStart"/>
      <w:r w:rsidRPr="005E5852">
        <w:rPr>
          <w:rFonts w:ascii="Times New Roman" w:hAnsi="Times New Roman" w:cs="Times New Roman"/>
          <w:sz w:val="24"/>
          <w:szCs w:val="24"/>
        </w:rPr>
        <w:t>Бабак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О.Я. Желчный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: современные взгляды на патогенез и лечение.</w:t>
      </w:r>
      <w:proofErr w:type="gramEnd"/>
      <w:r w:rsidR="00CA27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Сучасна</w:t>
      </w:r>
      <w:proofErr w:type="spellEnd"/>
      <w:r w:rsidR="00CA27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гастроэнтеролог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2003. № 1. С. 28–30.</w:t>
      </w:r>
      <w:bookmarkEnd w:id="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8077773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Бордин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Д.С., Беляева Г.С.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показатели вегетативного тонуса у больных язвенной болезнью двенадцатиперстной кишки.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Гастробюллетень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</w:rPr>
        <w:t>: материалы 2-й объединенной Всероссийской, всеармейской научной конференции</w:t>
      </w:r>
      <w:r w:rsidRPr="005E5852">
        <w:rPr>
          <w:rFonts w:ascii="Times New Roman" w:hAnsi="Times New Roman" w:cs="Times New Roman"/>
          <w:sz w:val="24"/>
          <w:szCs w:val="24"/>
        </w:rPr>
        <w:t>. 2000. № 1–2. Прил. 1. С. 13.</w:t>
      </w:r>
      <w:bookmarkEnd w:id="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58077954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Буеверов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А.О. Возможности клинического применения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урсодезоксихолевой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кислоты.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Consilium</w:t>
      </w:r>
      <w:proofErr w:type="spellEnd"/>
      <w:r w:rsidR="00CA27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Medicum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2005. Т. 7, № 6. С. 460–463.</w:t>
      </w:r>
      <w:bookmarkEnd w:id="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58077818"/>
      <w:r w:rsidRPr="005E5852">
        <w:rPr>
          <w:rFonts w:ascii="Times New Roman" w:hAnsi="Times New Roman" w:cs="Times New Roman"/>
          <w:sz w:val="24"/>
          <w:szCs w:val="24"/>
        </w:rPr>
        <w:t xml:space="preserve">Василенко В.Х.,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Гребенев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А.Л., Шептулин А.А. Язвенная болезнь: современные представления о патогенезе, диагностике, лечении. М.: Медицина, 1987. 288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58077793"/>
      <w:r w:rsidRPr="005E5852">
        <w:rPr>
          <w:rFonts w:ascii="Times New Roman" w:hAnsi="Times New Roman" w:cs="Times New Roman"/>
          <w:sz w:val="24"/>
          <w:szCs w:val="24"/>
        </w:rPr>
        <w:t xml:space="preserve">Вахрушев Я.М.,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Муравцева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О.В. Комплексная оценка действия ингибиторов секреции соляной кислоты на функциональное состояние желудка при язвенной болезни. </w:t>
      </w:r>
      <w:r w:rsidRPr="005E5852">
        <w:rPr>
          <w:rFonts w:ascii="Times New Roman" w:hAnsi="Times New Roman" w:cs="Times New Roman"/>
          <w:i/>
          <w:sz w:val="24"/>
          <w:szCs w:val="24"/>
        </w:rPr>
        <w:t>Тер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A27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рхив</w:t>
      </w:r>
      <w:r w:rsidRPr="005E5852">
        <w:rPr>
          <w:rFonts w:ascii="Times New Roman" w:hAnsi="Times New Roman" w:cs="Times New Roman"/>
          <w:sz w:val="24"/>
          <w:szCs w:val="24"/>
        </w:rPr>
        <w:t>. 2006. № 2. С. 35–38.</w:t>
      </w:r>
      <w:bookmarkEnd w:id="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077800"/>
      <w:r w:rsidRPr="005E5852">
        <w:rPr>
          <w:rFonts w:ascii="Times New Roman" w:hAnsi="Times New Roman" w:cs="Times New Roman"/>
          <w:sz w:val="24"/>
          <w:szCs w:val="24"/>
        </w:rPr>
        <w:t xml:space="preserve">Витебский Я.Д., Иванов Г.Г., Левкина А.А. Характеристика ночной секреции желудка у больных язвенной болезнью и ее связь с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рефлюксом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</w:t>
      </w:r>
      <w:r w:rsidRPr="005E5852">
        <w:rPr>
          <w:rFonts w:ascii="Times New Roman" w:hAnsi="Times New Roman" w:cs="Times New Roman"/>
          <w:i/>
          <w:sz w:val="24"/>
          <w:szCs w:val="24"/>
        </w:rPr>
        <w:t>Тер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A27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рхив</w:t>
      </w:r>
      <w:r w:rsidRPr="005E5852">
        <w:rPr>
          <w:rFonts w:ascii="Times New Roman" w:hAnsi="Times New Roman" w:cs="Times New Roman"/>
          <w:sz w:val="24"/>
          <w:szCs w:val="24"/>
        </w:rPr>
        <w:t>. 1980. № 2. С. 48–57.</w:t>
      </w:r>
      <w:bookmarkEnd w:id="6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58077780"/>
      <w:r w:rsidRPr="005E5852">
        <w:rPr>
          <w:rFonts w:ascii="Times New Roman" w:hAnsi="Times New Roman" w:cs="Times New Roman"/>
          <w:sz w:val="24"/>
          <w:szCs w:val="24"/>
        </w:rPr>
        <w:t xml:space="preserve">Волков В.С., Колесникова И.Ю.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язвенная болезнь двенадцатиперстной кишки — расставим точки над «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». </w:t>
      </w:r>
      <w:r w:rsidRPr="005E5852">
        <w:rPr>
          <w:rFonts w:ascii="Times New Roman" w:hAnsi="Times New Roman" w:cs="Times New Roman"/>
          <w:i/>
          <w:sz w:val="24"/>
          <w:szCs w:val="24"/>
        </w:rPr>
        <w:t>Верхневолжский мед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CA271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урнал</w:t>
      </w:r>
      <w:r w:rsidRPr="005E5852">
        <w:rPr>
          <w:rFonts w:ascii="Times New Roman" w:hAnsi="Times New Roman" w:cs="Times New Roman"/>
          <w:sz w:val="24"/>
          <w:szCs w:val="24"/>
        </w:rPr>
        <w:t xml:space="preserve">. 2010. Т. 8,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1. С. 26–29.</w:t>
      </w:r>
      <w:bookmarkEnd w:id="7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8077840"/>
      <w:proofErr w:type="spellStart"/>
      <w:r w:rsidRPr="005E5852">
        <w:rPr>
          <w:rFonts w:ascii="Times New Roman" w:hAnsi="Times New Roman" w:cs="Times New Roman"/>
          <w:sz w:val="24"/>
          <w:szCs w:val="24"/>
        </w:rPr>
        <w:lastRenderedPageBreak/>
        <w:t>Галиев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Ш.З.,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Н.Б.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как причина развития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рефлюкс-гастрита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</w:t>
      </w:r>
      <w:r w:rsidRPr="005E5852">
        <w:rPr>
          <w:rFonts w:ascii="Times New Roman" w:hAnsi="Times New Roman" w:cs="Times New Roman"/>
          <w:i/>
          <w:sz w:val="24"/>
          <w:szCs w:val="24"/>
        </w:rPr>
        <w:t>Вестник современной клинической медицины</w:t>
      </w:r>
      <w:r w:rsidRPr="005E5852">
        <w:rPr>
          <w:rFonts w:ascii="Times New Roman" w:hAnsi="Times New Roman" w:cs="Times New Roman"/>
          <w:sz w:val="24"/>
          <w:szCs w:val="24"/>
        </w:rPr>
        <w:t xml:space="preserve">. 2015. Т. 8,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2. С. 50–61.</w:t>
      </w:r>
      <w:bookmarkEnd w:id="8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8078107"/>
      <w:r w:rsidRPr="005E5852">
        <w:rPr>
          <w:rFonts w:ascii="Times New Roman" w:hAnsi="Times New Roman" w:cs="Times New Roman"/>
          <w:sz w:val="24"/>
          <w:szCs w:val="24"/>
        </w:rPr>
        <w:t xml:space="preserve">Григорьева И.Н.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Урсодезоксихолевая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кислота во внутренней медицине. М.: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Медпрактика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М, 2012. 152 с.</w:t>
      </w:r>
      <w:bookmarkEnd w:id="9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58077873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Губергриц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Н.Б., Лукашевич Г.М.,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Голубова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О.А., Фоменко П.Г. Дуоденальная гипертензия в практике гастроэнтеролога. </w:t>
      </w:r>
      <w:r w:rsidRPr="005E5852">
        <w:rPr>
          <w:rFonts w:ascii="Times New Roman" w:hAnsi="Times New Roman" w:cs="Times New Roman"/>
          <w:i/>
          <w:sz w:val="24"/>
          <w:szCs w:val="24"/>
        </w:rPr>
        <w:t xml:space="preserve">Вестник Клуба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Панкреатологов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2012. № 4. С. 48–51.</w:t>
      </w:r>
      <w:bookmarkEnd w:id="1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58078056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М.Ю.,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М.О.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Дуоденогастральний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клінічне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5E58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Здоров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5E5852">
        <w:rPr>
          <w:rFonts w:ascii="Times New Roman" w:hAnsi="Times New Roman" w:cs="Times New Roman"/>
          <w:i/>
          <w:sz w:val="24"/>
          <w:szCs w:val="24"/>
        </w:rPr>
        <w:t>яУкраїни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2018. № 5. С. 36–37.</w:t>
      </w:r>
      <w:bookmarkEnd w:id="1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8077912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Кімакович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В.Й.,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Грубнік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В.В., Мельниченко Ю.А., Тумак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Діагностична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лікувальна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ендоскопія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травного каналу.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: Мс, 2003. 208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1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58077784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Коротько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Г.Ф. Желудочное пищеварение в технологическом ракурсе. </w:t>
      </w:r>
      <w:r w:rsidRPr="005E5852">
        <w:rPr>
          <w:rFonts w:ascii="Times New Roman" w:hAnsi="Times New Roman" w:cs="Times New Roman"/>
          <w:i/>
          <w:sz w:val="24"/>
          <w:szCs w:val="24"/>
        </w:rPr>
        <w:t>Кубанский научный мед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естник</w:t>
      </w:r>
      <w:r w:rsidRPr="005E5852">
        <w:rPr>
          <w:rFonts w:ascii="Times New Roman" w:hAnsi="Times New Roman" w:cs="Times New Roman"/>
          <w:sz w:val="24"/>
          <w:szCs w:val="24"/>
        </w:rPr>
        <w:t>. 2006. № 7–8. С. 17–22.</w:t>
      </w:r>
      <w:bookmarkEnd w:id="1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8077768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Коротько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Г.Ф. Физиология системы пищеварения. Краснодар: ООО БК «Группа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», 2009. 608 с.</w:t>
      </w:r>
      <w:bookmarkEnd w:id="1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58078048"/>
      <w:r w:rsidRPr="005E5852">
        <w:rPr>
          <w:rFonts w:ascii="Times New Roman" w:hAnsi="Times New Roman" w:cs="Times New Roman"/>
          <w:sz w:val="24"/>
          <w:szCs w:val="24"/>
        </w:rPr>
        <w:t xml:space="preserve">Лазебник Л.Б., Ильченко Л.Ю., Голованов Е.В.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Урсодезоксихолевая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кислота. К 100-летию обнаружения.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Consilium</w:t>
      </w:r>
      <w:proofErr w:type="spell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medicum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2002. № 2,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Прилож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С. 10–14.</w:t>
      </w:r>
      <w:bookmarkEnd w:id="1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58077837"/>
      <w:r w:rsidRPr="005E5852">
        <w:rPr>
          <w:rFonts w:ascii="Times New Roman" w:hAnsi="Times New Roman" w:cs="Times New Roman"/>
          <w:sz w:val="24"/>
          <w:szCs w:val="24"/>
        </w:rPr>
        <w:t xml:space="preserve">Лапина Т.Л.,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Буеверов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А.О. Горечь во рту: интерпретация гастроэнтеролога. </w:t>
      </w:r>
      <w:r w:rsidRPr="005E5852">
        <w:rPr>
          <w:rFonts w:ascii="Times New Roman" w:hAnsi="Times New Roman" w:cs="Times New Roman"/>
          <w:i/>
          <w:sz w:val="24"/>
          <w:szCs w:val="24"/>
        </w:rPr>
        <w:t>Клин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 xml:space="preserve">ерспективы гастроэнтерологии,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гепатологии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2013. № 3. С. 18–24.</w:t>
      </w:r>
      <w:bookmarkEnd w:id="16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58078063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Лейшнер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У. Практическое руководство по заболеваниям желчных путей. М.: ГЭОТАР Медицина, 2001. 264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58077844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Мазуренко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Заблодский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Товсташов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А.Л.,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Матющенко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: морфологическая оценка у детей. </w:t>
      </w:r>
      <w:r w:rsidRPr="005E5852">
        <w:rPr>
          <w:rFonts w:ascii="Times New Roman" w:hAnsi="Times New Roman" w:cs="Times New Roman"/>
          <w:i/>
          <w:sz w:val="24"/>
          <w:szCs w:val="24"/>
        </w:rPr>
        <w:t>Доказательная гастроэнтерология</w:t>
      </w:r>
      <w:r w:rsidRPr="005E5852">
        <w:rPr>
          <w:rFonts w:ascii="Times New Roman" w:hAnsi="Times New Roman" w:cs="Times New Roman"/>
          <w:sz w:val="24"/>
          <w:szCs w:val="24"/>
        </w:rPr>
        <w:t>. 2016. № 3. С. 3–9.</w:t>
      </w:r>
      <w:bookmarkEnd w:id="18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8078167"/>
      <w:r w:rsidRPr="005E5852">
        <w:rPr>
          <w:rFonts w:ascii="Times New Roman" w:hAnsi="Times New Roman" w:cs="Times New Roman"/>
          <w:sz w:val="24"/>
          <w:szCs w:val="24"/>
        </w:rPr>
        <w:t xml:space="preserve">Онучина Е.В.,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В.В., Осипенко М.Ф. Применение препарата УДХК (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Урсосан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) в терапевтическом ведении больных пищеводом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Барретта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Эксперим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</w:rPr>
        <w:t>. и клин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астроэнтерология</w:t>
      </w:r>
      <w:r w:rsidRPr="005E5852">
        <w:rPr>
          <w:rFonts w:ascii="Times New Roman" w:hAnsi="Times New Roman" w:cs="Times New Roman"/>
          <w:sz w:val="24"/>
          <w:szCs w:val="24"/>
        </w:rPr>
        <w:t>. 2010. № 12. С. 96–101.</w:t>
      </w:r>
      <w:bookmarkEnd w:id="19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58077929"/>
      <w:r w:rsidRPr="005E5852">
        <w:rPr>
          <w:rFonts w:ascii="Times New Roman" w:hAnsi="Times New Roman" w:cs="Times New Roman"/>
          <w:sz w:val="24"/>
          <w:szCs w:val="24"/>
        </w:rPr>
        <w:t xml:space="preserve">Пасечников В.Д., Пасечников Д.В.,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Гогуев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Р.К.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Рефрактерность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 проводимой терапии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болезни: определение, распространенность, причины, алгоритм диагностики и ведение больных. </w:t>
      </w:r>
      <w:r w:rsidRPr="005E5852">
        <w:rPr>
          <w:rFonts w:ascii="Times New Roman" w:hAnsi="Times New Roman" w:cs="Times New Roman"/>
          <w:i/>
          <w:sz w:val="24"/>
          <w:szCs w:val="24"/>
        </w:rPr>
        <w:t>Клин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 xml:space="preserve">ерспективы гастроэнтерологии,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гепатологии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2011. № 2. С. 27–36.</w:t>
      </w:r>
      <w:bookmarkEnd w:id="2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Ref58077852"/>
      <w:r w:rsidRPr="005E5852">
        <w:rPr>
          <w:rFonts w:ascii="Times New Roman" w:hAnsi="Times New Roman" w:cs="Times New Roman"/>
          <w:sz w:val="24"/>
          <w:szCs w:val="24"/>
        </w:rPr>
        <w:t xml:space="preserve">Передерий В.Г., Ткач С.М.,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Кузенко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Ю.Г.,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Скопиченко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Кислотозависимые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заболевания. К.: «ААБ» и «ВСБ», 2008. 425 с.</w:t>
      </w:r>
      <w:bookmarkEnd w:id="2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58077824"/>
      <w:r w:rsidRPr="005E5852">
        <w:rPr>
          <w:rFonts w:ascii="Times New Roman" w:hAnsi="Times New Roman" w:cs="Times New Roman"/>
          <w:sz w:val="24"/>
          <w:szCs w:val="24"/>
        </w:rPr>
        <w:lastRenderedPageBreak/>
        <w:t xml:space="preserve">Пономарев А.А., Куликов Е.П. Необычные язвы желудка и двенадцатиперстной кишки. Рязань: Узорочье, 2003. 343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2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58077810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Рысс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Е.С. Введение в гастроэнтерологию : учеб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особие. СПб.: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, 2005. 175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2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58078040"/>
      <w:r w:rsidRPr="005E5852">
        <w:rPr>
          <w:rFonts w:ascii="Times New Roman" w:hAnsi="Times New Roman" w:cs="Times New Roman"/>
          <w:sz w:val="24"/>
          <w:szCs w:val="24"/>
        </w:rPr>
        <w:t xml:space="preserve">Скворцова Т.Э.,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Ситкин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С.И., Радченко В.Г., Селиверстов П.В., Ткаченко Е.И. Желчнокаменная болезнь: современные подходы к диагностике, лечению и профилактике. М., 2014. 40 с.</w:t>
      </w:r>
      <w:bookmarkEnd w:id="2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58077962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Сторонова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О.А., Трухманов А.С. Практическому врачу о продолжительной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интрагастральной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рН-метрии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: пособие для врачей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од ред. В.Т. Ивашкина. М.: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Медпрактика-М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, 2012. 16 с.</w:t>
      </w:r>
      <w:bookmarkEnd w:id="2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58077762"/>
      <w:r w:rsidRPr="005E5852">
        <w:rPr>
          <w:rFonts w:ascii="Times New Roman" w:hAnsi="Times New Roman" w:cs="Times New Roman"/>
          <w:sz w:val="24"/>
          <w:szCs w:val="24"/>
        </w:rPr>
        <w:t xml:space="preserve">Ткач С.М.,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Кузенко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Ю.Г.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: современный взгляд на старую проблему.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Здоров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5E5852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2019. № 2. С. 34–35.</w:t>
      </w:r>
      <w:bookmarkEnd w:id="26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58077788"/>
      <w:r w:rsidRPr="005E5852">
        <w:rPr>
          <w:rFonts w:ascii="Times New Roman" w:hAnsi="Times New Roman" w:cs="Times New Roman"/>
          <w:sz w:val="24"/>
          <w:szCs w:val="24"/>
        </w:rPr>
        <w:t xml:space="preserve">Филимонов P.M., Широкова К.И. О значении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дуоденогастрального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желчи при язвенной болезни двенадцатиперстной кишки у подростков. </w:t>
      </w:r>
      <w:r w:rsidRPr="005E5852">
        <w:rPr>
          <w:rFonts w:ascii="Times New Roman" w:hAnsi="Times New Roman" w:cs="Times New Roman"/>
          <w:i/>
          <w:sz w:val="24"/>
          <w:szCs w:val="24"/>
        </w:rPr>
        <w:t>Клин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едицина</w:t>
      </w:r>
      <w:r w:rsidRPr="005E5852">
        <w:rPr>
          <w:rFonts w:ascii="Times New Roman" w:hAnsi="Times New Roman" w:cs="Times New Roman"/>
          <w:sz w:val="24"/>
          <w:szCs w:val="24"/>
        </w:rPr>
        <w:t>. 1981. № 3. С. 56–57.</w:t>
      </w:r>
      <w:bookmarkEnd w:id="27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58077856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Чернин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В.В. Болезни пищевода, желудка и двенадцатиперстной кишки. М.: Мед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5E58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нформ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агентство, 2010. 528 с.</w:t>
      </w:r>
      <w:bookmarkEnd w:id="28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Ref58077859"/>
      <w:proofErr w:type="spellStart"/>
      <w:r w:rsidRPr="005E5852">
        <w:rPr>
          <w:rFonts w:ascii="Times New Roman" w:hAnsi="Times New Roman" w:cs="Times New Roman"/>
          <w:sz w:val="24"/>
          <w:szCs w:val="24"/>
        </w:rPr>
        <w:t>Чернин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В.В. Хронический гастрит. Тверь: Триада, 2006. 304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.</w:t>
      </w:r>
      <w:bookmarkEnd w:id="29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Ref58078053"/>
      <w:r w:rsidRPr="005E5852">
        <w:rPr>
          <w:rFonts w:ascii="Times New Roman" w:hAnsi="Times New Roman" w:cs="Times New Roman"/>
          <w:sz w:val="24"/>
          <w:szCs w:val="24"/>
        </w:rPr>
        <w:t xml:space="preserve">Юрьев К.Л.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Адеметионин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при болезнях печени. Доказательное досье.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</w:rPr>
        <w:t>Укр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</w:rPr>
        <w:t>. мед</w:t>
      </w:r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B06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proofErr w:type="gramStart"/>
      <w:r w:rsidRPr="005E5852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5E5852">
        <w:rPr>
          <w:rFonts w:ascii="Times New Roman" w:hAnsi="Times New Roman" w:cs="Times New Roman"/>
          <w:i/>
          <w:sz w:val="24"/>
          <w:szCs w:val="24"/>
        </w:rPr>
        <w:t>асопис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 2011. № 3. С. 63–69.</w:t>
      </w:r>
      <w:bookmarkEnd w:id="3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1" w:name="_Ref58078147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Aggio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Mastropaolo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G., Di Mario F.,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Cannizzaro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Naccarato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R. Use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in the treatment of functional dyspepsia (a double-blind versus placebo study).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Minerva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Dietol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1986. Vol. 32, No 3. P. 303–306.</w:t>
      </w:r>
      <w:bookmarkEnd w:id="3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2" w:name="_Ref58077756"/>
      <w:r w:rsidRPr="005E5852">
        <w:rPr>
          <w:rFonts w:ascii="Times New Roman" w:hAnsi="Times New Roman" w:cs="Times New Roman"/>
          <w:sz w:val="24"/>
          <w:szCs w:val="24"/>
          <w:lang w:val="en-US"/>
        </w:rPr>
        <w:t>Beaumont W. Experiments and observations on the physiology of digestion. Plattsburgh: F. P. Allen, 1833.</w:t>
      </w:r>
      <w:bookmarkEnd w:id="3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3" w:name="_Ref58077891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Behrens M., Meyerhof W. Oral and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extraoral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bitter taste receptors.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Results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Probl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. Cell Differ.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2010. Vol. 52. P. 87–99.</w:t>
      </w:r>
      <w:bookmarkEnd w:id="3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4" w:name="_Ref58078114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Bozikas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Marsman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W.A.,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Rosmolen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W.D., van Baal J.W.,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Kulik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W., ten Kate F.J.,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Krishnadath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K.K., Bergman J.J. The effect of oral administration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and high-dose proton pump inhibitors on the histology of Barrett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s esophagus.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Dis. Esophagus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2008. Vol. 21, No 4. P. 346–354.</w:t>
      </w:r>
      <w:bookmarkEnd w:id="3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5" w:name="_Ref58078086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Burnat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Majka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Konturek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P.C. Bile acids are multifunctional modulators of the Barrett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s carcinogenesis.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Physiol.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Pharmacol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2010. Vol. 61, No 2. P. 185–192.</w:t>
      </w:r>
      <w:bookmarkEnd w:id="3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6" w:name="_Ref58078184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Elhak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N.G.,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Mostafa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Haleem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Duodenogastroesophageal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reflux: results of medical treatment and anti-reflux surgery.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Hepatogastroenterology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2008. Vol. 55. P. 120–126.</w:t>
      </w:r>
      <w:bookmarkEnd w:id="36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7" w:name="_Ref58077814"/>
      <w:r w:rsidRPr="005E585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Fein M., Fuchs K.H.,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Bohrer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Freys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Thiede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Fiberoptis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technique for the 24-hour bile reflux monitoring.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Dig. Dis. Sci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1996. Vol. 41, No 1. P. 216–225.</w:t>
      </w:r>
      <w:bookmarkEnd w:id="37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8" w:name="_Ref58078143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Frigerio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(UDCA) in the treatment of dyspepsia: a report of a multicenter controlled trial.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Curr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Ther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. Res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1979. Vol. 26. P. 214–224.</w:t>
      </w:r>
      <w:bookmarkEnd w:id="38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9" w:name="_Ref58077935"/>
      <w:r w:rsidRPr="005E5852">
        <w:rPr>
          <w:rFonts w:ascii="Times New Roman" w:hAnsi="Times New Roman" w:cs="Times New Roman"/>
          <w:sz w:val="24"/>
          <w:szCs w:val="24"/>
          <w:lang w:val="en-US"/>
        </w:rPr>
        <w:t>Gad</w:t>
      </w:r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El-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N.A., El-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Hemaly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Hamdy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Abd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El-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Raouf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Mostafa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Haleem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 Bile reflux measurement and its contribution to the severity of reflux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esophagitis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Saudi J.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2007. Vol. 13. P. 180–186.</w:t>
      </w:r>
      <w:bookmarkEnd w:id="39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0" w:name="_Ref58077938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Gawron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A.J., Hirano I. Advances in diagnostic testing for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reflux disease.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World J.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2010. Vol. 14. P. 3750–3756.</w:t>
      </w:r>
      <w:bookmarkEnd w:id="4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1" w:name="_Ref58078100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Huo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X.,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Juergens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S., Zhang X.,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Rezaei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D., Yu C.,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Strauch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E.D., Wang J.Y., Cheng E., Meyer F., Wang D.H., Zhang Q.,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Spechler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S.J., Souza R.F.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causes DNA damage while inducing apoptotic resistance through NF-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κB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activation in benign Barrett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s epithelial cells. </w:t>
      </w:r>
      <w:r w:rsidRPr="00EB06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Am. J. Physiol. </w:t>
      </w:r>
      <w:proofErr w:type="spellStart"/>
      <w:r w:rsidRPr="00EB06F8">
        <w:rPr>
          <w:rFonts w:ascii="Times New Roman" w:hAnsi="Times New Roman" w:cs="Times New Roman"/>
          <w:i/>
          <w:sz w:val="24"/>
          <w:szCs w:val="24"/>
          <w:lang w:val="en-US"/>
        </w:rPr>
        <w:t>Gastrointest</w:t>
      </w:r>
      <w:proofErr w:type="spellEnd"/>
      <w:r w:rsidRPr="00EB06F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Liver Physiol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2011. Vol. 301, No 2. P. G278–286.</w:t>
      </w:r>
      <w:bookmarkEnd w:id="4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2" w:name="_Ref58078120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Kawamura T., Koizumi F.,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Ishimori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 Effect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on water immersion restraint stress ulcer of rats. Nihon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Shokakibyo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Gakkai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Zasshi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1989. Vol. 86, No 10. P. 2373–2378.</w:t>
      </w:r>
      <w:bookmarkEnd w:id="4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3" w:name="_Ref58078071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Kruis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W., Haddad A., Phillips S.F.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Chenodeoxycholic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acids alter motility and fluid transit in the canine ileum.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Digestion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1986. Vol. 34, No 3. P. 185–195.</w:t>
      </w:r>
      <w:bookmarkEnd w:id="4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4" w:name="_Ref58077969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Kunsch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Neesse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Linhart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T., Nell C.,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Gress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Ellenrieder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V. Prospective evaluation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duodenogastroesophageal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reflux in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reflux disease patients refractory to proton pump inhibitor therapy.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Digestion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2012. Vol. 86. P. 315–322.</w:t>
      </w:r>
      <w:bookmarkEnd w:id="4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5" w:name="_Ref58078068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Kurtz W.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Therapeutischewirkungen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ursodeoxycholsaure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(UDC)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anleber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magen-darm-trakt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Verdauungskrankheiten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1992. Vol. 10. P. 153–162.</w:t>
      </w:r>
      <w:bookmarkEnd w:id="4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6" w:name="_Ref58078043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Leonetti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Urbano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V., Forte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Bosco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M.R.,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Nasti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A.G.,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Simonelli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Tchikoka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Bezzi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Polypoid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lesions of the gallbladder: diagnostic and therapeutic problems.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Chir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2005. Vol. 26, No 4. P. 139–142.</w:t>
      </w:r>
      <w:bookmarkEnd w:id="46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7" w:name="_Ref58078135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Ozkaya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Erten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Sahin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Engin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Ciftci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Cakal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Caydere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Demirbas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Ustun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H. The effect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treatment on epidermal growth factor in patients with bile reflux gastritis.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Turk. J.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2002. Vol. 13, No 4. P. 198–202.</w:t>
      </w:r>
      <w:bookmarkEnd w:id="47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8" w:name="_Ref58078158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Pazzi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P., Scalia S.,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Stabellini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 Bile reflux gastritis in patients without prior gastric surgery: therapeutic effects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Cur.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Ther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. Res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1989. Vol. 45. P. 476–487.</w:t>
      </w:r>
      <w:bookmarkEnd w:id="48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9" w:name="_Ref58077920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Richter J.E.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Duodenogastric</w:t>
      </w:r>
      <w:proofErr w:type="spellEnd"/>
      <w:r w:rsidR="00EB0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reflux-induced (alkaline)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esophagitis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Curr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Treat.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Opin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2004. Vol. 7. P. 53–58.</w:t>
      </w:r>
      <w:bookmarkEnd w:id="49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0" w:name="_Ref58077925"/>
      <w:r w:rsidRPr="005E5852">
        <w:rPr>
          <w:rFonts w:ascii="Times New Roman" w:hAnsi="Times New Roman" w:cs="Times New Roman"/>
          <w:sz w:val="24"/>
          <w:szCs w:val="24"/>
          <w:lang w:val="en-US"/>
        </w:rPr>
        <w:t>Richter J.E. Importance of bile reflux in Barrett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s esophagus.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Dig. Dis. Sci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2001. Vol. 8. P. 208–216.</w:t>
      </w:r>
      <w:bookmarkEnd w:id="50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1" w:name="_Ref58078104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lastRenderedPageBreak/>
        <w:t>Siddiqui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A., Rodriguez-Stanley S.,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Zubaidi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S., Miner P.B. Jr. Esophageal visceral sensitivity to bile salts in patients with functional heartburn and in healthy control subjects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. Dig. Dis. Sci. 2005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Vol. 50, No 1. P. 81</w:t>
      </w:r>
      <w:r w:rsidRPr="005E5852">
        <w:rPr>
          <w:rFonts w:ascii="Times New Roman" w:hAnsi="Times New Roman" w:cs="Times New Roman"/>
          <w:sz w:val="24"/>
          <w:szCs w:val="24"/>
        </w:rPr>
        <w:t>–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85.</w:t>
      </w:r>
      <w:bookmarkEnd w:id="51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2" w:name="_Ref58078132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Stefaniwsky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A.B., Tint G.S., Speck J.,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Shefer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Salen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treatment of bile reflux gastritis.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Gastroenterology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1985. Vol. 89. P. 1000–1004.</w:t>
      </w:r>
      <w:bookmarkEnd w:id="52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3" w:name="_Ref58078126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Thao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T.D.,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Ryu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H.C.,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Yoo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S.H., Rhee D.K. Antibacterial and anti-atrophic effects of a highly soluble, acid stable UDCA formula in Helicobacter pylori-induced gastritis.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Biochem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Pharmacol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2008. Vol. 75, No 11. P. 2135–2146.</w:t>
      </w:r>
      <w:bookmarkEnd w:id="53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4" w:name="_Ref58077974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Vaezi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M.F., Richter J.E. Double reflux: double trouble.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Gut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1999. Vol. 44. P. 590–592.</w:t>
      </w:r>
      <w:bookmarkEnd w:id="54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5" w:name="_Ref58078161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Ventura P.,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Girola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Germogli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R. A double-blind controlled trial of the efficacy and safety of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taurohydrodeoxycholic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acid in the treatment of dyspeptic disturbances associated with gall-stones or other hepatic disorders.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Clin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. Drug Invest</w:t>
      </w:r>
      <w:r w:rsidRPr="005E5852">
        <w:rPr>
          <w:rFonts w:ascii="Times New Roman" w:hAnsi="Times New Roman" w:cs="Times New Roman"/>
          <w:sz w:val="24"/>
          <w:szCs w:val="24"/>
          <w:lang w:val="en-US"/>
        </w:rPr>
        <w:t>. 1996. Vol. 11, No 2. P. 77–83.</w:t>
      </w:r>
      <w:bookmarkEnd w:id="55"/>
    </w:p>
    <w:p w:rsidR="00B72E36" w:rsidRPr="005E5852" w:rsidRDefault="00B72E36" w:rsidP="00B72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6" w:name="_Ref58077916"/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Vere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C.C.,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Cazacu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Comanescu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Mogoanta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Rogoveanu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Ciurea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spellStart"/>
      <w:r w:rsidRPr="005E5852">
        <w:rPr>
          <w:rFonts w:ascii="Times New Roman" w:hAnsi="Times New Roman" w:cs="Times New Roman"/>
          <w:sz w:val="24"/>
          <w:szCs w:val="24"/>
          <w:lang w:val="en-US"/>
        </w:rPr>
        <w:t>Endoscopical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 xml:space="preserve"> and histological features in bile reflux gastritis. </w:t>
      </w:r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Rom. J.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Morphol</w:t>
      </w:r>
      <w:proofErr w:type="spellEnd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5E5852">
        <w:rPr>
          <w:rFonts w:ascii="Times New Roman" w:hAnsi="Times New Roman" w:cs="Times New Roman"/>
          <w:i/>
          <w:sz w:val="24"/>
          <w:szCs w:val="24"/>
          <w:lang w:val="en-US"/>
        </w:rPr>
        <w:t>Embryol</w:t>
      </w:r>
      <w:proofErr w:type="spellEnd"/>
      <w:r w:rsidRPr="005E5852">
        <w:rPr>
          <w:rFonts w:ascii="Times New Roman" w:hAnsi="Times New Roman" w:cs="Times New Roman"/>
          <w:sz w:val="24"/>
          <w:szCs w:val="24"/>
          <w:lang w:val="en-US"/>
        </w:rPr>
        <w:t>. 2005. Vol. 46, No 4. P. 269–274.</w:t>
      </w:r>
      <w:bookmarkEnd w:id="56"/>
    </w:p>
    <w:p w:rsidR="00B72E36" w:rsidRPr="005E5852" w:rsidRDefault="00B72E36" w:rsidP="00B72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br w:type="page"/>
      </w:r>
    </w:p>
    <w:p w:rsidR="004E2B3A" w:rsidRPr="00877326" w:rsidRDefault="004E2B3A" w:rsidP="004E2B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lastRenderedPageBreak/>
        <w:t>УДК 616.366-008.811.3 : 616.37-002.2]-092-08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Жовчний </w:t>
      </w:r>
      <w:proofErr w:type="spellStart"/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>рефлюкс</w:t>
      </w:r>
      <w:proofErr w:type="spellEnd"/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особливості його патогенезу та лікування при хронічному панкреатиті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>Н. Б. Губергріц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Н. В. Бєляєва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Г. М. Лукашевич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А. В. Юр’єва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Багатопрофільна клініка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Інто-Сана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, Одеса, Україна</w:t>
      </w:r>
    </w:p>
    <w:p w:rsidR="004E2B3A" w:rsidRPr="00877326" w:rsidRDefault="004E2B3A" w:rsidP="004E2B3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Донецький національний медичний університет, Україна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b/>
          <w:sz w:val="24"/>
          <w:szCs w:val="24"/>
          <w:lang w:val="uk-UA"/>
        </w:rPr>
        <w:t>Ключові слова: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фізіологічний і патологічний жовчні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рефлюкси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>, патогенез, хронічний панкреатит, клініка, діагностика, лікування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Дуоденогастральний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(ДГР) може бути як патологічним, тобто виникати при розладах травлення з порушеннями моторики, так і фізіологічним. </w:t>
      </w:r>
      <w:r>
        <w:rPr>
          <w:rFonts w:ascii="Times New Roman" w:hAnsi="Times New Roman" w:cs="Times New Roman"/>
          <w:sz w:val="24"/>
          <w:szCs w:val="24"/>
          <w:lang w:val="uk-UA"/>
        </w:rPr>
        <w:t>Низка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авторів вважають ДГР захисним механізмом, який дозволяє протистояти активізації дрімаючої інфекції </w:t>
      </w:r>
      <w:proofErr w:type="spellStart"/>
      <w:r w:rsidRPr="00437ED8">
        <w:rPr>
          <w:rFonts w:ascii="Times New Roman" w:hAnsi="Times New Roman" w:cs="Times New Roman"/>
          <w:i/>
          <w:sz w:val="24"/>
          <w:szCs w:val="24"/>
          <w:lang w:val="uk-UA"/>
        </w:rPr>
        <w:t>Helicobacter</w:t>
      </w:r>
      <w:proofErr w:type="spellEnd"/>
      <w:r w:rsidRPr="00437ED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437ED8">
        <w:rPr>
          <w:rFonts w:ascii="Times New Roman" w:hAnsi="Times New Roman" w:cs="Times New Roman"/>
          <w:i/>
          <w:sz w:val="24"/>
          <w:szCs w:val="24"/>
          <w:lang w:val="uk-UA"/>
        </w:rPr>
        <w:t>pylori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. При послабленні ДГР підвищується ризик виразки дванадцятипалої кишки. Інші автори, навпаки, вважають ДГР фактором виникнення та прогресування цього захворювання. Якщо ДГР,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гастроезофагеальний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рефлекс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деяких випадках можна вважати фізіологічними, то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дуоденогастроезофагеальний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(ДГЕР) — завжди патологічний.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Виділяють три принципових механізми формування жовчного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рефлюксу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: неспроможність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сфінктерного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апарат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: дуоденальний вміст може вільно досягати шлунка і стравоходу через пілоричний і нижній стравохідний сфінктер;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антродуоденальна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смотор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— порушення координації між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антральним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>, пілоричним відділами шлунка і дванадцятипало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кишкою, які керують напрямком </w:t>
      </w:r>
      <w:r>
        <w:rPr>
          <w:rFonts w:ascii="Times New Roman" w:hAnsi="Times New Roman" w:cs="Times New Roman"/>
          <w:sz w:val="24"/>
          <w:szCs w:val="24"/>
          <w:lang w:val="uk-UA"/>
        </w:rPr>
        <w:t>потоку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дуоденального вмісту; ліквідація природного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антирефлюксного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бар’єру.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>Вторинний ДГР частіше розвивається через недостатність пілоричного жому, який, у свою чергу, частіше є наслідком анатомічних змін після оперативних втручань (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гастректомії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, резекції шлунка,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гастроентеростомі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ентероентеростомі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ваготомії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). Частою причиною ДГР стає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дуоденостаз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і пов’язана з ним дуоденальна гіпертензія. Це пояснює високу частоту ДГР і ДГЕР після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холецистектомії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при хронічному панкреатиті і при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зовнішньосекреторній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недостатності підшлункової залози.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Традиційно симптомами ДГЕР і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гастроезофагеальн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вважають гіркоту у роті, печію, відрижку. За відчуття гіркого смаку відповідають пов’язані з G-білками рецептори типу T2R, що локалізуються не тільки у ротовій порожнині, а й у верхніх дихальних шляхах,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яких вони </w:t>
      </w:r>
      <w:r>
        <w:rPr>
          <w:rFonts w:ascii="Times New Roman" w:hAnsi="Times New Roman" w:cs="Times New Roman"/>
          <w:sz w:val="24"/>
          <w:szCs w:val="24"/>
          <w:lang w:val="uk-UA"/>
        </w:rPr>
        <w:t>віді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грають роль бар’єра на шляху поширення інфекційних агентів.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Методи виявлення ДГР включають його візуалізацію при ендоскопії, виявлення жовчних солей у шлунковому соку, вимірювання концентрації білірубіну у шлунковому соку за допомогою волоконно-оптичного спектрофотометра або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радіосцинт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графію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(останні три дослідження у клінічній практиці зазвичай не виконуються, а застосовуються з науковою метою). Наразі у клінічну практику впроваджують новий метод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фіброоптичної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спектрофотометрії, заснований на визначенні абсорбційного спектра білірубіну («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Bilitec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2000»). Цей метод призначений саме для діагностики ДГР і ДГЕР.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Основним методом діагностики ДГР і ДГЕР є добова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інтрагастральна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внутрішньостравохідна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рН-метрія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. ДГР визначається як будь-яке збільшення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тіла шлунка вище 5, не пов’язане з прийомом їжі. ДГР вважають вираженим, якщо епізоди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рефлюксів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перевищують 10% часу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моніторування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2B3A" w:rsidRPr="00877326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Основним препаратом лікування ДГР і ДГЕР є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урсодезоксихолева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кислота, яка зменшує ступінь ушкодження слизової шлунка і стравоходу. Це продемонстровано низкою доказових досліджень.</w:t>
      </w:r>
    </w:p>
    <w:p w:rsidR="004E2B3A" w:rsidRDefault="004E2B3A" w:rsidP="004E2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Одним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з ефективних препаратів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урсодезоксихолевої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 кислоти є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Урсоност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(компанія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Органосін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uk-UA"/>
        </w:rPr>
        <w:t>Урсоност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 xml:space="preserve">має європейську якість, зручну форму випуску для дозування пацієнтам з різною масою тіла, </w:t>
      </w:r>
      <w:r>
        <w:rPr>
          <w:rFonts w:ascii="Times New Roman" w:hAnsi="Times New Roman" w:cs="Times New Roman"/>
          <w:sz w:val="24"/>
          <w:szCs w:val="24"/>
          <w:lang w:val="uk-UA"/>
        </w:rPr>
        <w:t>вигідне співвідношення вартість/</w:t>
      </w:r>
      <w:r w:rsidRPr="00877326">
        <w:rPr>
          <w:rFonts w:ascii="Times New Roman" w:hAnsi="Times New Roman" w:cs="Times New Roman"/>
          <w:sz w:val="24"/>
          <w:szCs w:val="24"/>
          <w:lang w:val="uk-UA"/>
        </w:rPr>
        <w:t>ефективність.</w:t>
      </w:r>
    </w:p>
    <w:p w:rsidR="004E2B3A" w:rsidRDefault="004E2B3A" w:rsidP="00B72E3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2B3A" w:rsidRDefault="004E2B3A" w:rsidP="00B72E3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72E36" w:rsidRPr="005E5852" w:rsidRDefault="00B72E36" w:rsidP="00B72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>УДК 616.366-008.811.3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 616.37-002.2]-092-08</w:t>
      </w:r>
    </w:p>
    <w:p w:rsidR="00B72E36" w:rsidRPr="005E5852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52">
        <w:rPr>
          <w:rFonts w:ascii="Times New Roman" w:hAnsi="Times New Roman" w:cs="Times New Roman"/>
          <w:b/>
          <w:sz w:val="24"/>
          <w:szCs w:val="24"/>
        </w:rPr>
        <w:t xml:space="preserve">Желчный </w:t>
      </w:r>
      <w:proofErr w:type="spellStart"/>
      <w:r w:rsidRPr="005E5852">
        <w:rPr>
          <w:rFonts w:ascii="Times New Roman" w:hAnsi="Times New Roman" w:cs="Times New Roman"/>
          <w:b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b/>
          <w:sz w:val="24"/>
          <w:szCs w:val="24"/>
        </w:rPr>
        <w:t xml:space="preserve"> и особенности его патогенеза и лечения при хроническом панкреатите</w:t>
      </w:r>
    </w:p>
    <w:p w:rsidR="00B72E36" w:rsidRPr="005E5852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>Н. Б. Губергриц</w:t>
      </w:r>
      <w:proofErr w:type="gramStart"/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>, Н. В. Беляева</w:t>
      </w:r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5852">
        <w:rPr>
          <w:rFonts w:ascii="Times New Roman" w:hAnsi="Times New Roman" w:cs="Times New Roman"/>
          <w:sz w:val="24"/>
          <w:szCs w:val="24"/>
        </w:rPr>
        <w:t>, Г. М. Лукашевич</w:t>
      </w:r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5852">
        <w:rPr>
          <w:rFonts w:ascii="Times New Roman" w:hAnsi="Times New Roman" w:cs="Times New Roman"/>
          <w:sz w:val="24"/>
          <w:szCs w:val="24"/>
        </w:rPr>
        <w:t>, А. В. Юрьева</w:t>
      </w:r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72E36" w:rsidRPr="005E5852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5852">
        <w:rPr>
          <w:rFonts w:ascii="Times New Roman" w:hAnsi="Times New Roman" w:cs="Times New Roman"/>
          <w:sz w:val="24"/>
          <w:szCs w:val="24"/>
        </w:rPr>
        <w:t xml:space="preserve">Многопрофильная клиника </w:t>
      </w:r>
      <w:r w:rsidR="00CF4B9C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Инто-Сана</w:t>
      </w:r>
      <w:proofErr w:type="spellEnd"/>
      <w:r w:rsidR="00CF4B9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E5852">
        <w:rPr>
          <w:rFonts w:ascii="Times New Roman" w:hAnsi="Times New Roman" w:cs="Times New Roman"/>
          <w:sz w:val="24"/>
          <w:szCs w:val="24"/>
        </w:rPr>
        <w:t>, Одесса, Украина</w:t>
      </w:r>
    </w:p>
    <w:p w:rsidR="00B72E36" w:rsidRPr="005E5852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5852">
        <w:rPr>
          <w:rFonts w:ascii="Times New Roman" w:hAnsi="Times New Roman" w:cs="Times New Roman"/>
          <w:sz w:val="24"/>
          <w:szCs w:val="24"/>
        </w:rPr>
        <w:t>Донецкий национальный медицинский университет, Украина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852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5E5852">
        <w:rPr>
          <w:rFonts w:ascii="Times New Roman" w:hAnsi="Times New Roman" w:cs="Times New Roman"/>
          <w:sz w:val="24"/>
          <w:szCs w:val="24"/>
        </w:rPr>
        <w:t xml:space="preserve"> физиологический и патологический желчные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рефлюксы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, патогенез, хронический панкреатит, клиника, диагностика, лечение</w:t>
      </w:r>
      <w:proofErr w:type="gramEnd"/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Дуоденогастральный</w:t>
      </w:r>
      <w:proofErr w:type="spellEnd"/>
      <w:r w:rsidR="00CF4B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(ДГР) мо</w:t>
      </w:r>
      <w:r w:rsidR="00CF4B9C">
        <w:rPr>
          <w:rFonts w:ascii="Times New Roman" w:hAnsi="Times New Roman" w:cs="Times New Roman"/>
          <w:sz w:val="24"/>
          <w:szCs w:val="24"/>
        </w:rPr>
        <w:t>жет быть как патологическим, т.</w:t>
      </w:r>
      <w:r w:rsidRPr="005E5852">
        <w:rPr>
          <w:rFonts w:ascii="Times New Roman" w:hAnsi="Times New Roman" w:cs="Times New Roman"/>
          <w:sz w:val="24"/>
          <w:szCs w:val="24"/>
        </w:rPr>
        <w:t xml:space="preserve">е. возникать при расстройствах пищеварения с нарушениями моторики, так и физиологическим. Ряд авторов считают ДГР защитным механизмом, который позволяет противостоять активизации дремлющей инфекции </w:t>
      </w:r>
      <w:proofErr w:type="spellStart"/>
      <w:r w:rsidRPr="00CF4B9C">
        <w:rPr>
          <w:rFonts w:ascii="Times New Roman" w:hAnsi="Times New Roman" w:cs="Times New Roman"/>
          <w:i/>
          <w:sz w:val="24"/>
          <w:szCs w:val="24"/>
        </w:rPr>
        <w:t>Helicobacter</w:t>
      </w:r>
      <w:proofErr w:type="spellEnd"/>
      <w:r w:rsidR="00CF4B9C" w:rsidRPr="00CF4B9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F4B9C">
        <w:rPr>
          <w:rFonts w:ascii="Times New Roman" w:hAnsi="Times New Roman" w:cs="Times New Roman"/>
          <w:i/>
          <w:sz w:val="24"/>
          <w:szCs w:val="24"/>
        </w:rPr>
        <w:t>pylori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При ослабевании ДГР повышается риск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пептической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язвы двенадцатиперстной кишки. Другие авторы, напротив, считают ДГР фактором возникновения и прогрессирования этого заболевания. Если ДГР,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гастроэзофагеальный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в ряде случаев можно считать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lastRenderedPageBreak/>
        <w:t>физиологическими</w:t>
      </w:r>
      <w:proofErr w:type="gramEnd"/>
      <w:r w:rsidRPr="005E5852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дуоденогастроэзофагеальный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(ДГЭР) — всегда патологический.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Выделяют три принципиальных механизма формирования желчного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: несостоятельность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сфинктерного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аппарата: дуоденальное содержимое может свободно достигать желудка и пищевода через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пилорический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нижний пищеводный сфинктеры;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антродуоденальная</w:t>
      </w:r>
      <w:proofErr w:type="spellEnd"/>
      <w:r w:rsidR="00CF4B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дисмоторика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— нарушение координации между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антральным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пилорическим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отделами желудка и </w:t>
      </w:r>
      <w:r>
        <w:rPr>
          <w:rFonts w:ascii="Times New Roman" w:hAnsi="Times New Roman" w:cs="Times New Roman"/>
          <w:sz w:val="24"/>
          <w:szCs w:val="24"/>
        </w:rPr>
        <w:t>двенадцатиперстной кишкой</w:t>
      </w:r>
      <w:r w:rsidRPr="005E5852">
        <w:rPr>
          <w:rFonts w:ascii="Times New Roman" w:hAnsi="Times New Roman" w:cs="Times New Roman"/>
          <w:sz w:val="24"/>
          <w:szCs w:val="24"/>
        </w:rPr>
        <w:t xml:space="preserve">, которые управляют направлением тока дуоденального содержимого; ликвидация естественного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антирефлюксного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барьера.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Вторичный ДГР чаще развивается из-за недостаточности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пилорического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жома, который, в свою очередь, чаще является следствием анатомических изменений после оперативных вмешательств (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гастрэктомии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, резекции желудка,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гастроэнтеростомии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энтероэнтеростомии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ваготомии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). Частой причиной ДГР становится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дуоденостаз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связанная с ним дуоденальная гипертензия. Это объясняет высокую частоту ДГР и ДГЭР после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холецистэктомии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при хроническом панкреатите и при внешнесекреторной недостаточности поджелудочной железы. 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Традиционно симптомами ДГЭР 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гастроэзофагеальн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F4B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</w:rPr>
        <w:t>считают горечь во рту, изжогу, отрыжку. За ощущение горького вкуса отвечают сопряженные с G-белками рецепторы типа T2R, локализующиеся не только в ротовой полости, но и в верхних дыхательных путях, в которых они играют роль барьера на пути распространения инфекционных агентов.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Методы выявления ДГР включают его визуализацию при эндоскопии, обнаружение желчных солей в желудочном соке, измерение концентрации билирубина в желудочном соке с помощью волоконно-оптического спектрофотометра или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радиосцинтиграфи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(последние три исследования в клинической практике обычно не выполняются, а применяются в научных целях). В настоящее время в клиническую практику внедряется новый метод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фиброоптической</w:t>
      </w:r>
      <w:proofErr w:type="spellEnd"/>
      <w:r w:rsidR="00CF4B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спектрофотометрии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, основанный на определении абсорбционного спектра билирубина («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Bilitec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2000»). Этот метод предназначен именно для диагностики ДГР и ДГЭР.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Основным методом диагностики ДГР и ДГЭР является </w:t>
      </w:r>
      <w:proofErr w:type="gramStart"/>
      <w:r w:rsidRPr="005E5852">
        <w:rPr>
          <w:rFonts w:ascii="Times New Roman" w:hAnsi="Times New Roman" w:cs="Times New Roman"/>
          <w:sz w:val="24"/>
          <w:szCs w:val="24"/>
        </w:rPr>
        <w:t>суточная</w:t>
      </w:r>
      <w:proofErr w:type="gramEnd"/>
      <w:r w:rsidR="00CF4B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интрагастральная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внутрипищеводная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рН-метрия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. ДГР определяется как любое увеличение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тела желудка выше 5, не связанное с приемом пищи. ДГР считают выраженным, если эпизоды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рефлюксов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превышают 10% времени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мониторирования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>.</w:t>
      </w:r>
    </w:p>
    <w:p w:rsidR="00B72E36" w:rsidRPr="005E5852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lastRenderedPageBreak/>
        <w:t xml:space="preserve">Основным препаратом </w:t>
      </w:r>
      <w:r w:rsidR="00437ED8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5E5852">
        <w:rPr>
          <w:rFonts w:ascii="Times New Roman" w:hAnsi="Times New Roman" w:cs="Times New Roman"/>
          <w:sz w:val="24"/>
          <w:szCs w:val="24"/>
        </w:rPr>
        <w:t xml:space="preserve">лечения ДГР и ДГЭР является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урсодезоксихолевая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кислота, которая уменьшает степень повреждения слизистой желудка и пищевода. Это продемонстрировано в ряде доказательных исследований.</w:t>
      </w:r>
    </w:p>
    <w:p w:rsidR="00B72E3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852">
        <w:rPr>
          <w:rFonts w:ascii="Times New Roman" w:hAnsi="Times New Roman" w:cs="Times New Roman"/>
          <w:sz w:val="24"/>
          <w:szCs w:val="24"/>
        </w:rPr>
        <w:t xml:space="preserve">Одним из эффективных препаратов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урсодезоксихолев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кислот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37E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852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Урсоност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(компания </w:t>
      </w:r>
      <w:r w:rsidR="00437ED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Органосин</w:t>
      </w:r>
      <w:proofErr w:type="spellEnd"/>
      <w:r w:rsidR="00437ED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E58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E5852">
        <w:rPr>
          <w:rFonts w:ascii="Times New Roman" w:hAnsi="Times New Roman" w:cs="Times New Roman"/>
          <w:sz w:val="24"/>
          <w:szCs w:val="24"/>
        </w:rPr>
        <w:t>Урсоност</w:t>
      </w:r>
      <w:proofErr w:type="spellEnd"/>
      <w:r w:rsidRPr="005E5852">
        <w:rPr>
          <w:rFonts w:ascii="Times New Roman" w:hAnsi="Times New Roman" w:cs="Times New Roman"/>
          <w:sz w:val="24"/>
          <w:szCs w:val="24"/>
        </w:rPr>
        <w:t xml:space="preserve"> имеет европейское качество, удобную форму выпуска для дозирования пациентам с различной массой тела, выгодное соотношение стоимость/эффективность.</w:t>
      </w:r>
    </w:p>
    <w:p w:rsidR="00B72E3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3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2E36" w:rsidRPr="00877326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77326">
        <w:rPr>
          <w:rFonts w:ascii="Times New Roman" w:hAnsi="Times New Roman" w:cs="Times New Roman"/>
          <w:b/>
          <w:sz w:val="24"/>
          <w:szCs w:val="24"/>
          <w:lang w:val="en-US"/>
        </w:rPr>
        <w:t>Biliary</w:t>
      </w:r>
      <w:proofErr w:type="spellEnd"/>
      <w:r w:rsidRPr="008773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reflux and features of its pathogenesis and treatment in chronic pancreatitis</w:t>
      </w:r>
    </w:p>
    <w:p w:rsidR="00B72E36" w:rsidRPr="00877326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79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Gubergrits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Byelyayeva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Lukashevich</w:t>
      </w:r>
      <w:r w:rsidRPr="0087732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A. V. Yuryeva</w:t>
      </w:r>
      <w:r w:rsidRPr="00E379D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B72E36" w:rsidRPr="00E379D6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79D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 xml:space="preserve">Multifield Clinic </w:t>
      </w:r>
      <w:r w:rsidR="006A0D9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Into-Sana</w:t>
      </w:r>
      <w:r w:rsidR="006A0D9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, Odessa, Ukraine</w:t>
      </w:r>
    </w:p>
    <w:p w:rsidR="00B72E36" w:rsidRPr="00877326" w:rsidRDefault="00B72E36" w:rsidP="00B72E3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79D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379D6">
        <w:rPr>
          <w:rFonts w:ascii="Times New Roman" w:hAnsi="Times New Roman" w:cs="Times New Roman"/>
          <w:sz w:val="24"/>
          <w:szCs w:val="24"/>
          <w:lang w:val="en-US"/>
        </w:rPr>
        <w:t>Donetsk National Medical University, Ukraine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6A0D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r w:rsidRPr="0087732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6A0D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physiological and pathological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biliary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refluxes, pathogenesis, chronic pancreatitis, clinical picture, diagnosis, treatment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Gastroduodenal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reflux (GDR) can be both pathological,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which means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it can occur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digestive disorders with motor disorders, and physiological. A number of authors consider G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R to be a protective mechanism that can resist the activation of a dormant</w:t>
      </w:r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0D9D">
        <w:rPr>
          <w:rFonts w:ascii="Times New Roman" w:hAnsi="Times New Roman" w:cs="Times New Roman"/>
          <w:i/>
          <w:sz w:val="24"/>
          <w:szCs w:val="24"/>
          <w:lang w:val="en-US"/>
        </w:rPr>
        <w:t>Helicobacter pylori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infection.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he risk of peptic duodenal ulcer increases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ith a weakening of G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Other authors, on the contrary, </w:t>
      </w:r>
      <w:r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 factor in the onset and progression of this disease. If GDR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reflux in some cases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be considered physiological, then </w:t>
      </w:r>
      <w:proofErr w:type="spellStart"/>
      <w:r w:rsidRPr="00EE3DD6">
        <w:rPr>
          <w:rFonts w:ascii="Times New Roman" w:hAnsi="Times New Roman" w:cs="Times New Roman"/>
          <w:sz w:val="24"/>
          <w:szCs w:val="24"/>
          <w:lang w:val="en-US"/>
        </w:rPr>
        <w:t>duodenogastroesophageal</w:t>
      </w:r>
      <w:proofErr w:type="spellEnd"/>
      <w:r w:rsidRPr="00EE3DD6">
        <w:rPr>
          <w:rFonts w:ascii="Times New Roman" w:hAnsi="Times New Roman" w:cs="Times New Roman"/>
          <w:sz w:val="24"/>
          <w:szCs w:val="24"/>
          <w:lang w:val="en-US"/>
        </w:rPr>
        <w:t xml:space="preserve"> reflux (DGER)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is always pathological.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There are three principal mechanisms for the formation of bile reflux: inconsistency of the sphincter apparatus: the duodenal contents can freely reach the stomach and esophagus through the pyloric and lower esophageal sphincters;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antroduodenal</w:t>
      </w:r>
      <w:proofErr w:type="spellEnd"/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dysmotility</w:t>
      </w:r>
      <w:proofErr w:type="spellEnd"/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 violation of coordination between the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antrum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pyloric parts of the stomach and duodenum, which control the direction of the flow of duodenal contents; elimination of the natural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antireflux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barrier.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Secondary GDR develops more </w:t>
      </w:r>
      <w:r>
        <w:rPr>
          <w:rFonts w:ascii="Times New Roman" w:hAnsi="Times New Roman" w:cs="Times New Roman"/>
          <w:sz w:val="24"/>
          <w:szCs w:val="24"/>
          <w:lang w:val="en-US"/>
        </w:rPr>
        <w:t>frequently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due to insufficiency of the pyloric pulp, which, in turn, is more often the result of anatomical changes after surgery (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gastrectomy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gastric resection,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gastroenterostomy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enteroenterostomy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877326">
        <w:rPr>
          <w:rFonts w:ascii="Times New Roman" w:hAnsi="Times New Roman" w:cs="Times New Roman"/>
          <w:sz w:val="24"/>
          <w:szCs w:val="24"/>
          <w:lang w:val="en-US"/>
        </w:rPr>
        <w:t>vagotomy</w:t>
      </w:r>
      <w:proofErr w:type="spellEnd"/>
      <w:proofErr w:type="gram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Duodenostasis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and associated duodenal hypertension are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common cause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of G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R. This explains the high frequency of G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and D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ER after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cholecystectomy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in chronic pancreatitis and in exocrine pancreatic insufficiency.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Typically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, bitterness in the mouth, heartburn,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belching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the symptoms of D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ER and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gastroesophageal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reflux</w:t>
      </w:r>
      <w:bookmarkStart w:id="57" w:name="_GoBack"/>
      <w:bookmarkEnd w:id="57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. G-protein </w:t>
      </w:r>
      <w:r w:rsidRPr="00C505CE">
        <w:rPr>
          <w:rFonts w:ascii="Times New Roman" w:hAnsi="Times New Roman" w:cs="Times New Roman"/>
          <w:sz w:val="24"/>
          <w:szCs w:val="24"/>
          <w:lang w:val="en-US"/>
        </w:rPr>
        <w:t xml:space="preserve">conjugated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receptors of the T2R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responsible for</w:t>
      </w:r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he sensation of bitter taste, which are localized not only in the oral cavity, but also in the upper respiratory tract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they act as a barrier to the spread of infectious agents.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for detecting G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include imaging by endoscopy, detecting bile salts in gastric juice, measuring the concentration of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bilirubin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in gastric juice using a fiber optic spectrophotometer, or radio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scintigraphy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(the latter three studies are usually not performed in clinical practice, but are used for scientific purposes). Currently, a new </w:t>
      </w:r>
      <w:r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of fiber-optic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spectrophotometry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based on the determination of the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bilirubin</w:t>
      </w:r>
      <w:proofErr w:type="spellEnd"/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spectrum absorption is being introduced into clinical practice (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Bilitec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2000). This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intended specifically for the diagnosis of GDR and </w:t>
      </w:r>
      <w:r w:rsidRPr="00EE3DD6">
        <w:rPr>
          <w:rFonts w:ascii="Times New Roman" w:hAnsi="Times New Roman" w:cs="Times New Roman"/>
          <w:sz w:val="24"/>
          <w:szCs w:val="24"/>
          <w:lang w:val="en-US"/>
        </w:rPr>
        <w:t>DGER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The main method for diagnosing GDR and </w:t>
      </w:r>
      <w:r w:rsidRPr="00EE3DD6">
        <w:rPr>
          <w:rFonts w:ascii="Times New Roman" w:hAnsi="Times New Roman" w:cs="Times New Roman"/>
          <w:sz w:val="24"/>
          <w:szCs w:val="24"/>
          <w:lang w:val="en-US"/>
        </w:rPr>
        <w:t>DGER</w:t>
      </w:r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is daily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intragastric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intraesophageal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pH-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metry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>. GDR is defined as any increase in gastric body pH above 5 not associated with food intake. GDR is considered significant if reflux episodes exceed 10% of the monitoring time.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sodeoxycholic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acid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he main drug for the treatment of GHD and </w:t>
      </w:r>
      <w:r w:rsidRPr="00EE3DD6">
        <w:rPr>
          <w:rFonts w:ascii="Times New Roman" w:hAnsi="Times New Roman" w:cs="Times New Roman"/>
          <w:sz w:val="24"/>
          <w:szCs w:val="24"/>
          <w:lang w:val="en-US"/>
        </w:rPr>
        <w:t>DGER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, which reduces the degree of damage to the gastric mucosa and esophagus.</w:t>
      </w:r>
      <w:proofErr w:type="gram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This has been demonstrated in a number of evidence-based studies.</w:t>
      </w:r>
    </w:p>
    <w:p w:rsidR="00B72E36" w:rsidRPr="00877326" w:rsidRDefault="00B72E36" w:rsidP="00B7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One of the effective drugs of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ursodeoxycholic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acid is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Ursonost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Organosin</w:t>
      </w:r>
      <w:proofErr w:type="spellEnd"/>
      <w:r w:rsidR="006A0D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877326">
        <w:rPr>
          <w:rFonts w:ascii="Times New Roman" w:hAnsi="Times New Roman" w:cs="Times New Roman"/>
          <w:sz w:val="24"/>
          <w:szCs w:val="24"/>
          <w:lang w:val="en-US"/>
        </w:rPr>
        <w:t>company</w:t>
      </w:r>
      <w:proofErr w:type="gram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877326">
        <w:rPr>
          <w:rFonts w:ascii="Times New Roman" w:hAnsi="Times New Roman" w:cs="Times New Roman"/>
          <w:sz w:val="24"/>
          <w:szCs w:val="24"/>
          <w:lang w:val="en-US"/>
        </w:rPr>
        <w:t>Ursonost</w:t>
      </w:r>
      <w:proofErr w:type="spellEnd"/>
      <w:r w:rsidRPr="00877326">
        <w:rPr>
          <w:rFonts w:ascii="Times New Roman" w:hAnsi="Times New Roman" w:cs="Times New Roman"/>
          <w:sz w:val="24"/>
          <w:szCs w:val="24"/>
          <w:lang w:val="en-US"/>
        </w:rPr>
        <w:t xml:space="preserve"> has a European quality, a convenient dosage form for patients with different body </w:t>
      </w:r>
      <w:r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6A0D9D">
        <w:rPr>
          <w:rFonts w:ascii="Times New Roman" w:hAnsi="Times New Roman" w:cs="Times New Roman"/>
          <w:sz w:val="24"/>
          <w:szCs w:val="24"/>
          <w:lang w:val="en-US"/>
        </w:rPr>
        <w:t>, an advantageous cost/</w:t>
      </w:r>
      <w:r w:rsidRPr="00877326">
        <w:rPr>
          <w:rFonts w:ascii="Times New Roman" w:hAnsi="Times New Roman" w:cs="Times New Roman"/>
          <w:sz w:val="24"/>
          <w:szCs w:val="24"/>
          <w:lang w:val="en-US"/>
        </w:rPr>
        <w:t>effectiveness ratio.</w:t>
      </w:r>
    </w:p>
    <w:p w:rsidR="004C561C" w:rsidRPr="00B72E36" w:rsidRDefault="004C561C" w:rsidP="00877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C561C" w:rsidRPr="00B72E36" w:rsidSect="00F7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27D"/>
    <w:multiLevelType w:val="hybridMultilevel"/>
    <w:tmpl w:val="E5129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0B5F"/>
    <w:rsid w:val="000108ED"/>
    <w:rsid w:val="00084EA1"/>
    <w:rsid w:val="000B0C73"/>
    <w:rsid w:val="000C1C41"/>
    <w:rsid w:val="000D55E0"/>
    <w:rsid w:val="000F1552"/>
    <w:rsid w:val="0010765A"/>
    <w:rsid w:val="00185B7A"/>
    <w:rsid w:val="00197C59"/>
    <w:rsid w:val="001B47A5"/>
    <w:rsid w:val="001B6226"/>
    <w:rsid w:val="001F095F"/>
    <w:rsid w:val="00204288"/>
    <w:rsid w:val="00221ECD"/>
    <w:rsid w:val="002526AD"/>
    <w:rsid w:val="00253BC7"/>
    <w:rsid w:val="002C0E5E"/>
    <w:rsid w:val="002E0DC5"/>
    <w:rsid w:val="002F1804"/>
    <w:rsid w:val="00324A50"/>
    <w:rsid w:val="00336C5E"/>
    <w:rsid w:val="00347823"/>
    <w:rsid w:val="00350452"/>
    <w:rsid w:val="0036611D"/>
    <w:rsid w:val="003958A3"/>
    <w:rsid w:val="003A2694"/>
    <w:rsid w:val="00426641"/>
    <w:rsid w:val="00437ED8"/>
    <w:rsid w:val="00473485"/>
    <w:rsid w:val="004C561C"/>
    <w:rsid w:val="004E2B3A"/>
    <w:rsid w:val="00501905"/>
    <w:rsid w:val="00536B23"/>
    <w:rsid w:val="00540965"/>
    <w:rsid w:val="0055072A"/>
    <w:rsid w:val="005507AD"/>
    <w:rsid w:val="00550B5F"/>
    <w:rsid w:val="0055398F"/>
    <w:rsid w:val="005B5108"/>
    <w:rsid w:val="005E5852"/>
    <w:rsid w:val="006128FB"/>
    <w:rsid w:val="006502C5"/>
    <w:rsid w:val="00655698"/>
    <w:rsid w:val="00656641"/>
    <w:rsid w:val="00674E0B"/>
    <w:rsid w:val="006A0D9D"/>
    <w:rsid w:val="007226FC"/>
    <w:rsid w:val="00724EA9"/>
    <w:rsid w:val="00741328"/>
    <w:rsid w:val="007C3550"/>
    <w:rsid w:val="007C4AF3"/>
    <w:rsid w:val="00801830"/>
    <w:rsid w:val="008332AF"/>
    <w:rsid w:val="00877326"/>
    <w:rsid w:val="008C2DAA"/>
    <w:rsid w:val="009031D2"/>
    <w:rsid w:val="009361F4"/>
    <w:rsid w:val="009423A3"/>
    <w:rsid w:val="009464D8"/>
    <w:rsid w:val="00992551"/>
    <w:rsid w:val="00994ECD"/>
    <w:rsid w:val="009C53A5"/>
    <w:rsid w:val="009C62A8"/>
    <w:rsid w:val="009D5F51"/>
    <w:rsid w:val="00A038F0"/>
    <w:rsid w:val="00A15A81"/>
    <w:rsid w:val="00A3561B"/>
    <w:rsid w:val="00A37BE7"/>
    <w:rsid w:val="00A476EC"/>
    <w:rsid w:val="00AE16A1"/>
    <w:rsid w:val="00AE6EB6"/>
    <w:rsid w:val="00B56B0B"/>
    <w:rsid w:val="00B72E36"/>
    <w:rsid w:val="00B9295B"/>
    <w:rsid w:val="00BA1F84"/>
    <w:rsid w:val="00BF2B5C"/>
    <w:rsid w:val="00C03046"/>
    <w:rsid w:val="00C124BB"/>
    <w:rsid w:val="00C2391C"/>
    <w:rsid w:val="00C26606"/>
    <w:rsid w:val="00C42757"/>
    <w:rsid w:val="00C505CE"/>
    <w:rsid w:val="00C70A16"/>
    <w:rsid w:val="00C70CE5"/>
    <w:rsid w:val="00C96E94"/>
    <w:rsid w:val="00CA271C"/>
    <w:rsid w:val="00CA6AA9"/>
    <w:rsid w:val="00CA7CB3"/>
    <w:rsid w:val="00CE02FF"/>
    <w:rsid w:val="00CE11F5"/>
    <w:rsid w:val="00CF4B9C"/>
    <w:rsid w:val="00DC0A28"/>
    <w:rsid w:val="00DE5C90"/>
    <w:rsid w:val="00DF312D"/>
    <w:rsid w:val="00E76C72"/>
    <w:rsid w:val="00EB06F8"/>
    <w:rsid w:val="00EE3DD6"/>
    <w:rsid w:val="00F0293B"/>
    <w:rsid w:val="00F42F90"/>
    <w:rsid w:val="00F55C0C"/>
    <w:rsid w:val="00F67EC5"/>
    <w:rsid w:val="00F76A10"/>
    <w:rsid w:val="00F85FA9"/>
    <w:rsid w:val="00F8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7758"/>
    <w:pPr>
      <w:spacing w:after="160" w:line="259" w:lineRule="auto"/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7758"/>
    <w:pPr>
      <w:spacing w:after="160" w:line="259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741F-7566-4774-A2ED-C8D7A138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19</Pages>
  <Words>5034</Words>
  <Characters>38363</Characters>
  <Application>Microsoft Office Word</Application>
  <DocSecurity>0</DocSecurity>
  <Lines>650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Admin</cp:lastModifiedBy>
  <cp:revision>49</cp:revision>
  <dcterms:created xsi:type="dcterms:W3CDTF">2020-12-02T11:18:00Z</dcterms:created>
  <dcterms:modified xsi:type="dcterms:W3CDTF">2021-02-01T20:41:00Z</dcterms:modified>
</cp:coreProperties>
</file>