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04" w:rsidRDefault="00043D04" w:rsidP="00043D04">
      <w:pPr>
        <w:spacing w:after="0" w:line="240" w:lineRule="auto"/>
        <w:ind w:right="283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6AC">
        <w:rPr>
          <w:rFonts w:ascii="Times New Roman" w:hAnsi="Times New Roman" w:cs="Times New Roman"/>
          <w:sz w:val="28"/>
          <w:szCs w:val="28"/>
          <w:lang w:val="uk-UA"/>
        </w:rPr>
        <w:t>УДК: [616.329/.33-008.17+616.441-002]-053.81-092-078</w:t>
      </w:r>
    </w:p>
    <w:p w:rsidR="00043D04" w:rsidRPr="00860EA3" w:rsidRDefault="00043D04" w:rsidP="00043D04">
      <w:pPr>
        <w:spacing w:after="0" w:line="240" w:lineRule="auto"/>
        <w:ind w:right="283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doi: 10.33149/vkp.2020.04.0</w:t>
      </w:r>
      <w:r w:rsidRPr="00860EA3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043D04" w:rsidRPr="00BE7423" w:rsidRDefault="00043D04" w:rsidP="00043D0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193438">
        <w:rPr>
          <w:rFonts w:ascii="Times New Roman" w:hAnsi="Times New Roman" w:cs="Times New Roman"/>
          <w:b/>
          <w:iCs/>
          <w:sz w:val="28"/>
          <w:szCs w:val="28"/>
          <w:lang w:val="uk-UA"/>
        </w:rPr>
        <w:t>Белок Клото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193438">
        <w:rPr>
          <w:rFonts w:ascii="Times New Roman" w:hAnsi="Times New Roman" w:cs="Times New Roman"/>
          <w:b/>
          <w:iCs/>
          <w:sz w:val="28"/>
          <w:szCs w:val="28"/>
          <w:lang w:val="uk-UA"/>
        </w:rPr>
        <w:t>как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медиатор </w:t>
      </w:r>
      <w:r w:rsidRPr="00193438">
        <w:rPr>
          <w:rFonts w:ascii="Times New Roman" w:hAnsi="Times New Roman" w:cs="Times New Roman"/>
          <w:b/>
          <w:iCs/>
          <w:sz w:val="28"/>
          <w:szCs w:val="28"/>
          <w:lang w:val="uk-UA"/>
        </w:rPr>
        <w:t>антиоксидантной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193438">
        <w:rPr>
          <w:rFonts w:ascii="Times New Roman" w:hAnsi="Times New Roman" w:cs="Times New Roman"/>
          <w:b/>
          <w:iCs/>
          <w:sz w:val="28"/>
          <w:szCs w:val="28"/>
          <w:lang w:val="uk-UA"/>
        </w:rPr>
        <w:t>защиты при коморбидности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193438">
        <w:rPr>
          <w:rFonts w:ascii="Times New Roman" w:hAnsi="Times New Roman" w:cs="Times New Roman"/>
          <w:b/>
          <w:iCs/>
          <w:sz w:val="28"/>
          <w:szCs w:val="28"/>
          <w:lang w:val="uk-UA"/>
        </w:rPr>
        <w:t>гастроэзо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фагеальной рефлюксной болезни и </w:t>
      </w:r>
      <w:r w:rsidRPr="00193438">
        <w:rPr>
          <w:rFonts w:ascii="Times New Roman" w:hAnsi="Times New Roman" w:cs="Times New Roman"/>
          <w:b/>
          <w:iCs/>
          <w:sz w:val="28"/>
          <w:szCs w:val="28"/>
          <w:lang w:val="uk-UA"/>
        </w:rPr>
        <w:t>аутоиммунного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193438">
        <w:rPr>
          <w:rFonts w:ascii="Times New Roman" w:hAnsi="Times New Roman" w:cs="Times New Roman"/>
          <w:b/>
          <w:iCs/>
          <w:sz w:val="28"/>
          <w:szCs w:val="28"/>
          <w:lang w:val="uk-UA"/>
        </w:rPr>
        <w:t>тиреоидита у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 </w:t>
      </w:r>
      <w:r w:rsidRPr="00193438">
        <w:rPr>
          <w:rFonts w:ascii="Times New Roman" w:hAnsi="Times New Roman" w:cs="Times New Roman"/>
          <w:b/>
          <w:iCs/>
          <w:sz w:val="28"/>
          <w:szCs w:val="28"/>
          <w:lang w:val="uk-UA"/>
        </w:rPr>
        <w:t>лиц молодого возраста</w:t>
      </w:r>
    </w:p>
    <w:p w:rsidR="00043D04" w:rsidRPr="00D51E1F" w:rsidRDefault="00043D04" w:rsidP="00043D04">
      <w:pPr>
        <w:spacing w:after="0" w:line="240" w:lineRule="auto"/>
        <w:ind w:left="-567"/>
        <w:jc w:val="center"/>
        <w:rPr>
          <w:rFonts w:ascii="Times New Roman" w:hAnsi="Times New Roman" w:cs="Times New Roman"/>
          <w:iCs/>
          <w:sz w:val="28"/>
          <w:szCs w:val="28"/>
          <w:lang w:eastAsia="zh-CN"/>
        </w:rPr>
      </w:pP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Т.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 Пасиешвили</w:t>
      </w:r>
    </w:p>
    <w:p w:rsidR="00043D04" w:rsidRPr="00BE7423" w:rsidRDefault="00043D04" w:rsidP="00043D04">
      <w:pPr>
        <w:spacing w:after="0" w:line="240" w:lineRule="auto"/>
        <w:ind w:left="-567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Харьковский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национальный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медицинский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университет, Украина</w:t>
      </w:r>
    </w:p>
    <w:p w:rsidR="00043D04" w:rsidRDefault="00043D04" w:rsidP="00043D04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043D04" w:rsidRPr="00BE7423" w:rsidRDefault="00043D04" w:rsidP="00043D0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03DBE">
        <w:rPr>
          <w:rFonts w:ascii="Times New Roman" w:hAnsi="Times New Roman" w:cs="Times New Roman"/>
          <w:b/>
          <w:iCs/>
          <w:sz w:val="28"/>
          <w:szCs w:val="28"/>
          <w:lang w:val="uk-UA"/>
        </w:rPr>
        <w:t>Ключевые слова: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гастроэзофагеальная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рефлюксная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болезнь, аутоиммунный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реоидит, белок Клото, патогенез</w:t>
      </w:r>
    </w:p>
    <w:p w:rsidR="00DF2FDD" w:rsidRPr="00DF2FDD" w:rsidRDefault="00DF2FDD" w:rsidP="00DF2FDD">
      <w:pPr>
        <w:shd w:val="clear" w:color="auto" w:fill="FFFFFF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Работами 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>многих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исследователей было установлено, что уже в подростковом возрасте отмечается формирование ряда хронических неспецифических заболеваний внутренних органов, причем довольно часто они сочетаются между собой, что требует дополнительных усилий при их диагностике и лечении [19]. Среди таких нозологических форм особое внимание привлекают болезни пищеварительного тракта, протекающи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на фоне аутоиммунного воспаления. Такой коморбидности 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лиц молодого возраста способствует несколько 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>факторов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Так, аутоиммунные заболевания, имеющие генетическую обусловленность, чаще всего проявляются на фоне эндокринных сдвигов в период становления половой сфер</w:t>
      </w:r>
      <w:r w:rsidR="00B32D8E">
        <w:rPr>
          <w:rFonts w:ascii="Times New Roman" w:hAnsi="Times New Roman" w:cs="Times New Roman"/>
          <w:sz w:val="28"/>
          <w:szCs w:val="28"/>
        </w:rPr>
        <w:t>ы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Таки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 xml:space="preserve">предпосылки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довол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>ьно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часто наблюда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тся среди особого контингента молодежи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> ―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студентов. Особенность их общения характеризуется повышенным контактом в больших коллективах, как в аудиториях, так и 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общежитиях, 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 xml:space="preserve">что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способствует частому возникновению и быстрому распространению вирусных заболеваний, которые изменяют иммунный гомеостаз, то есть 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>оказывают влияние на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формировани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неблагоприятного иммунного фона [2, 7, 8].</w:t>
      </w:r>
    </w:p>
    <w:p w:rsidR="00DF2FDD" w:rsidRPr="00DF2FDD" w:rsidRDefault="00DF2FDD" w:rsidP="00DF2FDD">
      <w:pPr>
        <w:shd w:val="clear" w:color="auto" w:fill="FFFFFF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2FDD">
        <w:rPr>
          <w:rFonts w:ascii="Times New Roman" w:hAnsi="Times New Roman" w:cs="Times New Roman"/>
          <w:sz w:val="28"/>
          <w:szCs w:val="28"/>
          <w:lang w:val="uk-UA"/>
        </w:rPr>
        <w:t>Распространение заболеваний пищеварительного тракта в студенческой среде связывают с едой «на бегу», нерегулярностью питания, употреблением пищи, не соответству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>ющей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понятию «полезная, доброкачественная».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Это прежде всего продукты из фаст-фудов и киосков, для которых характерно большое количество жира, красителей и ароматизаторов, преобладание хлебобулочных изделий, отсутствие овощей и фруктов, использование газированных напитков неизвестного состава и качества [3, 17, 18].</w:t>
      </w:r>
    </w:p>
    <w:p w:rsidR="00DF2FDD" w:rsidRPr="00DF2FDD" w:rsidRDefault="00DF2FDD" w:rsidP="00DF2FDD">
      <w:pPr>
        <w:shd w:val="clear" w:color="auto" w:fill="FFFFFF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К тому же пяти- или шестилетний 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за период обучения в вузе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хронический волнообразный стресс (зачеты, сессии) способствует развитию функциональных изменений в пищеварительном тракте, которые 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>в связи с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сохранени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>ем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указанных поведенческих особенностей переходят в хронические заболевания [5, 15].</w:t>
      </w:r>
    </w:p>
    <w:p w:rsidR="00DF2FDD" w:rsidRPr="00DF2FDD" w:rsidRDefault="00DF2FDD" w:rsidP="00DF2FDD">
      <w:pPr>
        <w:shd w:val="clear" w:color="auto" w:fill="FFFFFF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2FDD">
        <w:rPr>
          <w:rFonts w:ascii="Times New Roman" w:hAnsi="Times New Roman" w:cs="Times New Roman"/>
          <w:sz w:val="28"/>
          <w:szCs w:val="28"/>
          <w:lang w:val="uk-UA"/>
        </w:rPr>
        <w:t>Среди таких нозологических форм особое место занимает гастро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>э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зофагеальна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рефлюксна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болезнь (ГЭРБ), распространенность которой в мире 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>колеблется в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пределах 8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25% в зависимости от континента, расы и пола, однако отмечается постоянное увеличение количества таких пациентов. Так, 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последние 20 </w:t>
      </w:r>
      <w:r w:rsidR="00B32D8E">
        <w:rPr>
          <w:rFonts w:ascii="Times New Roman" w:hAnsi="Times New Roman" w:cs="Times New Roman"/>
          <w:sz w:val="28"/>
          <w:szCs w:val="28"/>
          <w:lang w:val="uk-UA"/>
        </w:rPr>
        <w:t>лет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распространенность ГЭРБ увеличилась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lastRenderedPageBreak/>
        <w:t>не менее чем в 3 раза, продолжая стремительно расти с частотой примерно 5% в год [1, 6].</w:t>
      </w:r>
    </w:p>
    <w:p w:rsidR="00DF2FDD" w:rsidRPr="00DF2FDD" w:rsidRDefault="00B32D8E" w:rsidP="00DF2FDD">
      <w:pPr>
        <w:shd w:val="clear" w:color="auto" w:fill="FFFFFF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F2FDD" w:rsidRPr="00DF2FDD">
        <w:rPr>
          <w:rFonts w:ascii="Times New Roman" w:hAnsi="Times New Roman" w:cs="Times New Roman"/>
          <w:sz w:val="28"/>
          <w:szCs w:val="28"/>
          <w:lang w:val="uk-UA"/>
        </w:rPr>
        <w:t>еблагоприятны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F2FDD"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фоно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F2FDD"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для ГЭРБ могут быть аутоиммунные заболевания, среди которых у лиц молодого возраста довольно часто диагност</w:t>
      </w:r>
      <w:r w:rsidR="007532A7">
        <w:rPr>
          <w:rFonts w:ascii="Times New Roman" w:hAnsi="Times New Roman" w:cs="Times New Roman"/>
          <w:sz w:val="28"/>
          <w:szCs w:val="28"/>
          <w:lang w:val="uk-UA"/>
        </w:rPr>
        <w:t>ир</w:t>
      </w:r>
      <w:r w:rsidR="00DF2FDD" w:rsidRPr="00DF2FDD">
        <w:rPr>
          <w:rFonts w:ascii="Times New Roman" w:hAnsi="Times New Roman" w:cs="Times New Roman"/>
          <w:sz w:val="28"/>
          <w:szCs w:val="28"/>
          <w:lang w:val="uk-UA"/>
        </w:rPr>
        <w:t>уют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заболевания</w:t>
      </w:r>
      <w:r w:rsidR="00DF2FDD"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щитовидной железы, а именно аутоиммунный тиреоидит (АИТ), распространенность которого в </w:t>
      </w:r>
      <w:r>
        <w:rPr>
          <w:rFonts w:ascii="Times New Roman" w:hAnsi="Times New Roman" w:cs="Times New Roman"/>
          <w:sz w:val="28"/>
          <w:szCs w:val="28"/>
          <w:lang w:val="uk-UA"/>
        </w:rPr>
        <w:t>мире составляет около</w:t>
      </w:r>
      <w:r w:rsidR="00DF2FDD"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5% [13].</w:t>
      </w:r>
    </w:p>
    <w:p w:rsidR="00DF2FDD" w:rsidRPr="00DF2FDD" w:rsidRDefault="00DF2FDD" w:rsidP="00DF2FDD">
      <w:pPr>
        <w:shd w:val="clear" w:color="auto" w:fill="FFFFFF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Учитывая вышеперечисленные факторы, способствующие формированию </w:t>
      </w:r>
      <w:r w:rsidR="003056A7">
        <w:rPr>
          <w:rFonts w:ascii="Times New Roman" w:hAnsi="Times New Roman" w:cs="Times New Roman"/>
          <w:sz w:val="28"/>
          <w:szCs w:val="28"/>
          <w:lang w:val="uk-UA"/>
        </w:rPr>
        <w:t>болезней</w:t>
      </w:r>
      <w:r w:rsidR="00873F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внутр</w:t>
      </w:r>
      <w:r w:rsidR="003056A7">
        <w:rPr>
          <w:rFonts w:ascii="Times New Roman" w:hAnsi="Times New Roman" w:cs="Times New Roman"/>
          <w:sz w:val="28"/>
          <w:szCs w:val="28"/>
          <w:lang w:val="uk-UA"/>
        </w:rPr>
        <w:t>енних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органов в специфическо</w:t>
      </w:r>
      <w:r w:rsidR="003056A7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студенческой среде, а также высокую распространенность ГЭРБ и АИТ, можно предположить их частое сочетание, </w:t>
      </w:r>
      <w:r w:rsidR="00873FEF">
        <w:rPr>
          <w:rFonts w:ascii="Times New Roman" w:hAnsi="Times New Roman" w:cs="Times New Roman"/>
          <w:sz w:val="28"/>
          <w:szCs w:val="28"/>
          <w:lang w:val="uk-UA"/>
        </w:rPr>
        <w:t xml:space="preserve">что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является основанием к изучению отдельных патогенетических звеньев их общего течения.</w:t>
      </w:r>
    </w:p>
    <w:p w:rsidR="00DF2FDD" w:rsidRDefault="00DF2FDD" w:rsidP="00DF2FDD">
      <w:pPr>
        <w:shd w:val="clear" w:color="auto" w:fill="FFFFFF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2FDD">
        <w:rPr>
          <w:rFonts w:ascii="Times New Roman" w:hAnsi="Times New Roman" w:cs="Times New Roman"/>
          <w:sz w:val="28"/>
          <w:szCs w:val="28"/>
          <w:lang w:val="uk-UA"/>
        </w:rPr>
        <w:t>В последние годы в патогенезе ряда заболеваний внутренних органов рассматривается роль белка (гормона) Клото (англ. Klotho), который был открыт профессором Макото Куро-о (Makoto</w:t>
      </w:r>
      <w:r w:rsidR="0030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Kuro-o) в 1997 году </w:t>
      </w:r>
      <w:r w:rsidR="003056A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по своим свойствам в организме отнесен к антивозрастны</w:t>
      </w:r>
      <w:r w:rsidR="003056A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белк</w:t>
      </w:r>
      <w:r w:rsidR="003056A7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. Его название было обусловлено ассоциацией с мифическим сказани</w:t>
      </w:r>
      <w:r w:rsidR="003056A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м о роли богини Клото, дочери бога Зевса, в определении продолжительности жизни человека [12].</w:t>
      </w:r>
      <w:r w:rsidR="003056A7">
        <w:rPr>
          <w:rFonts w:ascii="Times New Roman" w:hAnsi="Times New Roman" w:cs="Times New Roman"/>
          <w:sz w:val="28"/>
          <w:szCs w:val="28"/>
          <w:lang w:val="uk-UA"/>
        </w:rPr>
        <w:t xml:space="preserve"> Наблюдения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за мышами, лишенными этого гена, показали, что животные-мутанты демонстрируют нормальное развитие лишь к третьей-четвертой недел</w:t>
      </w:r>
      <w:r w:rsidR="003056A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жизни, после чего начинают быстро стареть: у них развивается остеопороз, эмфизема легких, появляются склеротические изменения сосудов</w:t>
      </w:r>
      <w:r w:rsidR="003056A7">
        <w:rPr>
          <w:rFonts w:ascii="Times New Roman" w:hAnsi="Times New Roman" w:cs="Times New Roman"/>
          <w:sz w:val="28"/>
          <w:szCs w:val="28"/>
          <w:lang w:val="uk-UA"/>
        </w:rPr>
        <w:t> ―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весь «букет» возрастных заболеваний. Тогда как трансгенные мыши, которые отличаются чрезмерной экспрессией этого гена, жили на 20</w:t>
      </w:r>
      <w:r w:rsidR="003056A7"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30% дольше [12]. То есть гормон Клото представляет собой антивозрастной белок, кодируемый геном с</w:t>
      </w:r>
      <w:r w:rsidR="003056A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множественными плейотропными эффектами [16]. Однако есть предположение, что указанный б</w:t>
      </w:r>
      <w:r w:rsidR="003056A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лок</w:t>
      </w:r>
      <w:r w:rsidR="003056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3056A7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участвовать в формировании многих других патогенетических звень</w:t>
      </w:r>
      <w:r w:rsidR="003056A7">
        <w:rPr>
          <w:rFonts w:ascii="Times New Roman" w:hAnsi="Times New Roman" w:cs="Times New Roman"/>
          <w:sz w:val="28"/>
          <w:szCs w:val="28"/>
          <w:lang w:val="uk-UA"/>
        </w:rPr>
        <w:t>ев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при заболеваниях внутренних органов. То есть определенн</w:t>
      </w:r>
      <w:r w:rsidR="003056A7">
        <w:rPr>
          <w:rFonts w:ascii="Times New Roman" w:hAnsi="Times New Roman" w:cs="Times New Roman"/>
          <w:sz w:val="28"/>
          <w:szCs w:val="28"/>
          <w:lang w:val="uk-UA"/>
        </w:rPr>
        <w:t>ое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антивозрастн</w:t>
      </w:r>
      <w:r w:rsidR="003056A7">
        <w:rPr>
          <w:rFonts w:ascii="Times New Roman" w:hAnsi="Times New Roman" w:cs="Times New Roman"/>
          <w:sz w:val="28"/>
          <w:szCs w:val="28"/>
          <w:lang w:val="uk-UA"/>
        </w:rPr>
        <w:t>ое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свойство белка Клото не является единственн</w:t>
      </w:r>
      <w:r w:rsidR="003056A7">
        <w:rPr>
          <w:rFonts w:ascii="Times New Roman" w:hAnsi="Times New Roman" w:cs="Times New Roman"/>
          <w:sz w:val="28"/>
          <w:szCs w:val="28"/>
          <w:lang w:val="uk-UA"/>
        </w:rPr>
        <w:t>ым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его действием, а его синтез может влиять </w:t>
      </w:r>
      <w:r w:rsidR="003056A7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другие изменения в организме.</w:t>
      </w:r>
    </w:p>
    <w:p w:rsidR="00DF2FDD" w:rsidRPr="00DF2FDD" w:rsidRDefault="00DF2FDD" w:rsidP="00DF2FDD">
      <w:pPr>
        <w:autoSpaceDE w:val="0"/>
        <w:autoSpaceDN w:val="0"/>
        <w:adjustRightInd w:val="0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F2FD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Цель работы: </w:t>
      </w:r>
      <w:r w:rsidR="003056A7">
        <w:rPr>
          <w:rFonts w:ascii="Times New Roman" w:hAnsi="Times New Roman" w:cs="Times New Roman"/>
          <w:color w:val="000000"/>
          <w:sz w:val="28"/>
          <w:szCs w:val="28"/>
          <w:lang w:val="uk-UA"/>
        </w:rPr>
        <w:t>установить содержание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и роль белка Клото в патогенез</w:t>
      </w:r>
      <w:r w:rsidR="003056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 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гастро</w:t>
      </w:r>
      <w:r w:rsidR="003056A7">
        <w:rPr>
          <w:rFonts w:ascii="Times New Roman" w:hAnsi="Times New Roman" w:cs="Times New Roman"/>
          <w:color w:val="000000"/>
          <w:sz w:val="28"/>
          <w:szCs w:val="28"/>
          <w:lang w:val="uk-UA"/>
        </w:rPr>
        <w:t>э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зофагеально</w:t>
      </w:r>
      <w:r w:rsidR="003056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й 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рефлюксно</w:t>
      </w:r>
      <w:r w:rsidR="003056A7">
        <w:rPr>
          <w:rFonts w:ascii="Times New Roman" w:hAnsi="Times New Roman" w:cs="Times New Roman"/>
          <w:color w:val="000000"/>
          <w:sz w:val="28"/>
          <w:szCs w:val="28"/>
          <w:lang w:val="uk-UA"/>
        </w:rPr>
        <w:t>й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болезни, </w:t>
      </w:r>
      <w:r w:rsidR="003056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которая 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</w:t>
      </w:r>
      <w:r w:rsidR="003056A7">
        <w:rPr>
          <w:rFonts w:ascii="Times New Roman" w:hAnsi="Times New Roman" w:cs="Times New Roman"/>
          <w:color w:val="000000"/>
          <w:sz w:val="28"/>
          <w:szCs w:val="28"/>
          <w:lang w:val="uk-UA"/>
        </w:rPr>
        <w:t>екает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фоне </w:t>
      </w:r>
      <w:r w:rsidR="003056A7">
        <w:rPr>
          <w:rFonts w:ascii="Times New Roman" w:hAnsi="Times New Roman" w:cs="Times New Roman"/>
          <w:color w:val="000000"/>
          <w:sz w:val="28"/>
          <w:szCs w:val="28"/>
          <w:lang w:val="uk-UA"/>
        </w:rPr>
        <w:t>аутоиммунного воспаления у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лиц молодого возраста.</w:t>
      </w:r>
    </w:p>
    <w:p w:rsidR="00DF2FDD" w:rsidRPr="00DF2FDD" w:rsidRDefault="00DF2FDD" w:rsidP="00DF2FDD">
      <w:pPr>
        <w:autoSpaceDE w:val="0"/>
        <w:autoSpaceDN w:val="0"/>
        <w:adjustRightInd w:val="0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2FD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Материалы и методы. 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работе приняли участие 120 пациентов с ГЭРБ и АИТ (основная группа) и 45 человек</w:t>
      </w:r>
      <w:r w:rsidR="003056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изолированн</w:t>
      </w:r>
      <w:r w:rsidR="003056A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ой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ГЭРБ (группа сравнения). Группы пациентов были репрезентативны по возрасту (21,9</w:t>
      </w:r>
      <w:r w:rsidR="003056A7">
        <w:rPr>
          <w:rFonts w:ascii="Times New Roman" w:hAnsi="Times New Roman" w:cs="Times New Roman"/>
          <w:color w:val="000000"/>
          <w:sz w:val="28"/>
          <w:szCs w:val="28"/>
          <w:lang w:val="uk-UA"/>
        </w:rPr>
        <w:t>±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>2,7 и 22,1</w:t>
      </w:r>
      <w:r w:rsidR="003056A7">
        <w:rPr>
          <w:rFonts w:ascii="Times New Roman" w:hAnsi="Times New Roman" w:cs="Times New Roman"/>
          <w:color w:val="000000"/>
          <w:sz w:val="28"/>
          <w:szCs w:val="28"/>
          <w:lang w:val="uk-UA"/>
        </w:rPr>
        <w:t>±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3,2 года соответственно), </w:t>
      </w:r>
      <w:r w:rsidR="003056A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полу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(77,5% и 75,6% соответственно составляли женщины), форм</w:t>
      </w:r>
      <w:r w:rsidR="003056A7"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ГЭРБ и длительност</w:t>
      </w:r>
      <w:r w:rsidR="003056A7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заболевания (до трех лет)</w:t>
      </w:r>
      <w:r w:rsidR="003056A7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056A7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участники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были студентами высших учебных заведений </w:t>
      </w:r>
      <w:r w:rsidR="003056A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города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3056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Контрольн</w:t>
      </w:r>
      <w:r w:rsidR="003056A7">
        <w:rPr>
          <w:rFonts w:ascii="Times New Roman" w:hAnsi="Times New Roman" w:cs="Times New Roman"/>
          <w:color w:val="000000"/>
          <w:sz w:val="28"/>
          <w:szCs w:val="28"/>
          <w:lang w:val="uk-UA"/>
        </w:rPr>
        <w:t>ые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показатели проведенных исследований были получены при обследовании 20 практически здоровых лиц</w:t>
      </w:r>
      <w:r w:rsidR="003056A7">
        <w:rPr>
          <w:rFonts w:ascii="Times New Roman" w:hAnsi="Times New Roman" w:cs="Times New Roman"/>
          <w:color w:val="000000"/>
          <w:sz w:val="28"/>
          <w:szCs w:val="28"/>
          <w:lang w:val="uk-UA"/>
        </w:rPr>
        <w:t> ―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студентов, которые по всем параметрам </w:t>
      </w:r>
      <w:r w:rsidR="007A19F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соответствовали</w:t>
      </w:r>
      <w:r w:rsidR="003056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гру</w:t>
      </w:r>
      <w:r w:rsidR="003056A7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пам</w:t>
      </w:r>
      <w:r w:rsidR="003056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A19FA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больных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F2FDD" w:rsidRPr="00DF2FDD" w:rsidRDefault="00DF2FDD" w:rsidP="00DF2FDD">
      <w:pPr>
        <w:autoSpaceDE w:val="0"/>
        <w:autoSpaceDN w:val="0"/>
        <w:adjustRightInd w:val="0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Обследование пациентов включало сбор жалоб, оценку анамнеза болезни и жизни, объективное обследование и лабораторно-инструментальные методы диагностики.</w:t>
      </w:r>
    </w:p>
    <w:p w:rsidR="00DF2FDD" w:rsidRPr="00DF2FDD" w:rsidRDefault="00DF2FDD" w:rsidP="00DF2FDD">
      <w:pPr>
        <w:autoSpaceDE w:val="0"/>
        <w:autoSpaceDN w:val="0"/>
        <w:adjustRightInd w:val="0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Визуальные изменения в слизистой оболочке пищевода, которые были </w:t>
      </w:r>
      <w:r w:rsidR="007A19FA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обнаружены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 проведении эзофагогастродуоденоскопии (ЭФГДС) (система «Fuginon»), позволили выявить</w:t>
      </w:r>
      <w:r w:rsidR="007A19FA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согласно Лос-Анджелесской классификации</w:t>
      </w:r>
      <w:r w:rsidR="007A19FA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две формы заболевания</w:t>
      </w:r>
      <w:r w:rsidR="007A19FA">
        <w:rPr>
          <w:rFonts w:ascii="Times New Roman" w:hAnsi="Times New Roman" w:cs="Times New Roman"/>
          <w:color w:val="000000"/>
          <w:sz w:val="28"/>
          <w:szCs w:val="28"/>
          <w:lang w:val="uk-UA"/>
        </w:rPr>
        <w:t> ―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эрозивную и неэрозивн</w:t>
      </w:r>
      <w:r w:rsidR="007A19FA">
        <w:rPr>
          <w:rFonts w:ascii="Times New Roman" w:hAnsi="Times New Roman" w:cs="Times New Roman"/>
          <w:color w:val="000000"/>
          <w:sz w:val="28"/>
          <w:szCs w:val="28"/>
          <w:lang w:val="uk-UA"/>
        </w:rPr>
        <w:t>ую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Получение материала для биопсии со слизистой оболочки пищевода позволило провести гистоморфологич</w:t>
      </w:r>
      <w:r w:rsidR="007A19FA">
        <w:rPr>
          <w:rFonts w:ascii="Times New Roman" w:hAnsi="Times New Roman" w:cs="Times New Roman"/>
          <w:color w:val="000000"/>
          <w:sz w:val="28"/>
          <w:szCs w:val="28"/>
          <w:lang w:val="uk-UA"/>
        </w:rPr>
        <w:t>еское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исследовани</w:t>
      </w:r>
      <w:r w:rsidR="007A19FA"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>, которое подтвердило наличие воспалительной реакции.</w:t>
      </w:r>
    </w:p>
    <w:p w:rsidR="00DF2FDD" w:rsidRPr="00DF2FDD" w:rsidRDefault="00DF2FDD" w:rsidP="00DF2FDD">
      <w:pPr>
        <w:autoSpaceDE w:val="0"/>
        <w:autoSpaceDN w:val="0"/>
        <w:adjustRightInd w:val="0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 установлении диагноза ГЭРБ использовали рекомендации Монреальского консенсуса (2006), </w:t>
      </w:r>
      <w:r w:rsid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ротоколы ведения больных по данной нозологической форм</w:t>
      </w:r>
      <w:r w:rsidR="007A19FA"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и МКБ-10</w:t>
      </w:r>
      <w:r w:rsidR="007A19FA">
        <w:rPr>
          <w:rFonts w:ascii="Times New Roman" w:hAnsi="Times New Roman" w:cs="Times New Roman"/>
          <w:color w:val="000000"/>
          <w:sz w:val="28"/>
          <w:szCs w:val="28"/>
          <w:lang w:val="uk-UA"/>
        </w:rPr>
        <w:t> ―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К-21 соответственно.</w:t>
      </w:r>
    </w:p>
    <w:p w:rsidR="00DF2FDD" w:rsidRPr="00DF2FDD" w:rsidRDefault="007A19FA" w:rsidP="00DF2FDD">
      <w:pPr>
        <w:autoSpaceDE w:val="0"/>
        <w:autoSpaceDN w:val="0"/>
        <w:adjustRightInd w:val="0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</w:t>
      </w:r>
      <w:r w:rsidR="00DF2FDD" w:rsidRP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втор</w:t>
      </w:r>
      <w:r w:rsidRP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>ую</w:t>
      </w:r>
      <w:r w:rsidR="00DF2FDD" w:rsidRP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групп</w:t>
      </w:r>
      <w:r w:rsidRP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DF2FDD" w:rsidRP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сопоставления</w:t>
      </w:r>
      <w:r w:rsidR="00DF2FDD" w:rsidRP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вошл</w:t>
      </w:r>
      <w:r w:rsidRP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DF2FDD" w:rsidRP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42 больны</w:t>
      </w:r>
      <w:r w:rsidRP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>х</w:t>
      </w:r>
      <w:r w:rsidR="00DF2FDD" w:rsidRP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изолированны</w:t>
      </w:r>
      <w:r w:rsidRP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="00DF2FDD" w:rsidRP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АИТ, что позволило отследить роль белка Клото при данной нозологической форм</w:t>
      </w:r>
      <w:r w:rsidRP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="00DF2FDD" w:rsidRP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</w:t>
      </w:r>
      <w:r w:rsidR="00DF2FDD" w:rsidRP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возрасту, полу и длительности заболевания пациенты </w:t>
      </w:r>
      <w:r w:rsidRP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указанной</w:t>
      </w:r>
      <w:r w:rsidR="00DF2FDD" w:rsidRP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группы были </w:t>
      </w:r>
      <w:r w:rsidRP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тождественны </w:t>
      </w:r>
      <w:r w:rsidR="00DF2FDD" w:rsidRP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двум предыдущим, что позволило сопоставить результаты.</w:t>
      </w:r>
    </w:p>
    <w:p w:rsidR="00DF2FDD" w:rsidRPr="00DF2FDD" w:rsidRDefault="00DF2FDD" w:rsidP="00DF2FDD">
      <w:pPr>
        <w:autoSpaceDE w:val="0"/>
        <w:autoSpaceDN w:val="0"/>
        <w:adjustRightInd w:val="0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Диагноз АИТ устанавливали на основании жалоб больных, результатов пальпаторного исследования щитовидной железы, данных ультразвукового исследования железы по стандартной методике. Одновременно оценивали показатели тестов на антитела к тиреопероксидазе и тиреоглобулину; функцию железы устанавливали по результатам содержания тиреотропного гормона, свободного тироксина и свободного трийодтиронина. Диагноз подтверждали при сравнении с </w:t>
      </w:r>
      <w:r w:rsid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ротоколом ведения больны</w:t>
      </w:r>
      <w:r w:rsidR="007F77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х 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>и МКБ-10</w:t>
      </w:r>
      <w:r w:rsidR="007A19FA">
        <w:rPr>
          <w:rFonts w:ascii="Times New Roman" w:hAnsi="Times New Roman" w:cs="Times New Roman"/>
          <w:color w:val="000000"/>
          <w:sz w:val="28"/>
          <w:szCs w:val="28"/>
          <w:lang w:val="uk-UA"/>
        </w:rPr>
        <w:t> ―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A19FA"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>-06.3.</w:t>
      </w:r>
    </w:p>
    <w:p w:rsidR="00DF2FDD" w:rsidRPr="00DF2FDD" w:rsidRDefault="00DF2FDD" w:rsidP="00DF2FDD">
      <w:pPr>
        <w:autoSpaceDE w:val="0"/>
        <w:autoSpaceDN w:val="0"/>
        <w:adjustRightInd w:val="0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исследовании придерживались </w:t>
      </w:r>
      <w:r w:rsidR="006613D9"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этической составляющей 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лече</w:t>
      </w:r>
      <w:r w:rsidR="006613D9">
        <w:rPr>
          <w:rFonts w:ascii="Times New Roman" w:hAnsi="Times New Roman" w:cs="Times New Roman"/>
          <w:color w:val="000000"/>
          <w:sz w:val="28"/>
          <w:szCs w:val="28"/>
          <w:lang w:val="uk-UA"/>
        </w:rPr>
        <w:t>бно-диагностических стандартов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клинических исследований (GCP, 1997). То есть до начала работы пациенты были проинформированы о сути исследования, его цели и возможны</w:t>
      </w:r>
      <w:r w:rsidR="007A19FA">
        <w:rPr>
          <w:rFonts w:ascii="Times New Roman" w:hAnsi="Times New Roman" w:cs="Times New Roman"/>
          <w:color w:val="000000"/>
          <w:sz w:val="28"/>
          <w:szCs w:val="28"/>
          <w:lang w:val="uk-UA"/>
        </w:rPr>
        <w:t>х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результат</w:t>
      </w:r>
      <w:r w:rsidR="007A19FA">
        <w:rPr>
          <w:rFonts w:ascii="Times New Roman" w:hAnsi="Times New Roman" w:cs="Times New Roman"/>
          <w:color w:val="000000"/>
          <w:sz w:val="28"/>
          <w:szCs w:val="28"/>
          <w:lang w:val="uk-UA"/>
        </w:rPr>
        <w:t>ах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>. От каждого пациента было получено письменное согласие на участие в исследовании, согласно рекомендациям этических комитетов по вопросам биомедицинских исследований, законодательств</w:t>
      </w:r>
      <w:r w:rsidR="004C64F6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Украины по охране здоровья, </w:t>
      </w:r>
      <w:r w:rsidR="004C64F6">
        <w:rPr>
          <w:rFonts w:ascii="Times New Roman" w:hAnsi="Times New Roman" w:cs="Times New Roman"/>
          <w:color w:val="000000"/>
          <w:sz w:val="28"/>
          <w:szCs w:val="28"/>
          <w:lang w:val="uk-UA"/>
        </w:rPr>
        <w:t>Х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>ельсин</w:t>
      </w:r>
      <w:r w:rsidR="004C64F6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ско</w:t>
      </w:r>
      <w:r w:rsidR="004C64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й 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деклараци</w:t>
      </w:r>
      <w:r w:rsidR="004C64F6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2000 года и Директив</w:t>
      </w:r>
      <w:r w:rsidR="004C64F6"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Европейского </w:t>
      </w:r>
      <w:r w:rsidR="004C64F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союза</w:t>
      </w:r>
      <w:r w:rsidRPr="00DF2F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86/609 об участии людей в медико-биологических исследованиях.</w:t>
      </w:r>
    </w:p>
    <w:p w:rsidR="00DF2FDD" w:rsidRPr="00DF2FDD" w:rsidRDefault="00DF2FDD" w:rsidP="00DF2FDD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2FDD">
        <w:rPr>
          <w:rFonts w:ascii="Times New Roman" w:hAnsi="Times New Roman" w:cs="Times New Roman"/>
          <w:sz w:val="28"/>
          <w:szCs w:val="28"/>
          <w:lang w:val="uk-UA"/>
        </w:rPr>
        <w:t>Пациенты с сахарным диабетом, болезнями сердечно-сосудистой системы, почек, онкологическими заболеваниями, психическими заболеваниями, беременные и несовершеннолетние не включались в исследование.</w:t>
      </w:r>
    </w:p>
    <w:p w:rsidR="00DF2FDD" w:rsidRPr="00DF2FDD" w:rsidRDefault="00DF2FDD" w:rsidP="00DF2FDD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Белок Клото исследовали в сыворотке крови </w:t>
      </w:r>
      <w:r w:rsidR="00BD5496">
        <w:rPr>
          <w:rFonts w:ascii="Times New Roman" w:hAnsi="Times New Roman" w:cs="Times New Roman"/>
          <w:sz w:val="28"/>
          <w:szCs w:val="28"/>
          <w:lang w:val="uk-UA"/>
        </w:rPr>
        <w:t xml:space="preserve">больных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D549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муноферментн</w:t>
      </w:r>
      <w:r w:rsidR="00BD5496">
        <w:rPr>
          <w:rFonts w:ascii="Times New Roman" w:hAnsi="Times New Roman" w:cs="Times New Roman"/>
          <w:sz w:val="28"/>
          <w:szCs w:val="28"/>
          <w:lang w:val="uk-UA"/>
        </w:rPr>
        <w:t>ы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м методом с использованием коммерческой тест-системы производства фирмы «Elabscience» (ELISA, США) на иммуноферментном анализаторе «Labline-90» (Австрия) </w:t>
      </w:r>
      <w:r w:rsidR="00BD5496">
        <w:rPr>
          <w:rFonts w:ascii="Times New Roman" w:hAnsi="Times New Roman" w:cs="Times New Roman"/>
          <w:sz w:val="28"/>
          <w:szCs w:val="28"/>
          <w:lang w:val="uk-UA"/>
        </w:rPr>
        <w:t>в соответствии с прилагающейся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к набору инструкци</w:t>
      </w:r>
      <w:r w:rsidR="000F3C92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2FDD" w:rsidRPr="00DF2FDD" w:rsidRDefault="00DF2FDD" w:rsidP="00DF2FDD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2FDD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Статистическую обработку данных проводили с помощью пакета программ общего назначения STATISTICA. Использовали методы непараметрической статистики: критерий Краскела</w:t>
      </w:r>
      <w:r w:rsidR="00BD5496">
        <w:t> </w:t>
      </w:r>
      <w:r w:rsidR="00BD5496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Уоллиса, медианный тест, критерий Манна</w:t>
      </w:r>
      <w:r w:rsidR="00BD5496">
        <w:rPr>
          <w:rFonts w:ascii="Times New Roman" w:hAnsi="Times New Roman" w:cs="Times New Roman"/>
          <w:sz w:val="28"/>
          <w:szCs w:val="28"/>
          <w:lang w:val="uk-UA"/>
        </w:rPr>
        <w:t> ―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Уитни.</w:t>
      </w:r>
    </w:p>
    <w:p w:rsidR="00DF2FDD" w:rsidRPr="00DF2FDD" w:rsidRDefault="00DF2FDD" w:rsidP="00DF2FDD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496">
        <w:rPr>
          <w:rFonts w:ascii="Times New Roman" w:hAnsi="Times New Roman" w:cs="Times New Roman"/>
          <w:b/>
          <w:sz w:val="28"/>
          <w:szCs w:val="28"/>
          <w:lang w:val="uk-UA"/>
        </w:rPr>
        <w:t>Результаты и их обсуждение.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Основным клиническим проявлением ГЭРБ у больных обеих групп была изжога, которая чаще возникала в течение дня (70,8% </w:t>
      </w:r>
      <w:r w:rsidR="00BD5496">
        <w:rPr>
          <w:rFonts w:ascii="Times New Roman" w:hAnsi="Times New Roman" w:cs="Times New Roman"/>
          <w:sz w:val="28"/>
          <w:szCs w:val="28"/>
          <w:lang w:val="uk-UA"/>
        </w:rPr>
        <w:t xml:space="preserve">―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основная группа и 68,9% </w:t>
      </w:r>
      <w:r w:rsidR="00BD5496">
        <w:rPr>
          <w:rFonts w:ascii="Times New Roman" w:hAnsi="Times New Roman" w:cs="Times New Roman"/>
          <w:sz w:val="28"/>
          <w:szCs w:val="28"/>
          <w:lang w:val="uk-UA"/>
        </w:rPr>
        <w:t xml:space="preserve">―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группа сравнения). Появление ночных приступов изжоги </w:t>
      </w:r>
      <w:r w:rsidR="00BD5496">
        <w:rPr>
          <w:rFonts w:ascii="Times New Roman" w:hAnsi="Times New Roman" w:cs="Times New Roman"/>
          <w:sz w:val="28"/>
          <w:szCs w:val="28"/>
          <w:lang w:val="uk-UA"/>
        </w:rPr>
        <w:t>регистрировали в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65% и 31,1% случаев </w:t>
      </w:r>
      <w:r w:rsidR="00BD5496">
        <w:rPr>
          <w:rFonts w:ascii="Times New Roman" w:hAnsi="Times New Roman" w:cs="Times New Roman"/>
          <w:sz w:val="28"/>
          <w:szCs w:val="28"/>
          <w:lang w:val="uk-UA"/>
        </w:rPr>
        <w:t>соответственно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54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D5496">
        <w:rPr>
          <w:rFonts w:ascii="Times New Roman" w:hAnsi="Times New Roman" w:cs="Times New Roman"/>
          <w:sz w:val="28"/>
          <w:szCs w:val="28"/>
          <w:lang w:val="uk-UA"/>
        </w:rPr>
        <w:t>еже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больные с ГЭРБ отмечали дискомфорт в эпигастрии (22,5% и 13,3% соответственно), отрыжку (52,5% и 13,3%), чувство быстрого насыщения после приема пищи (34,2% и 24,4%) и метеоризм (39,2% </w:t>
      </w:r>
      <w:r w:rsidR="00BD549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31,1% соответственно). Такие симптомы заболевания, как дисфагия, тошнота, рвота, кашель и осиплость голоса, регистрировали значительно реже.</w:t>
      </w:r>
    </w:p>
    <w:p w:rsidR="00DF2FDD" w:rsidRPr="00DF2FDD" w:rsidRDefault="00DF2FDD" w:rsidP="00DF2FDD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2FDD">
        <w:rPr>
          <w:rFonts w:ascii="Times New Roman" w:hAnsi="Times New Roman" w:cs="Times New Roman"/>
          <w:sz w:val="28"/>
          <w:szCs w:val="28"/>
          <w:lang w:val="uk-UA"/>
        </w:rPr>
        <w:t>Проведен</w:t>
      </w:r>
      <w:r w:rsidR="00BD5496">
        <w:rPr>
          <w:rFonts w:ascii="Times New Roman" w:hAnsi="Times New Roman" w:cs="Times New Roman"/>
          <w:sz w:val="28"/>
          <w:szCs w:val="28"/>
          <w:lang w:val="uk-UA"/>
        </w:rPr>
        <w:t>ная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ЭФГДС позволила визуально у 34 больных основной группы (28,3%) и 11 пациентов с изолированной ГЭРБ (24,4%) диагностировать эрозивн</w:t>
      </w:r>
      <w:r w:rsidR="00E74F56">
        <w:rPr>
          <w:rFonts w:ascii="Times New Roman" w:hAnsi="Times New Roman" w:cs="Times New Roman"/>
          <w:sz w:val="28"/>
          <w:szCs w:val="28"/>
          <w:lang w:val="uk-UA"/>
        </w:rPr>
        <w:t>ую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форму болезни с наличием множественных эрозий (от 2</w:t>
      </w:r>
      <w:r w:rsidR="00E74F56"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3 до 8</w:t>
      </w:r>
      <w:r w:rsidR="00E74F56"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10), в основном расположенных в средних и нижних отделах пищевода. При гистологическом изучении биоптатов слизистой оболочки установлены воспалительные изменения в слизисто</w:t>
      </w:r>
      <w:r w:rsidR="0025356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и подслизистом слоях с инфильтрацией их лейкоцитами и макрофагами, реже </w:t>
      </w:r>
      <w:r w:rsidR="00E74F56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лимфоцитами, а также </w:t>
      </w:r>
      <w:r w:rsidR="00253562">
        <w:rPr>
          <w:rFonts w:ascii="Times New Roman" w:hAnsi="Times New Roman" w:cs="Times New Roman"/>
          <w:sz w:val="28"/>
          <w:szCs w:val="28"/>
          <w:lang w:val="uk-UA"/>
        </w:rPr>
        <w:t xml:space="preserve">с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вовлечением в процесс сосудистой системы. Указанные жалобы больных и результаты ЭФГДС с гистологическим исследованием биоптатов позволили подтвердить диагноз ГЭРБ, определив ее форму (эрозивная, не</w:t>
      </w:r>
      <w:r w:rsidR="00253562">
        <w:rPr>
          <w:rFonts w:ascii="Times New Roman" w:hAnsi="Times New Roman" w:cs="Times New Roman"/>
          <w:sz w:val="28"/>
          <w:szCs w:val="28"/>
          <w:lang w:val="uk-UA"/>
        </w:rPr>
        <w:t>э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розивна</w:t>
      </w:r>
      <w:r w:rsidR="0025356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F2FDD" w:rsidRPr="00DF2FDD" w:rsidRDefault="00DF2FDD" w:rsidP="00DF2FDD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2FDD">
        <w:rPr>
          <w:rFonts w:ascii="Times New Roman" w:hAnsi="Times New Roman" w:cs="Times New Roman"/>
          <w:sz w:val="28"/>
          <w:szCs w:val="28"/>
          <w:lang w:val="uk-UA"/>
        </w:rPr>
        <w:t>Аутоиммунный тиреоидит был установлен на основании жалоб больных, результатов пальпаторного, лабораторного и инструментального методов исследования. При этом определяли повышение содержания антител к тиреопероксидазе и тиреоглобулину (в 3,6 и 4,5 раза соответственно), характерные изменения при ультразвуковом исследовании щитовидной железы (умеренное увеличение органа, уплотнение капсулы железы). При исследовании синтеза тиреоидных гормон</w:t>
      </w:r>
      <w:r w:rsidR="00BD2C3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D2C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не было обнаружено их отклонения от нормы, что позволило говорить о</w:t>
      </w:r>
      <w:r w:rsidR="00BD2C3C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эутиреоидн</w:t>
      </w:r>
      <w:r w:rsidR="00BD2C3C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состояни</w:t>
      </w:r>
      <w:r w:rsidR="00BD2C3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органа.</w:t>
      </w:r>
    </w:p>
    <w:p w:rsidR="00774BE8" w:rsidRDefault="00DF2FDD" w:rsidP="00DF2FDD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При исследовании содержания белка Клото было установлено, что у больных </w:t>
      </w:r>
      <w:r w:rsidR="00BD2C3C">
        <w:rPr>
          <w:rFonts w:ascii="Times New Roman" w:hAnsi="Times New Roman" w:cs="Times New Roman"/>
          <w:sz w:val="28"/>
          <w:szCs w:val="28"/>
          <w:lang w:val="uk-UA"/>
        </w:rPr>
        <w:t xml:space="preserve">с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изолированн</w:t>
      </w:r>
      <w:r w:rsidR="00BD2C3C">
        <w:rPr>
          <w:rFonts w:ascii="Times New Roman" w:hAnsi="Times New Roman" w:cs="Times New Roman"/>
          <w:sz w:val="28"/>
          <w:szCs w:val="28"/>
          <w:lang w:val="uk-UA"/>
        </w:rPr>
        <w:t>ой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ГЭРБ в целом по группе данный показатель достоверно превышал кон</w:t>
      </w:r>
      <w:r w:rsidR="00BD2C3C">
        <w:rPr>
          <w:rFonts w:ascii="Times New Roman" w:hAnsi="Times New Roman" w:cs="Times New Roman"/>
          <w:sz w:val="28"/>
          <w:szCs w:val="28"/>
          <w:lang w:val="uk-UA"/>
        </w:rPr>
        <w:t>трольные величины (U=279,5, p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&lt;0,01). При коморбидности ГЭРБ и АИТ</w:t>
      </w:r>
      <w:r w:rsidR="00BD2C3C">
        <w:rPr>
          <w:rFonts w:ascii="Times New Roman" w:hAnsi="Times New Roman" w:cs="Times New Roman"/>
          <w:sz w:val="28"/>
          <w:szCs w:val="28"/>
          <w:lang w:val="uk-UA"/>
        </w:rPr>
        <w:t xml:space="preserve"> повышение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исследуемой величины сохранялось и было статистически значи</w:t>
      </w:r>
      <w:r w:rsidR="00BD2C3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F3C92">
        <w:rPr>
          <w:rFonts w:ascii="Times New Roman" w:hAnsi="Times New Roman" w:cs="Times New Roman"/>
          <w:sz w:val="28"/>
          <w:szCs w:val="28"/>
          <w:lang w:val="uk-UA"/>
        </w:rPr>
        <w:t>ым как по отношению к норме (U=</w:t>
      </w:r>
      <w:r w:rsidR="00BD2C3C">
        <w:rPr>
          <w:rFonts w:ascii="Times New Roman" w:hAnsi="Times New Roman" w:cs="Times New Roman"/>
          <w:sz w:val="28"/>
          <w:szCs w:val="28"/>
          <w:lang w:val="uk-UA"/>
        </w:rPr>
        <w:t>20,5, p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&lt;0,01), так и к груп</w:t>
      </w:r>
      <w:r w:rsidR="00BD2C3C">
        <w:rPr>
          <w:rFonts w:ascii="Times New Roman" w:hAnsi="Times New Roman" w:cs="Times New Roman"/>
          <w:sz w:val="28"/>
          <w:szCs w:val="28"/>
          <w:lang w:val="uk-UA"/>
        </w:rPr>
        <w:t>пе с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изолированно</w:t>
      </w:r>
      <w:r w:rsidR="00BD2C3C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ГЭРБ (U</w:t>
      </w:r>
      <w:r w:rsidR="00BD2C3C">
        <w:rPr>
          <w:rFonts w:ascii="Times New Roman" w:hAnsi="Times New Roman" w:cs="Times New Roman"/>
          <w:sz w:val="28"/>
          <w:szCs w:val="28"/>
          <w:lang w:val="uk-UA"/>
        </w:rPr>
        <w:t>=1570, p&lt;0,01) и АИТ (U=1171, р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&lt;0,01) (табл. 1).</w:t>
      </w:r>
    </w:p>
    <w:p w:rsidR="000F3C92" w:rsidRDefault="000F3C92" w:rsidP="00DF2FDD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3C92" w:rsidRDefault="000F3C92" w:rsidP="00DF2FDD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BE8" w:rsidRDefault="00074578" w:rsidP="003216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Таблиц</w:t>
      </w:r>
      <w:r w:rsidR="00BD2C3C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1</w:t>
      </w:r>
    </w:p>
    <w:p w:rsidR="00074578" w:rsidRPr="00074578" w:rsidRDefault="00BD2C3C" w:rsidP="003216A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Содержание</w:t>
      </w:r>
      <w:r w:rsidR="00074578" w:rsidRPr="00074578">
        <w:rPr>
          <w:rFonts w:ascii="Times New Roman" w:hAnsi="Times New Roman"/>
          <w:sz w:val="28"/>
          <w:szCs w:val="28"/>
          <w:lang w:val="uk-UA"/>
        </w:rPr>
        <w:t xml:space="preserve"> б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="00074578" w:rsidRPr="00074578">
        <w:rPr>
          <w:rFonts w:ascii="Times New Roman" w:hAnsi="Times New Roman"/>
          <w:sz w:val="28"/>
          <w:szCs w:val="28"/>
          <w:lang w:val="uk-UA"/>
        </w:rPr>
        <w:t>лка Клото</w:t>
      </w:r>
      <w:r w:rsidR="009E1749">
        <w:rPr>
          <w:rFonts w:ascii="Times New Roman" w:hAnsi="Times New Roman"/>
          <w:sz w:val="28"/>
          <w:szCs w:val="28"/>
          <w:lang w:val="uk-UA"/>
        </w:rPr>
        <w:t xml:space="preserve"> в </w:t>
      </w:r>
      <w:r>
        <w:rPr>
          <w:rFonts w:ascii="Times New Roman" w:hAnsi="Times New Roman"/>
          <w:sz w:val="28"/>
          <w:szCs w:val="28"/>
          <w:lang w:val="uk-UA"/>
        </w:rPr>
        <w:t>сыворотке</w:t>
      </w:r>
      <w:r w:rsidR="00074578" w:rsidRPr="00074578">
        <w:rPr>
          <w:rFonts w:ascii="Times New Roman" w:hAnsi="Times New Roman"/>
          <w:sz w:val="28"/>
          <w:szCs w:val="28"/>
          <w:lang w:val="uk-UA"/>
        </w:rPr>
        <w:t xml:space="preserve"> кров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074578" w:rsidRPr="0007457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обследованных</w:t>
      </w:r>
      <w:r w:rsidR="00074578" w:rsidRPr="0007457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больных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543"/>
        <w:gridCol w:w="2835"/>
      </w:tblGrid>
      <w:tr w:rsidR="00074578" w:rsidRPr="007A7634" w:rsidTr="00FE1B99">
        <w:tc>
          <w:tcPr>
            <w:tcW w:w="3261" w:type="dxa"/>
            <w:shd w:val="clear" w:color="auto" w:fill="auto"/>
          </w:tcPr>
          <w:p w:rsidR="00074578" w:rsidRPr="00D36713" w:rsidRDefault="00074578" w:rsidP="003216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shd w:val="clear" w:color="auto" w:fill="auto"/>
          </w:tcPr>
          <w:p w:rsidR="00074578" w:rsidRPr="00D36713" w:rsidRDefault="00074578" w:rsidP="003216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D3671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Клото, </w:t>
            </w:r>
          </w:p>
          <w:p w:rsidR="00074578" w:rsidRPr="00D36713" w:rsidRDefault="00074578" w:rsidP="003216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6713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нг/мл</w:t>
            </w:r>
          </w:p>
        </w:tc>
        <w:tc>
          <w:tcPr>
            <w:tcW w:w="2835" w:type="dxa"/>
            <w:shd w:val="clear" w:color="auto" w:fill="auto"/>
          </w:tcPr>
          <w:p w:rsidR="00074578" w:rsidRPr="00D36713" w:rsidRDefault="009266CA" w:rsidP="000F3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Сравнение с</w:t>
            </w:r>
            <w:r w:rsidR="00A71E60" w:rsidRPr="00D36713">
              <w:rPr>
                <w:rFonts w:ascii="Times New Roman" w:hAnsi="Times New Roman"/>
                <w:sz w:val="28"/>
                <w:szCs w:val="28"/>
              </w:rPr>
              <w:t xml:space="preserve"> контрольно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A71E60" w:rsidRPr="00D36713">
              <w:rPr>
                <w:rFonts w:ascii="Times New Roman" w:hAnsi="Times New Roman"/>
                <w:sz w:val="28"/>
                <w:szCs w:val="28"/>
              </w:rPr>
              <w:t xml:space="preserve"> гру</w:t>
            </w:r>
            <w:r w:rsidR="000F3C92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A71E60" w:rsidRPr="00D36713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074578" w:rsidRPr="007A7634" w:rsidTr="00FE1B99">
        <w:tc>
          <w:tcPr>
            <w:tcW w:w="3261" w:type="dxa"/>
            <w:shd w:val="clear" w:color="auto" w:fill="auto"/>
          </w:tcPr>
          <w:p w:rsidR="00074578" w:rsidRPr="00D36713" w:rsidRDefault="00074578" w:rsidP="00BD2C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6713">
              <w:rPr>
                <w:rFonts w:ascii="Times New Roman" w:hAnsi="Times New Roman"/>
                <w:sz w:val="28"/>
                <w:szCs w:val="24"/>
                <w:lang w:val="uk-UA"/>
              </w:rPr>
              <w:t>Г</w:t>
            </w:r>
            <w:r w:rsidR="00BD2C3C">
              <w:rPr>
                <w:rFonts w:ascii="Times New Roman" w:hAnsi="Times New Roman"/>
                <w:sz w:val="28"/>
                <w:szCs w:val="24"/>
                <w:lang w:val="uk-UA"/>
              </w:rPr>
              <w:t>Э</w:t>
            </w:r>
            <w:r w:rsidRPr="00D36713">
              <w:rPr>
                <w:rFonts w:ascii="Times New Roman" w:hAnsi="Times New Roman"/>
                <w:sz w:val="28"/>
                <w:szCs w:val="24"/>
                <w:lang w:val="uk-UA"/>
              </w:rPr>
              <w:t>Р</w:t>
            </w:r>
            <w:r w:rsidR="00BD2C3C">
              <w:rPr>
                <w:rFonts w:ascii="Times New Roman" w:hAnsi="Times New Roman"/>
                <w:sz w:val="28"/>
                <w:szCs w:val="24"/>
                <w:lang w:val="uk-UA"/>
              </w:rPr>
              <w:t>Б</w:t>
            </w:r>
            <w:r w:rsidRPr="00D36713">
              <w:rPr>
                <w:rFonts w:ascii="Times New Roman" w:hAnsi="Times New Roman"/>
                <w:sz w:val="28"/>
                <w:szCs w:val="24"/>
                <w:lang w:val="uk-UA"/>
              </w:rPr>
              <w:t>+А</w:t>
            </w:r>
            <w:r w:rsidR="00BD2C3C">
              <w:rPr>
                <w:rFonts w:ascii="Times New Roman" w:hAnsi="Times New Roman"/>
                <w:sz w:val="28"/>
                <w:szCs w:val="24"/>
                <w:lang w:val="uk-UA"/>
              </w:rPr>
              <w:t>И</w:t>
            </w:r>
            <w:r w:rsidRPr="00D36713">
              <w:rPr>
                <w:rFonts w:ascii="Times New Roman" w:hAnsi="Times New Roman"/>
                <w:sz w:val="28"/>
                <w:szCs w:val="24"/>
                <w:lang w:val="uk-UA"/>
              </w:rPr>
              <w:t>Т</w:t>
            </w:r>
          </w:p>
        </w:tc>
        <w:tc>
          <w:tcPr>
            <w:tcW w:w="3543" w:type="dxa"/>
            <w:shd w:val="clear" w:color="auto" w:fill="auto"/>
          </w:tcPr>
          <w:p w:rsidR="00074578" w:rsidRPr="00D36713" w:rsidRDefault="00074578" w:rsidP="003216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6713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052A63" w:rsidRPr="00D3671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D36713">
              <w:rPr>
                <w:rFonts w:ascii="Times New Roman" w:hAnsi="Times New Roman"/>
                <w:sz w:val="28"/>
                <w:szCs w:val="28"/>
                <w:lang w:val="uk-UA"/>
              </w:rPr>
              <w:t>885 (0</w:t>
            </w:r>
            <w:r w:rsidR="00052A63" w:rsidRPr="00D3671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D36713">
              <w:rPr>
                <w:rFonts w:ascii="Times New Roman" w:hAnsi="Times New Roman"/>
                <w:sz w:val="28"/>
                <w:szCs w:val="28"/>
                <w:lang w:val="uk-UA"/>
              </w:rPr>
              <w:t>611; 1</w:t>
            </w:r>
            <w:r w:rsidR="00052A63" w:rsidRPr="00D3671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D367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184) </w:t>
            </w:r>
          </w:p>
        </w:tc>
        <w:tc>
          <w:tcPr>
            <w:tcW w:w="2835" w:type="dxa"/>
            <w:shd w:val="clear" w:color="auto" w:fill="auto"/>
          </w:tcPr>
          <w:p w:rsidR="00074578" w:rsidRPr="00D36713" w:rsidRDefault="00052A63" w:rsidP="00926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6713">
              <w:rPr>
                <w:rFonts w:ascii="Times New Roman" w:hAnsi="Times New Roman"/>
                <w:sz w:val="28"/>
                <w:szCs w:val="28"/>
              </w:rPr>
              <w:t>U</w:t>
            </w:r>
            <w:r w:rsidR="009266CA">
              <w:rPr>
                <w:rFonts w:ascii="Times New Roman" w:hAnsi="Times New Roman"/>
                <w:sz w:val="28"/>
                <w:szCs w:val="28"/>
              </w:rPr>
              <w:t>=</w:t>
            </w:r>
            <w:r w:rsidRPr="00D36713">
              <w:rPr>
                <w:rFonts w:ascii="Times New Roman" w:hAnsi="Times New Roman"/>
                <w:sz w:val="28"/>
                <w:szCs w:val="28"/>
              </w:rPr>
              <w:t>320</w:t>
            </w:r>
            <w:r w:rsidRPr="00D3671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074578" w:rsidRPr="00D36713">
              <w:rPr>
                <w:rFonts w:ascii="Times New Roman" w:hAnsi="Times New Roman"/>
                <w:sz w:val="28"/>
                <w:szCs w:val="28"/>
              </w:rPr>
              <w:t>5, p&lt;0</w:t>
            </w:r>
            <w:r w:rsidR="009266CA">
              <w:rPr>
                <w:rFonts w:ascii="Times New Roman" w:hAnsi="Times New Roman"/>
                <w:sz w:val="28"/>
                <w:szCs w:val="28"/>
              </w:rPr>
              <w:t>,</w:t>
            </w:r>
            <w:r w:rsidR="00074578" w:rsidRPr="00D3671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 w:rsidR="00074578" w:rsidRPr="007A7634" w:rsidTr="00FE1B99">
        <w:tc>
          <w:tcPr>
            <w:tcW w:w="3261" w:type="dxa"/>
            <w:shd w:val="clear" w:color="auto" w:fill="auto"/>
          </w:tcPr>
          <w:p w:rsidR="00074578" w:rsidRPr="00D36713" w:rsidRDefault="00074578" w:rsidP="00BD2C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6713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="00BD2C3C">
              <w:rPr>
                <w:rFonts w:ascii="Times New Roman" w:hAnsi="Times New Roman"/>
                <w:sz w:val="28"/>
                <w:szCs w:val="28"/>
                <w:lang w:val="uk-UA"/>
              </w:rPr>
              <w:t>Э</w:t>
            </w:r>
            <w:r w:rsidRPr="00D36713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BD2C3C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3543" w:type="dxa"/>
            <w:shd w:val="clear" w:color="auto" w:fill="auto"/>
          </w:tcPr>
          <w:p w:rsidR="00074578" w:rsidRPr="00D36713" w:rsidRDefault="00052A63" w:rsidP="003216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6713">
              <w:rPr>
                <w:rFonts w:ascii="Times New Roman" w:hAnsi="Times New Roman"/>
                <w:sz w:val="28"/>
                <w:szCs w:val="28"/>
                <w:lang w:val="uk-UA"/>
              </w:rPr>
              <w:t>0,638 (0,</w:t>
            </w:r>
            <w:r w:rsidR="00074578" w:rsidRPr="00D36713">
              <w:rPr>
                <w:rFonts w:ascii="Times New Roman" w:hAnsi="Times New Roman"/>
                <w:sz w:val="28"/>
                <w:szCs w:val="28"/>
                <w:lang w:val="uk-UA"/>
              </w:rPr>
              <w:t>4612; 0</w:t>
            </w:r>
            <w:r w:rsidRPr="00D3671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074578" w:rsidRPr="00D36713">
              <w:rPr>
                <w:rFonts w:ascii="Times New Roman" w:hAnsi="Times New Roman"/>
                <w:sz w:val="28"/>
                <w:szCs w:val="28"/>
                <w:lang w:val="uk-UA"/>
              </w:rPr>
              <w:t>763)</w:t>
            </w:r>
          </w:p>
        </w:tc>
        <w:tc>
          <w:tcPr>
            <w:tcW w:w="2835" w:type="dxa"/>
            <w:shd w:val="clear" w:color="auto" w:fill="auto"/>
          </w:tcPr>
          <w:p w:rsidR="00074578" w:rsidRPr="00D36713" w:rsidRDefault="00052A63" w:rsidP="00926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6713">
              <w:rPr>
                <w:rFonts w:ascii="Times New Roman" w:hAnsi="Times New Roman"/>
                <w:sz w:val="28"/>
                <w:szCs w:val="28"/>
              </w:rPr>
              <w:t>U=279</w:t>
            </w:r>
            <w:r w:rsidRPr="00D3671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074578" w:rsidRPr="00D36713">
              <w:rPr>
                <w:rFonts w:ascii="Times New Roman" w:hAnsi="Times New Roman"/>
                <w:sz w:val="28"/>
                <w:szCs w:val="28"/>
              </w:rPr>
              <w:t>5,</w:t>
            </w:r>
            <w:r w:rsidR="009266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074578" w:rsidRPr="00D36713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gramEnd"/>
            <w:r w:rsidR="00074578" w:rsidRPr="00D36713">
              <w:rPr>
                <w:rFonts w:ascii="Times New Roman" w:hAnsi="Times New Roman"/>
                <w:sz w:val="28"/>
                <w:szCs w:val="28"/>
              </w:rPr>
              <w:t>&lt;0</w:t>
            </w:r>
            <w:r w:rsidR="009266CA">
              <w:rPr>
                <w:rFonts w:ascii="Times New Roman" w:hAnsi="Times New Roman"/>
                <w:sz w:val="28"/>
                <w:szCs w:val="28"/>
              </w:rPr>
              <w:t>,</w:t>
            </w:r>
            <w:r w:rsidR="00074578" w:rsidRPr="00D3671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</w:tr>
      <w:tr w:rsidR="007A7634" w:rsidRPr="007A7634" w:rsidTr="00FE1B99">
        <w:tc>
          <w:tcPr>
            <w:tcW w:w="3261" w:type="dxa"/>
            <w:shd w:val="clear" w:color="auto" w:fill="auto"/>
          </w:tcPr>
          <w:p w:rsidR="007A7634" w:rsidRPr="00D36713" w:rsidRDefault="007A7634" w:rsidP="00BD2C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6713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BD2C3C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D36713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</w:p>
        </w:tc>
        <w:tc>
          <w:tcPr>
            <w:tcW w:w="3543" w:type="dxa"/>
            <w:shd w:val="clear" w:color="auto" w:fill="auto"/>
          </w:tcPr>
          <w:p w:rsidR="007A7634" w:rsidRPr="00D36713" w:rsidRDefault="007A7634" w:rsidP="00321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D3671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0,5675 (</w:t>
            </w:r>
            <w:r w:rsidRPr="00D3671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0,4398</w:t>
            </w:r>
            <w:r w:rsidRPr="00D36713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 xml:space="preserve">; </w:t>
            </w:r>
            <w:r w:rsidRPr="00D3671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0,7324</w:t>
            </w:r>
            <w:r w:rsidRPr="00D36713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7A7634" w:rsidRPr="00D36713" w:rsidRDefault="007A7634" w:rsidP="00926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6713">
              <w:rPr>
                <w:rFonts w:ascii="Times New Roman" w:hAnsi="Times New Roman"/>
                <w:sz w:val="28"/>
                <w:szCs w:val="28"/>
              </w:rPr>
              <w:t>U=</w:t>
            </w:r>
            <w:r w:rsidRPr="00D36713">
              <w:rPr>
                <w:rFonts w:ascii="Times New Roman" w:hAnsi="Times New Roman"/>
                <w:sz w:val="28"/>
                <w:szCs w:val="28"/>
                <w:lang w:val="uk-UA"/>
              </w:rPr>
              <w:t>307</w:t>
            </w:r>
            <w:r w:rsidRPr="00D36713">
              <w:rPr>
                <w:rFonts w:ascii="Times New Roman" w:hAnsi="Times New Roman"/>
                <w:sz w:val="28"/>
                <w:szCs w:val="28"/>
              </w:rPr>
              <w:t>,</w:t>
            </w:r>
            <w:r w:rsidR="009266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36713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gramEnd"/>
            <w:r w:rsidR="00A71E60" w:rsidRPr="00D367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&gt;</w:t>
            </w:r>
            <w:r w:rsidRPr="00D36713">
              <w:rPr>
                <w:rFonts w:ascii="Times New Roman" w:hAnsi="Times New Roman"/>
                <w:sz w:val="28"/>
                <w:szCs w:val="28"/>
              </w:rPr>
              <w:t>0</w:t>
            </w:r>
            <w:r w:rsidR="009266CA">
              <w:rPr>
                <w:rFonts w:ascii="Times New Roman" w:hAnsi="Times New Roman"/>
                <w:sz w:val="28"/>
                <w:szCs w:val="28"/>
              </w:rPr>
              <w:t>,</w:t>
            </w:r>
            <w:r w:rsidRPr="00D3671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</w:tr>
      <w:tr w:rsidR="00074578" w:rsidRPr="007A7634" w:rsidTr="00FE1B99">
        <w:tc>
          <w:tcPr>
            <w:tcW w:w="3261" w:type="dxa"/>
            <w:shd w:val="clear" w:color="auto" w:fill="auto"/>
          </w:tcPr>
          <w:p w:rsidR="00074578" w:rsidRPr="00D36713" w:rsidRDefault="00074578" w:rsidP="003216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6713">
              <w:rPr>
                <w:rFonts w:ascii="Times New Roman" w:hAnsi="Times New Roman"/>
                <w:sz w:val="28"/>
                <w:szCs w:val="28"/>
                <w:lang w:val="uk-UA"/>
              </w:rPr>
              <w:t>Контрольна</w:t>
            </w:r>
            <w:r w:rsidR="00BD2C3C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D3671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гру</w:t>
            </w:r>
            <w:r w:rsidR="00BD2C3C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D36713">
              <w:rPr>
                <w:rFonts w:ascii="Times New Roman" w:hAnsi="Times New Roman"/>
                <w:sz w:val="28"/>
                <w:szCs w:val="28"/>
                <w:lang w:val="uk-UA"/>
              </w:rPr>
              <w:t>па</w:t>
            </w:r>
          </w:p>
        </w:tc>
        <w:tc>
          <w:tcPr>
            <w:tcW w:w="3543" w:type="dxa"/>
            <w:shd w:val="clear" w:color="auto" w:fill="auto"/>
          </w:tcPr>
          <w:p w:rsidR="00074578" w:rsidRPr="00D36713" w:rsidRDefault="00052A63" w:rsidP="003216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671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D3671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074578" w:rsidRPr="00D36713">
              <w:rPr>
                <w:rFonts w:ascii="Times New Roman" w:hAnsi="Times New Roman"/>
                <w:sz w:val="28"/>
                <w:szCs w:val="28"/>
                <w:lang w:val="en-US"/>
              </w:rPr>
              <w:t>4866 (0</w:t>
            </w:r>
            <w:r w:rsidRPr="00D3671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D36713">
              <w:rPr>
                <w:rFonts w:ascii="Times New Roman" w:hAnsi="Times New Roman"/>
                <w:sz w:val="28"/>
                <w:szCs w:val="28"/>
                <w:lang w:val="en-US"/>
              </w:rPr>
              <w:t>3679; 0</w:t>
            </w:r>
            <w:r w:rsidRPr="00D3671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074578" w:rsidRPr="00D36713">
              <w:rPr>
                <w:rFonts w:ascii="Times New Roman" w:hAnsi="Times New Roman"/>
                <w:sz w:val="28"/>
                <w:szCs w:val="28"/>
                <w:lang w:val="en-US"/>
              </w:rPr>
              <w:t>6098)</w:t>
            </w:r>
          </w:p>
        </w:tc>
        <w:tc>
          <w:tcPr>
            <w:tcW w:w="2835" w:type="dxa"/>
            <w:shd w:val="clear" w:color="auto" w:fill="auto"/>
          </w:tcPr>
          <w:p w:rsidR="00074578" w:rsidRPr="00D36713" w:rsidRDefault="00074578" w:rsidP="003216A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0F3C92" w:rsidRDefault="000F3C92" w:rsidP="003216A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748" w:rsidRPr="009266CA" w:rsidRDefault="009266CA" w:rsidP="003216AC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266CA">
        <w:rPr>
          <w:rFonts w:ascii="Times New Roman" w:hAnsi="Times New Roman" w:cs="Times New Roman"/>
          <w:sz w:val="24"/>
          <w:szCs w:val="24"/>
          <w:lang w:val="uk-UA"/>
        </w:rPr>
        <w:t>При наличии изолированного АИТ содержание белка Клото имел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9266CA">
        <w:rPr>
          <w:rFonts w:ascii="Times New Roman" w:hAnsi="Times New Roman" w:cs="Times New Roman"/>
          <w:sz w:val="24"/>
          <w:szCs w:val="24"/>
          <w:lang w:val="uk-UA"/>
        </w:rPr>
        <w:t xml:space="preserve"> тенденцию к увеличению, но его значение по отношению к норме не было </w:t>
      </w:r>
      <w:r>
        <w:rPr>
          <w:rFonts w:ascii="Times New Roman" w:hAnsi="Times New Roman" w:cs="Times New Roman"/>
          <w:sz w:val="24"/>
          <w:szCs w:val="24"/>
          <w:lang w:val="uk-UA"/>
        </w:rPr>
        <w:t>достоверным</w:t>
      </w:r>
      <w:r w:rsidRPr="009266CA">
        <w:rPr>
          <w:rFonts w:ascii="Times New Roman" w:hAnsi="Times New Roman" w:cs="Times New Roman"/>
          <w:sz w:val="24"/>
          <w:szCs w:val="24"/>
          <w:lang w:val="uk-UA"/>
        </w:rPr>
        <w:t xml:space="preserve"> (рис.</w:t>
      </w:r>
      <w:r w:rsidRPr="009266CA">
        <w:rPr>
          <w:rFonts w:ascii="Times New Roman" w:hAnsi="Times New Roman" w:cs="Times New Roman"/>
          <w:sz w:val="28"/>
          <w:szCs w:val="28"/>
          <w:lang w:val="uk-UA"/>
        </w:rPr>
        <w:t xml:space="preserve"> 1).</w:t>
      </w:r>
      <w:r w:rsidR="00774BE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0720" cy="3240405"/>
            <wp:effectExtent l="0" t="0" r="0" b="0"/>
            <wp:docPr id="1" name="Рисунок 1" descr="D:\Docs\Моя работа\Вестник\Вестник 2020\2020_4\2020_4\08 - Пасиешвили\F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s\Моя работа\Вестник\Вестник 2020\2020_4\2020_4\08 - Пасиешвили\Fig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6CA" w:rsidRPr="009266CA" w:rsidRDefault="009266CA" w:rsidP="009266CA">
      <w:pPr>
        <w:autoSpaceDE w:val="0"/>
        <w:autoSpaceDN w:val="0"/>
        <w:adjustRightInd w:val="0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6CA">
        <w:rPr>
          <w:rFonts w:ascii="Times New Roman" w:hAnsi="Times New Roman" w:cs="Times New Roman"/>
          <w:sz w:val="28"/>
          <w:szCs w:val="28"/>
          <w:lang w:val="uk-UA"/>
        </w:rPr>
        <w:t>Рис. 1. Графическое изображение содержания белка Клото</w:t>
      </w:r>
      <w:r w:rsidR="000F3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66CA">
        <w:rPr>
          <w:rFonts w:ascii="Times New Roman" w:hAnsi="Times New Roman" w:cs="Times New Roman"/>
          <w:sz w:val="28"/>
          <w:szCs w:val="28"/>
          <w:lang w:val="uk-UA"/>
        </w:rPr>
        <w:t>в группах обследован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9266CA">
        <w:rPr>
          <w:rFonts w:ascii="Times New Roman" w:hAnsi="Times New Roman" w:cs="Times New Roman"/>
          <w:sz w:val="28"/>
          <w:szCs w:val="28"/>
          <w:lang w:val="uk-UA"/>
        </w:rPr>
        <w:t>ы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9266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1A42" w:rsidRDefault="009266CA" w:rsidP="009266CA">
      <w:pPr>
        <w:autoSpaceDE w:val="0"/>
        <w:autoSpaceDN w:val="0"/>
        <w:adjustRightInd w:val="0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6CA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Pr="009266CA">
        <w:rPr>
          <w:rFonts w:ascii="Times New Roman" w:hAnsi="Times New Roman" w:cs="Times New Roman"/>
          <w:sz w:val="28"/>
          <w:szCs w:val="28"/>
          <w:lang w:val="uk-UA"/>
        </w:rPr>
        <w:t xml:space="preserve"> здоровые люди; 2 </w:t>
      </w:r>
      <w:r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Pr="009266CA">
        <w:rPr>
          <w:rFonts w:ascii="Times New Roman" w:hAnsi="Times New Roman" w:cs="Times New Roman"/>
          <w:sz w:val="28"/>
          <w:szCs w:val="28"/>
          <w:lang w:val="uk-UA"/>
        </w:rPr>
        <w:t xml:space="preserve"> основная группа; 3 </w:t>
      </w:r>
      <w:r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Pr="009266CA">
        <w:rPr>
          <w:rFonts w:ascii="Times New Roman" w:hAnsi="Times New Roman" w:cs="Times New Roman"/>
          <w:sz w:val="28"/>
          <w:szCs w:val="28"/>
          <w:lang w:val="uk-UA"/>
        </w:rPr>
        <w:t xml:space="preserve"> пациенты с изолированной ГЭРБ; 4 </w:t>
      </w:r>
      <w:r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Pr="009266CA">
        <w:rPr>
          <w:rFonts w:ascii="Times New Roman" w:hAnsi="Times New Roman" w:cs="Times New Roman"/>
          <w:sz w:val="28"/>
          <w:szCs w:val="28"/>
          <w:lang w:val="uk-UA"/>
        </w:rPr>
        <w:t xml:space="preserve"> пациенты с АИТ.</w:t>
      </w:r>
    </w:p>
    <w:p w:rsidR="009266CA" w:rsidRDefault="009266CA" w:rsidP="00DF2FDD">
      <w:pPr>
        <w:autoSpaceDE w:val="0"/>
        <w:autoSpaceDN w:val="0"/>
        <w:adjustRightInd w:val="0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2FDD" w:rsidRPr="00DF2FDD" w:rsidRDefault="00DF2FDD" w:rsidP="00DF2FDD">
      <w:pPr>
        <w:autoSpaceDE w:val="0"/>
        <w:autoSpaceDN w:val="0"/>
        <w:adjustRightInd w:val="0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2FDD">
        <w:rPr>
          <w:rFonts w:ascii="Times New Roman" w:hAnsi="Times New Roman" w:cs="Times New Roman"/>
          <w:sz w:val="28"/>
          <w:szCs w:val="28"/>
          <w:lang w:val="uk-UA"/>
        </w:rPr>
        <w:t>Изучено содержание белка Клото с учетом формы заболевания при ГЭРБ. Наличие эрозий в слизистой оболочке пищевода у пациентов с изолированной ГЭРБ не сопровождал</w:t>
      </w:r>
      <w:r w:rsidR="00D52FC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сь изменениями указанно</w:t>
      </w:r>
      <w:r w:rsidR="00D52FCB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показател</w:t>
      </w:r>
      <w:r w:rsidR="00D52FCB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по сравнению с пациентами с не</w:t>
      </w:r>
      <w:r w:rsidR="00D52FCB">
        <w:rPr>
          <w:rFonts w:ascii="Times New Roman" w:hAnsi="Times New Roman" w:cs="Times New Roman"/>
          <w:sz w:val="28"/>
          <w:szCs w:val="28"/>
          <w:lang w:val="uk-UA"/>
        </w:rPr>
        <w:t>э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розивно</w:t>
      </w:r>
      <w:r w:rsidR="00D52FCB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формой заболевания</w:t>
      </w:r>
      <w:r w:rsidR="00F3313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3130">
        <w:rPr>
          <w:rFonts w:ascii="Times New Roman" w:hAnsi="Times New Roman" w:cs="Times New Roman"/>
          <w:sz w:val="28"/>
          <w:szCs w:val="28"/>
          <w:lang w:val="uk-UA"/>
        </w:rPr>
        <w:t>который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3C92">
        <w:rPr>
          <w:rFonts w:ascii="Times New Roman" w:hAnsi="Times New Roman" w:cs="Times New Roman"/>
          <w:sz w:val="28"/>
          <w:szCs w:val="28"/>
          <w:lang w:val="uk-UA"/>
        </w:rPr>
        <w:t>составил</w:t>
      </w:r>
      <w:r w:rsidR="00F331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0,6397 (0,4198; 0,7792)</w:t>
      </w:r>
      <w:r w:rsidR="000F3C9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нг</w:t>
      </w:r>
      <w:r w:rsidR="00F33130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мл и 0,6373 (0,5234; 0,7625)</w:t>
      </w:r>
      <w:r w:rsidR="000F3C9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нг</w:t>
      </w:r>
      <w:r w:rsidR="00F33130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мл соответственно. Также данные величины не имели достоверных различий в группе с сочетанной патологией: при эрозивно</w:t>
      </w:r>
      <w:r w:rsidR="00F33130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форм</w:t>
      </w:r>
      <w:r w:rsidR="00F33130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33130">
        <w:rPr>
          <w:rFonts w:ascii="Times New Roman" w:hAnsi="Times New Roman" w:cs="Times New Roman"/>
          <w:sz w:val="28"/>
          <w:szCs w:val="28"/>
          <w:lang w:val="uk-UA"/>
        </w:rPr>
        <w:t>Э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33130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синтез белка Клото составил 0,8779 (0,5291; 1,2522)</w:t>
      </w:r>
      <w:r w:rsidR="000F3C9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нг</w:t>
      </w:r>
      <w:r w:rsidR="00F33130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мл</w:t>
      </w:r>
      <w:r w:rsidR="00F3313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3130">
        <w:rPr>
          <w:rFonts w:ascii="Times New Roman" w:hAnsi="Times New Roman" w:cs="Times New Roman"/>
          <w:sz w:val="28"/>
          <w:szCs w:val="28"/>
          <w:lang w:val="uk-UA"/>
        </w:rPr>
        <w:t>а при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 w:rsidR="00F33130">
        <w:rPr>
          <w:rFonts w:ascii="Times New Roman" w:hAnsi="Times New Roman" w:cs="Times New Roman"/>
          <w:sz w:val="28"/>
          <w:szCs w:val="28"/>
          <w:lang w:val="uk-UA"/>
        </w:rPr>
        <w:t>э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розивн</w:t>
      </w:r>
      <w:r w:rsidR="00F3313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F33130">
        <w:rPr>
          <w:rFonts w:ascii="Times New Roman" w:hAnsi="Times New Roman" w:cs="Times New Roman"/>
          <w:sz w:val="28"/>
          <w:szCs w:val="28"/>
          <w:lang w:val="uk-UA"/>
        </w:rPr>
        <w:t xml:space="preserve">―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0,8875 (0,6215; 1,1635)</w:t>
      </w:r>
      <w:r w:rsidR="000F3C9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нг/мл.</w:t>
      </w:r>
      <w:r w:rsidR="00ED69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3130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таких условиях уровень белка Клото</w:t>
      </w:r>
      <w:r w:rsidR="00F331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не коррелировал с количеством эрозий в слизистой оболочке и их расположением.</w:t>
      </w:r>
    </w:p>
    <w:p w:rsidR="00DF2FDD" w:rsidRPr="00DF2FDD" w:rsidRDefault="00DF2FDD" w:rsidP="00DF2FDD">
      <w:pPr>
        <w:autoSpaceDE w:val="0"/>
        <w:autoSpaceDN w:val="0"/>
        <w:adjustRightInd w:val="0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2FDD">
        <w:rPr>
          <w:rFonts w:ascii="Times New Roman" w:hAnsi="Times New Roman" w:cs="Times New Roman"/>
          <w:sz w:val="28"/>
          <w:szCs w:val="28"/>
          <w:lang w:val="uk-UA"/>
        </w:rPr>
        <w:t>Синтез белка Клото также не зависел от длительности заболевания и частоты его обострений</w:t>
      </w:r>
      <w:r w:rsidR="009D5EA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наличи</w:t>
      </w:r>
      <w:r w:rsidR="009D5EA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вредных привычек (курение). Данное обстоятельство, по-видимому, можно объяснить молодым возрастом пациентов, коротким анамнезом заболеваний и небольшой крат</w:t>
      </w:r>
      <w:r w:rsidR="009D5EAE">
        <w:rPr>
          <w:rFonts w:ascii="Times New Roman" w:hAnsi="Times New Roman" w:cs="Times New Roman"/>
          <w:sz w:val="28"/>
          <w:szCs w:val="28"/>
          <w:lang w:val="uk-UA"/>
        </w:rPr>
        <w:t xml:space="preserve">ностью </w:t>
      </w:r>
      <w:r w:rsidR="009D5EA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периодов обострения (от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впервые выявленных до 2</w:t>
      </w:r>
      <w:r w:rsidR="009D5EAE"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3 обострений за период болезни, не превышающий тр</w:t>
      </w:r>
      <w:r w:rsidR="009D5EAE">
        <w:rPr>
          <w:rFonts w:ascii="Times New Roman" w:hAnsi="Times New Roman" w:cs="Times New Roman"/>
          <w:sz w:val="28"/>
          <w:szCs w:val="28"/>
          <w:lang w:val="uk-UA"/>
        </w:rPr>
        <w:t>ех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5EAE">
        <w:rPr>
          <w:rFonts w:ascii="Times New Roman" w:hAnsi="Times New Roman" w:cs="Times New Roman"/>
          <w:sz w:val="28"/>
          <w:szCs w:val="28"/>
          <w:lang w:val="uk-UA"/>
        </w:rPr>
        <w:t>лет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9D5EAE">
        <w:rPr>
          <w:rFonts w:ascii="Times New Roman" w:hAnsi="Times New Roman" w:cs="Times New Roman"/>
          <w:sz w:val="28"/>
          <w:szCs w:val="28"/>
          <w:lang w:val="uk-UA"/>
        </w:rPr>
        <w:t>Таким образом, течение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ГЭРБ и ее сочетание с АИТ у лиц молодого возраста сопровождалось увеличением содержания белка Клото в сыворотке крови.</w:t>
      </w:r>
    </w:p>
    <w:p w:rsidR="009D5EAE" w:rsidRPr="009D5EAE" w:rsidRDefault="009D5EAE" w:rsidP="009D5EAE">
      <w:pPr>
        <w:autoSpaceDE w:val="0"/>
        <w:autoSpaceDN w:val="0"/>
        <w:adjustRightInd w:val="0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EAE">
        <w:rPr>
          <w:rFonts w:ascii="Times New Roman" w:hAnsi="Times New Roman" w:cs="Times New Roman"/>
          <w:sz w:val="28"/>
          <w:szCs w:val="28"/>
          <w:lang w:val="uk-UA"/>
        </w:rPr>
        <w:t>Как было установлено, белок Клото относится к антивозрастны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 xml:space="preserve"> гормон</w:t>
      </w:r>
      <w:r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>. Причем такой его феномен связывают с повышением сопротивления клеток окислительно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 xml:space="preserve"> стресс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 xml:space="preserve">. В основе нарушения антиоксидантной защиты лежит процесс избыточного накопления в организме свободных радикалов. Данные изменения приводят к повреждению таких важных биологических макромолекул, как ДНК, липиды и белки, то есть к нарушению нормального функционирования клеток и, </w:t>
      </w:r>
      <w:r>
        <w:rPr>
          <w:rFonts w:ascii="Times New Roman" w:hAnsi="Times New Roman" w:cs="Times New Roman"/>
          <w:sz w:val="28"/>
          <w:szCs w:val="28"/>
          <w:lang w:val="uk-UA"/>
        </w:rPr>
        <w:t>таким образом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>старени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 xml:space="preserve"> организма [11]. Белок Клото повышает способность клеток к самостоятельной </w:t>
      </w:r>
      <w:r w:rsidRPr="000F3C92">
        <w:rPr>
          <w:rFonts w:ascii="Times New Roman" w:hAnsi="Times New Roman" w:cs="Times New Roman"/>
          <w:sz w:val="28"/>
          <w:szCs w:val="28"/>
          <w:lang w:val="uk-UA"/>
        </w:rPr>
        <w:t>детоксификации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 xml:space="preserve"> за счет повышения синтеза марганецсуперокисиддисмутазы</w:t>
      </w:r>
      <w:r w:rsidR="000F3C92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 xml:space="preserve"> важного антиоксиданта, количество которого в организме, как известно, уменьшается с возрастом. Этот фермент, который обычно находят в митохондриях клеток, выполняет свою защитную функцию за счет гидролиза вредных супероксид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>и преобразования их в менее опасный пероксид водорода [4, 10]. В таком случае можно думать, что повышение содержания белка Клото является компенсаторным механизмом, обеспечивающим потенцирование синтеза марганецсупероксиддисмутаазы</w:t>
      </w:r>
      <w:r w:rsidR="0006795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B64E8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 xml:space="preserve"> митохондриального внутриклеточного белка второй фазы детоксикации ксенобиотиков, </w:t>
      </w:r>
      <w:r w:rsidR="00DB64E8">
        <w:rPr>
          <w:rFonts w:ascii="Times New Roman" w:hAnsi="Times New Roman" w:cs="Times New Roman"/>
          <w:sz w:val="28"/>
          <w:szCs w:val="28"/>
          <w:lang w:val="uk-UA"/>
        </w:rPr>
        <w:t xml:space="preserve">который 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>представля</w:t>
      </w:r>
      <w:r w:rsidR="00DB64E8">
        <w:rPr>
          <w:rFonts w:ascii="Times New Roman" w:hAnsi="Times New Roman" w:cs="Times New Roman"/>
          <w:sz w:val="28"/>
          <w:szCs w:val="28"/>
          <w:lang w:val="uk-UA"/>
        </w:rPr>
        <w:t>ет собой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 xml:space="preserve"> ферментативную внутриклеточную антиоксидазу и контролирует локальный уровень системы антиоксидантной защиты [9, 14]. То есть повышение содержания белка Клото</w:t>
      </w:r>
      <w:r w:rsidR="00DB64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 xml:space="preserve">в сыворотке крови больных ГЭРБ и АИТ не является результатом его антивозрастного действия. В </w:t>
      </w:r>
      <w:r w:rsidR="00DB64E8">
        <w:rPr>
          <w:rFonts w:ascii="Times New Roman" w:hAnsi="Times New Roman" w:cs="Times New Roman"/>
          <w:sz w:val="28"/>
          <w:szCs w:val="28"/>
          <w:lang w:val="uk-UA"/>
        </w:rPr>
        <w:t>эт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>ом случае увеличение синтеза белка Клото вызывает активацию второй</w:t>
      </w:r>
      <w:r w:rsidR="000679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 xml:space="preserve"> более специфической фазы антиоксидантной защиты, тем самым </w:t>
      </w:r>
      <w:r w:rsidR="00DB64E8">
        <w:rPr>
          <w:rFonts w:ascii="Times New Roman" w:hAnsi="Times New Roman" w:cs="Times New Roman"/>
          <w:sz w:val="28"/>
          <w:szCs w:val="28"/>
          <w:lang w:val="uk-UA"/>
        </w:rPr>
        <w:t>осуществляя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поступлением токсичных веществ. У больных изолированны</w:t>
      </w:r>
      <w:r w:rsidR="00DB64E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 xml:space="preserve"> АИТ содержание белка Клото не имел</w:t>
      </w:r>
      <w:r w:rsidR="00DB64E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64E8">
        <w:rPr>
          <w:rFonts w:ascii="Times New Roman" w:hAnsi="Times New Roman" w:cs="Times New Roman"/>
          <w:sz w:val="28"/>
          <w:szCs w:val="28"/>
          <w:lang w:val="uk-UA"/>
        </w:rPr>
        <w:t>достоверного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 xml:space="preserve"> значения, </w:t>
      </w:r>
      <w:r w:rsidR="00DB64E8">
        <w:rPr>
          <w:rFonts w:ascii="Times New Roman" w:hAnsi="Times New Roman" w:cs="Times New Roman"/>
          <w:sz w:val="28"/>
          <w:szCs w:val="28"/>
          <w:lang w:val="uk-UA"/>
        </w:rPr>
        <w:t xml:space="preserve">что 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 xml:space="preserve">можно объяснить отсутствием активного воспалительного процесса в щитовидной железе, а тенденцию к повышению </w:t>
      </w:r>
      <w:r w:rsidR="00DB64E8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 xml:space="preserve"> наличием латентного его течения.</w:t>
      </w:r>
    </w:p>
    <w:p w:rsidR="00DF2FDD" w:rsidRPr="00DF2FDD" w:rsidRDefault="009D5EAE" w:rsidP="009D5EAE">
      <w:pPr>
        <w:autoSpaceDE w:val="0"/>
        <w:autoSpaceDN w:val="0"/>
        <w:adjustRightInd w:val="0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EAE">
        <w:rPr>
          <w:rFonts w:ascii="Times New Roman" w:hAnsi="Times New Roman" w:cs="Times New Roman"/>
          <w:sz w:val="28"/>
          <w:szCs w:val="28"/>
          <w:lang w:val="uk-UA"/>
        </w:rPr>
        <w:t xml:space="preserve">То есть изучение динамики </w:t>
      </w:r>
      <w:r w:rsidR="00DB64E8">
        <w:rPr>
          <w:rFonts w:ascii="Times New Roman" w:hAnsi="Times New Roman" w:cs="Times New Roman"/>
          <w:sz w:val="28"/>
          <w:szCs w:val="28"/>
          <w:lang w:val="uk-UA"/>
        </w:rPr>
        <w:t>содержания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 xml:space="preserve"> данного белка в сыворотке крови больных ГЭРБ и АИТ можно использовать как контроль за состоянием антиоксидантной системы, возможн</w:t>
      </w:r>
      <w:r w:rsidR="00DB64E8">
        <w:rPr>
          <w:rFonts w:ascii="Times New Roman" w:hAnsi="Times New Roman" w:cs="Times New Roman"/>
          <w:sz w:val="28"/>
          <w:szCs w:val="28"/>
          <w:lang w:val="uk-UA"/>
        </w:rPr>
        <w:t>ым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 xml:space="preserve"> формировани</w:t>
      </w:r>
      <w:r w:rsidR="00DB64E8">
        <w:rPr>
          <w:rFonts w:ascii="Times New Roman" w:hAnsi="Times New Roman" w:cs="Times New Roman"/>
          <w:sz w:val="28"/>
          <w:szCs w:val="28"/>
          <w:lang w:val="uk-UA"/>
        </w:rPr>
        <w:t>ем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 xml:space="preserve"> осложнений и эффективност</w:t>
      </w:r>
      <w:r w:rsidR="00DB64E8">
        <w:rPr>
          <w:rFonts w:ascii="Times New Roman" w:hAnsi="Times New Roman" w:cs="Times New Roman"/>
          <w:sz w:val="28"/>
          <w:szCs w:val="28"/>
          <w:lang w:val="uk-UA"/>
        </w:rPr>
        <w:t>ью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 xml:space="preserve"> лечебных мероприятий. Высказан</w:t>
      </w:r>
      <w:r w:rsidR="00DB64E8">
        <w:rPr>
          <w:rFonts w:ascii="Times New Roman" w:hAnsi="Times New Roman" w:cs="Times New Roman"/>
          <w:sz w:val="28"/>
          <w:szCs w:val="28"/>
          <w:lang w:val="uk-UA"/>
        </w:rPr>
        <w:t>ное</w:t>
      </w:r>
      <w:r w:rsidRPr="009D5EAE">
        <w:rPr>
          <w:rFonts w:ascii="Times New Roman" w:hAnsi="Times New Roman" w:cs="Times New Roman"/>
          <w:sz w:val="28"/>
          <w:szCs w:val="28"/>
          <w:lang w:val="uk-UA"/>
        </w:rPr>
        <w:t xml:space="preserve"> предположение требует дальнейшего изучения.</w:t>
      </w:r>
    </w:p>
    <w:p w:rsidR="00DF2FDD" w:rsidRPr="00DF2FDD" w:rsidRDefault="00DF2FDD" w:rsidP="00DF2FDD">
      <w:pPr>
        <w:autoSpaceDE w:val="0"/>
        <w:autoSpaceDN w:val="0"/>
        <w:adjustRightInd w:val="0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2FDD">
        <w:rPr>
          <w:rFonts w:ascii="Times New Roman" w:hAnsi="Times New Roman" w:cs="Times New Roman"/>
          <w:b/>
          <w:sz w:val="28"/>
          <w:szCs w:val="28"/>
          <w:lang w:val="uk-UA"/>
        </w:rPr>
        <w:t>Выводы.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Течение Г</w:t>
      </w:r>
      <w:r w:rsidR="00405D10">
        <w:rPr>
          <w:rFonts w:ascii="Times New Roman" w:hAnsi="Times New Roman" w:cs="Times New Roman"/>
          <w:sz w:val="28"/>
          <w:szCs w:val="28"/>
          <w:lang w:val="uk-UA"/>
        </w:rPr>
        <w:t>Э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05D10">
        <w:rPr>
          <w:rFonts w:ascii="Times New Roman" w:hAnsi="Times New Roman" w:cs="Times New Roman"/>
          <w:sz w:val="28"/>
          <w:szCs w:val="28"/>
          <w:lang w:val="uk-UA"/>
        </w:rPr>
        <w:t>Б и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его сочетание с АИТ у лиц молодого </w:t>
      </w:r>
      <w:r w:rsidR="00405D10">
        <w:rPr>
          <w:rFonts w:ascii="Times New Roman" w:hAnsi="Times New Roman" w:cs="Times New Roman"/>
          <w:sz w:val="28"/>
          <w:szCs w:val="28"/>
          <w:lang w:val="uk-UA"/>
        </w:rPr>
        <w:t xml:space="preserve">возраста сопровождается повышением содержания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405D1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лка Клото, что обеспечивает контроль за состоянием второй фазы системы антиоксидантной защиты.</w:t>
      </w:r>
    </w:p>
    <w:p w:rsidR="00DF2FDD" w:rsidRPr="00DF2FDD" w:rsidRDefault="00DF2FDD" w:rsidP="00DF2FDD">
      <w:pPr>
        <w:autoSpaceDE w:val="0"/>
        <w:autoSpaceDN w:val="0"/>
        <w:adjustRightInd w:val="0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У больных </w:t>
      </w:r>
      <w:r w:rsidR="00405D10">
        <w:rPr>
          <w:rFonts w:ascii="Times New Roman" w:hAnsi="Times New Roman" w:cs="Times New Roman"/>
          <w:sz w:val="28"/>
          <w:szCs w:val="28"/>
          <w:lang w:val="uk-UA"/>
        </w:rPr>
        <w:t xml:space="preserve">с 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>изолированны</w:t>
      </w:r>
      <w:r w:rsidR="00405D1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АИТ содержание белка Клото имел</w:t>
      </w:r>
      <w:r w:rsidR="00405D1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F2FDD">
        <w:rPr>
          <w:rFonts w:ascii="Times New Roman" w:hAnsi="Times New Roman" w:cs="Times New Roman"/>
          <w:sz w:val="28"/>
          <w:szCs w:val="28"/>
          <w:lang w:val="uk-UA"/>
        </w:rPr>
        <w:t xml:space="preserve"> лишь тенденцию к повышению, что, вероятно, было следствием латентного процесса в щитовидной железе.</w:t>
      </w:r>
    </w:p>
    <w:p w:rsidR="009B2DA1" w:rsidRDefault="00DF2FDD" w:rsidP="00DF2FDD">
      <w:pPr>
        <w:autoSpaceDE w:val="0"/>
        <w:autoSpaceDN w:val="0"/>
        <w:adjustRightInd w:val="0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2FDD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Повышенное содержание белка Клото у лиц молодого возраста с ГЭРБ и АИТ можно использовать как показатель оценки эффективности терапии и прогнозирования течения заболеваний.</w:t>
      </w:r>
    </w:p>
    <w:p w:rsidR="00043D04" w:rsidRDefault="00043D04" w:rsidP="00DF2FDD">
      <w:pPr>
        <w:autoSpaceDE w:val="0"/>
        <w:autoSpaceDN w:val="0"/>
        <w:adjustRightInd w:val="0"/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3D04" w:rsidRDefault="00043D04" w:rsidP="00043D04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B62BFD">
        <w:rPr>
          <w:rFonts w:ascii="Times New Roman" w:hAnsi="Times New Roman" w:cs="Times New Roman"/>
          <w:b/>
          <w:iCs/>
          <w:sz w:val="28"/>
          <w:szCs w:val="28"/>
          <w:lang w:val="uk-UA"/>
        </w:rPr>
        <w:t>Л</w:t>
      </w:r>
      <w:r w:rsidR="003B1BCA">
        <w:rPr>
          <w:rFonts w:ascii="Times New Roman" w:hAnsi="Times New Roman" w:cs="Times New Roman"/>
          <w:b/>
          <w:iCs/>
          <w:sz w:val="28"/>
          <w:szCs w:val="28"/>
          <w:lang w:val="uk-UA"/>
        </w:rPr>
        <w:t>и</w:t>
      </w:r>
      <w:r w:rsidRPr="00B62BFD">
        <w:rPr>
          <w:rFonts w:ascii="Times New Roman" w:hAnsi="Times New Roman" w:cs="Times New Roman"/>
          <w:b/>
          <w:iCs/>
          <w:sz w:val="28"/>
          <w:szCs w:val="28"/>
          <w:lang w:val="uk-UA"/>
        </w:rPr>
        <w:t>тература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:</w:t>
      </w:r>
    </w:p>
    <w:p w:rsidR="00043D04" w:rsidRPr="00611A14" w:rsidRDefault="00043D04" w:rsidP="00043D0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Евсютина Ю. В., Трухманов А. С</w:t>
      </w:r>
      <w:r w:rsidRPr="0061105C">
        <w:rPr>
          <w:rFonts w:ascii="Times New Roman" w:hAnsi="Times New Roman" w:cs="Times New Roman"/>
          <w:sz w:val="28"/>
          <w:szCs w:val="28"/>
        </w:rPr>
        <w:t>. Новые возможности терапии гастроэзофагеальной</w:t>
      </w:r>
      <w:r w:rsidR="003B1BCA">
        <w:rPr>
          <w:rFonts w:ascii="Times New Roman" w:hAnsi="Times New Roman" w:cs="Times New Roman"/>
          <w:sz w:val="28"/>
          <w:szCs w:val="28"/>
        </w:rPr>
        <w:t xml:space="preserve"> </w:t>
      </w:r>
      <w:r w:rsidRPr="0061105C">
        <w:rPr>
          <w:rFonts w:ascii="Times New Roman" w:hAnsi="Times New Roman" w:cs="Times New Roman"/>
          <w:sz w:val="28"/>
          <w:szCs w:val="28"/>
        </w:rPr>
        <w:t>рефлюксной болезни путем повышения приверженности пациентов к лечению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B1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1BCA">
        <w:rPr>
          <w:rFonts w:ascii="Times New Roman" w:hAnsi="Times New Roman" w:cs="Times New Roman"/>
          <w:i/>
          <w:sz w:val="28"/>
          <w:szCs w:val="28"/>
          <w:lang w:val="uk-UA"/>
        </w:rPr>
        <w:t>Рос. журн. гастроэнтерол., гепатол., колопроктол.</w:t>
      </w:r>
      <w:r w:rsidRPr="003B1BCA">
        <w:rPr>
          <w:rFonts w:ascii="Times New Roman" w:hAnsi="Times New Roman" w:cs="Times New Roman"/>
          <w:sz w:val="28"/>
          <w:szCs w:val="28"/>
          <w:lang w:val="uk-UA"/>
        </w:rPr>
        <w:t xml:space="preserve"> 2015.</w:t>
      </w:r>
      <w:r w:rsidR="003B1BCA" w:rsidRPr="003B1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1BCA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B1BC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B1BCA" w:rsidRPr="003B1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3B1BC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B1BCA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B1BCA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3D04" w:rsidRPr="00611A14" w:rsidRDefault="00043D04" w:rsidP="00043D0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Пасієшвілі Т.</w:t>
      </w:r>
      <w:r w:rsidR="003B1BC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М. </w:t>
      </w:r>
      <w:r w:rsidRPr="00611A14">
        <w:rPr>
          <w:rFonts w:ascii="Times New Roman" w:hAnsi="Times New Roman" w:cs="Times New Roman"/>
          <w:iCs/>
          <w:sz w:val="28"/>
          <w:szCs w:val="28"/>
          <w:lang w:val="uk-UA"/>
        </w:rPr>
        <w:t>Студентський соціум як під</w:t>
      </w:r>
      <w:r w:rsidR="00067956">
        <w:rPr>
          <w:rFonts w:ascii="Times New Roman" w:hAnsi="Times New Roman" w:cs="Times New Roman"/>
          <w:iCs/>
          <w:sz w:val="28"/>
          <w:szCs w:val="28"/>
          <w:lang w:val="uk-UA"/>
        </w:rPr>
        <w:t>ґ</w:t>
      </w:r>
      <w:r w:rsidRPr="00611A14">
        <w:rPr>
          <w:rFonts w:ascii="Times New Roman" w:hAnsi="Times New Roman" w:cs="Times New Roman"/>
          <w:iCs/>
          <w:sz w:val="28"/>
          <w:szCs w:val="28"/>
          <w:lang w:val="uk-UA"/>
        </w:rPr>
        <w:t>рунтя для змін якості життя у молодих осіб</w:t>
      </w:r>
      <w:r w:rsidR="003B1BCA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Pr="00611A1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хворих на гастроезофагеальну</w:t>
      </w:r>
      <w:r w:rsidR="003B1BC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611A14">
        <w:rPr>
          <w:rFonts w:ascii="Times New Roman" w:hAnsi="Times New Roman" w:cs="Times New Roman"/>
          <w:iCs/>
          <w:sz w:val="28"/>
          <w:szCs w:val="28"/>
          <w:lang w:val="uk-UA"/>
        </w:rPr>
        <w:t>рефлюкс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ну хворобу та автоімунний тиреої</w:t>
      </w:r>
      <w:r w:rsidRPr="00611A14">
        <w:rPr>
          <w:rFonts w:ascii="Times New Roman" w:hAnsi="Times New Roman" w:cs="Times New Roman"/>
          <w:iCs/>
          <w:sz w:val="28"/>
          <w:szCs w:val="28"/>
          <w:lang w:val="uk-UA"/>
        </w:rPr>
        <w:t>дит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Pr="00611A14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Український журнал медицини, біології та спорту.</w:t>
      </w:r>
      <w:r w:rsidRPr="00611A1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2019.</w:t>
      </w:r>
      <w:r w:rsidR="003B1BC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611A14">
        <w:rPr>
          <w:rFonts w:ascii="Times New Roman" w:hAnsi="Times New Roman" w:cs="Times New Roman"/>
          <w:i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611A14">
        <w:rPr>
          <w:rFonts w:ascii="Times New Roman" w:hAnsi="Times New Roman" w:cs="Times New Roman"/>
          <w:iCs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</w:t>
      </w:r>
      <w:r w:rsidRPr="00611A14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611A14">
        <w:rPr>
          <w:rFonts w:ascii="Times New Roman" w:hAnsi="Times New Roman" w:cs="Times New Roman"/>
          <w:iCs/>
          <w:sz w:val="28"/>
          <w:szCs w:val="28"/>
          <w:lang w:val="uk-UA"/>
        </w:rPr>
        <w:t>154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Pr="00611A14">
        <w:rPr>
          <w:rFonts w:ascii="Times New Roman" w:hAnsi="Times New Roman" w:cs="Times New Roman"/>
          <w:iCs/>
          <w:sz w:val="28"/>
          <w:szCs w:val="28"/>
          <w:lang w:val="uk-UA"/>
        </w:rPr>
        <w:t>158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043D04" w:rsidRPr="00D062CD" w:rsidRDefault="00043D04" w:rsidP="00043D04">
      <w:pPr>
        <w:pStyle w:val="a8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62C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Abraham S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Noriega Brooke </w:t>
      </w:r>
      <w:r w:rsidRPr="00D062C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Shin </w:t>
      </w:r>
      <w:r w:rsidRPr="00D062C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 </w:t>
      </w:r>
      <w:r w:rsidRPr="00D062C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Y. College students eating habits and knowledge of nutritional requirements.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J. </w:t>
      </w:r>
      <w:r w:rsidRPr="00D062CD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Nutr</w:t>
      </w:r>
      <w:r w:rsidRPr="008332A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.</w:t>
      </w:r>
      <w:r w:rsidRPr="00D062CD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Hum</w:t>
      </w:r>
      <w:r w:rsidRPr="008332A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.</w:t>
      </w:r>
      <w:r w:rsidRPr="00D062CD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Health.</w:t>
      </w:r>
      <w:r w:rsidR="003B1BC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D062C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2018.</w:t>
      </w:r>
      <w:r w:rsidR="003B1B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62C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Vol.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D062C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No 1</w:t>
      </w:r>
      <w:r w:rsidRPr="00D062C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3B1B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62C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13–</w:t>
      </w:r>
      <w:r w:rsidRPr="00D062C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17.</w:t>
      </w:r>
    </w:p>
    <w:p w:rsidR="00043D04" w:rsidRDefault="00043D04" w:rsidP="00043D04">
      <w:pPr>
        <w:pStyle w:val="a8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9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Candas D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29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Li J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29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J. MnSOD</w:t>
      </w:r>
      <w:r w:rsidR="009F0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9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in</w:t>
      </w:r>
      <w:r w:rsidR="009F0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9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oxidative</w:t>
      </w:r>
      <w:r w:rsidR="003B1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9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stress</w:t>
      </w:r>
      <w:r w:rsidR="003B1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9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response</w:t>
      </w:r>
      <w:r w:rsidR="003B1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9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3B1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9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potential</w:t>
      </w:r>
      <w:r w:rsidR="003B1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9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regulation</w:t>
      </w:r>
      <w:r w:rsidR="003B1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9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via</w:t>
      </w:r>
      <w:r w:rsidR="009F0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9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mitochondrial</w:t>
      </w:r>
      <w:r w:rsidR="003B1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9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protein</w:t>
      </w:r>
      <w:r w:rsidR="003B1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9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in</w:t>
      </w:r>
      <w:r w:rsidR="003B1B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9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fl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ux. </w:t>
      </w:r>
      <w:r w:rsidRPr="0029208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Antioxid</w:t>
      </w:r>
      <w:r w:rsidR="003B1B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9208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Redox</w:t>
      </w:r>
      <w:r w:rsidR="003B1B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9208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Signal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2014.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Vol. </w:t>
      </w:r>
      <w:r w:rsidRPr="0029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 No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 P. </w:t>
      </w:r>
      <w:r w:rsidRPr="0029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1599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1617.</w:t>
      </w:r>
    </w:p>
    <w:p w:rsidR="00043D04" w:rsidRPr="00027131" w:rsidRDefault="00043D04" w:rsidP="00043D0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aSilva A.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W., Huckins J.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F., Wang 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R.,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Wang</w:t>
      </w:r>
      <w:r w:rsidRPr="007F42A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W., Wagner D.</w:t>
      </w:r>
      <w:r w:rsidRPr="007F42A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D., Campbell 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A.</w:t>
      </w:r>
      <w:r w:rsidRPr="007F42A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T. Correlates of stress in the college environment uncovered by the application of penalized generalized estimating equations to mobile sensing data.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02713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JMIR mHealth and uHealth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2019.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Vol.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D51E1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No 3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9F02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Р.</w:t>
      </w:r>
      <w:r w:rsidRPr="007F42A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e12084.</w:t>
      </w:r>
    </w:p>
    <w:p w:rsidR="00043D04" w:rsidRPr="00027131" w:rsidRDefault="00043D04" w:rsidP="00043D0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El-Serag H.</w:t>
      </w:r>
      <w:r w:rsidR="009F02DF" w:rsidRPr="009F02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B., Sweet S., Winchester C.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en-US"/>
        </w:rPr>
        <w:t>C., Dent </w:t>
      </w:r>
      <w:r w:rsidRPr="00027131">
        <w:rPr>
          <w:rFonts w:ascii="Times New Roman" w:hAnsi="Times New Roman" w:cs="Times New Roman"/>
          <w:sz w:val="28"/>
          <w:szCs w:val="28"/>
          <w:lang w:val="en-US"/>
        </w:rPr>
        <w:t>J. Update on the epidemiology of gastroesophageal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reflux disease: a </w:t>
      </w:r>
      <w:r w:rsidRPr="00027131">
        <w:rPr>
          <w:rFonts w:ascii="Times New Roman" w:hAnsi="Times New Roman" w:cs="Times New Roman"/>
          <w:sz w:val="28"/>
          <w:szCs w:val="28"/>
          <w:lang w:val="en-US"/>
        </w:rPr>
        <w:t xml:space="preserve">systematic review. </w:t>
      </w:r>
      <w:r w:rsidRPr="00027131">
        <w:rPr>
          <w:rFonts w:ascii="Times New Roman" w:hAnsi="Times New Roman" w:cs="Times New Roman"/>
          <w:i/>
          <w:sz w:val="28"/>
          <w:szCs w:val="28"/>
          <w:lang w:val="en-US"/>
        </w:rPr>
        <w:t>Gut.</w:t>
      </w:r>
      <w:r w:rsidRPr="00027131">
        <w:rPr>
          <w:rFonts w:ascii="Times New Roman" w:hAnsi="Times New Roman" w:cs="Times New Roman"/>
          <w:sz w:val="28"/>
          <w:szCs w:val="28"/>
          <w:lang w:val="en-US"/>
        </w:rPr>
        <w:t xml:space="preserve"> 2014.</w:t>
      </w:r>
      <w:r w:rsidR="009F02DF">
        <w:rPr>
          <w:rFonts w:ascii="Times New Roman" w:hAnsi="Times New Roman" w:cs="Times New Roman"/>
          <w:sz w:val="28"/>
          <w:szCs w:val="28"/>
        </w:rPr>
        <w:t xml:space="preserve"> </w:t>
      </w:r>
      <w:r w:rsidRPr="00027131">
        <w:rPr>
          <w:rFonts w:ascii="Times New Roman" w:hAnsi="Times New Roman" w:cs="Times New Roman"/>
          <w:sz w:val="28"/>
          <w:szCs w:val="28"/>
          <w:lang w:val="en-US"/>
        </w:rPr>
        <w:t>Vol.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27131">
        <w:rPr>
          <w:rFonts w:ascii="Times New Roman" w:hAnsi="Times New Roman" w:cs="Times New Roman"/>
          <w:sz w:val="28"/>
          <w:szCs w:val="28"/>
          <w:lang w:val="en-US"/>
        </w:rPr>
        <w:t>63</w:t>
      </w:r>
      <w:r>
        <w:rPr>
          <w:rFonts w:ascii="Times New Roman" w:hAnsi="Times New Roman" w:cs="Times New Roman"/>
          <w:sz w:val="28"/>
          <w:szCs w:val="28"/>
          <w:lang w:val="en-US"/>
        </w:rPr>
        <w:t>, No 6</w:t>
      </w:r>
      <w:r w:rsidRPr="0002713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F02DF">
        <w:rPr>
          <w:rFonts w:ascii="Times New Roman" w:hAnsi="Times New Roman" w:cs="Times New Roman"/>
          <w:sz w:val="28"/>
          <w:szCs w:val="28"/>
        </w:rPr>
        <w:t xml:space="preserve"> </w:t>
      </w:r>
      <w:r w:rsidRPr="00027131">
        <w:rPr>
          <w:rFonts w:ascii="Times New Roman" w:hAnsi="Times New Roman" w:cs="Times New Roman"/>
          <w:sz w:val="28"/>
          <w:szCs w:val="28"/>
          <w:lang w:val="en-US"/>
        </w:rPr>
        <w:t>P.</w:t>
      </w:r>
      <w:r>
        <w:rPr>
          <w:rFonts w:ascii="Times New Roman" w:hAnsi="Times New Roman" w:cs="Times New Roman"/>
          <w:sz w:val="28"/>
          <w:szCs w:val="28"/>
          <w:lang w:val="en-US"/>
        </w:rPr>
        <w:t> 871–</w:t>
      </w:r>
      <w:r w:rsidRPr="00027131">
        <w:rPr>
          <w:rFonts w:ascii="Times New Roman" w:hAnsi="Times New Roman" w:cs="Times New Roman"/>
          <w:sz w:val="28"/>
          <w:szCs w:val="28"/>
          <w:lang w:val="en-US"/>
        </w:rPr>
        <w:t>880.</w:t>
      </w:r>
    </w:p>
    <w:p w:rsidR="00043D04" w:rsidRPr="00027131" w:rsidRDefault="00043D04" w:rsidP="00043D0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Grant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R.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Becnel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J.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N.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Giano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D.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Williams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L.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Martinez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latent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profile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analysis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young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adult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life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style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behaviors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9F02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2713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Am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.</w:t>
      </w:r>
      <w:r w:rsidR="009F02D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Pr="0002713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J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. </w:t>
      </w:r>
      <w:r w:rsidRPr="0002713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Health</w:t>
      </w:r>
      <w:r w:rsidR="009F02DF" w:rsidRPr="009F02D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 xml:space="preserve"> </w:t>
      </w:r>
      <w:r w:rsidRPr="0002713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Behav</w:t>
      </w:r>
      <w:r w:rsidRPr="0002713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.</w:t>
      </w:r>
      <w:r w:rsidR="009F02DF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2019.</w:t>
      </w:r>
      <w:r w:rsidR="009F02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Vol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43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No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9F02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1148–1161.</w:t>
      </w:r>
    </w:p>
    <w:p w:rsidR="00043D04" w:rsidRDefault="00043D04" w:rsidP="00043D04">
      <w:pPr>
        <w:pStyle w:val="a8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208E">
        <w:rPr>
          <w:rFonts w:ascii="Times New Roman" w:hAnsi="Times New Roman" w:cs="Times New Roman"/>
          <w:sz w:val="28"/>
          <w:szCs w:val="28"/>
          <w:lang w:val="en-US"/>
        </w:rPr>
        <w:t>Hanaa</w:t>
      </w:r>
      <w:r w:rsidR="009F02DF" w:rsidRPr="009F02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208E">
        <w:rPr>
          <w:rFonts w:ascii="Times New Roman" w:hAnsi="Times New Roman" w:cs="Times New Roman"/>
          <w:sz w:val="28"/>
          <w:szCs w:val="28"/>
          <w:lang w:val="en-US"/>
        </w:rPr>
        <w:t>Ghaleb Al-Amari, Nedaa Al-Khamees</w:t>
      </w:r>
      <w:r w:rsidRPr="002920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9208E">
        <w:rPr>
          <w:rFonts w:ascii="Times New Roman" w:hAnsi="Times New Roman" w:cs="Times New Roman"/>
          <w:sz w:val="28"/>
          <w:szCs w:val="28"/>
          <w:lang w:val="en-US"/>
        </w:rPr>
        <w:t xml:space="preserve"> The Percept</w:t>
      </w:r>
      <w:r>
        <w:rPr>
          <w:rFonts w:ascii="Times New Roman" w:hAnsi="Times New Roman" w:cs="Times New Roman"/>
          <w:sz w:val="28"/>
          <w:szCs w:val="28"/>
          <w:lang w:val="en-US"/>
        </w:rPr>
        <w:t>ion of College Students about a </w:t>
      </w:r>
      <w:r w:rsidRPr="0029208E">
        <w:rPr>
          <w:rFonts w:ascii="Times New Roman" w:hAnsi="Times New Roman" w:cs="Times New Roman"/>
          <w:sz w:val="28"/>
          <w:szCs w:val="28"/>
          <w:lang w:val="en-US"/>
        </w:rPr>
        <w:t xml:space="preserve">Healthy Lifestyle and its Effect on their Health. </w:t>
      </w:r>
      <w:r w:rsidRPr="0029208E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 </w:t>
      </w:r>
      <w:r w:rsidRPr="0029208E">
        <w:rPr>
          <w:rFonts w:ascii="Times New Roman" w:hAnsi="Times New Roman" w:cs="Times New Roman"/>
          <w:i/>
          <w:sz w:val="28"/>
          <w:szCs w:val="28"/>
          <w:lang w:val="en-US"/>
        </w:rPr>
        <w:t>Nutr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29208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Food Sci.</w:t>
      </w:r>
      <w:r w:rsidRPr="0029208E">
        <w:rPr>
          <w:rFonts w:ascii="Times New Roman" w:hAnsi="Times New Roman" w:cs="Times New Roman"/>
          <w:sz w:val="28"/>
          <w:szCs w:val="28"/>
          <w:lang w:val="en-US"/>
        </w:rPr>
        <w:t xml:space="preserve"> 2015</w:t>
      </w:r>
      <w:r w:rsidRPr="002920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F02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08E">
        <w:rPr>
          <w:rFonts w:ascii="Times New Roman" w:hAnsi="Times New Roman" w:cs="Times New Roman"/>
          <w:sz w:val="28"/>
          <w:szCs w:val="28"/>
          <w:lang w:val="en-US"/>
        </w:rPr>
        <w:t>Vol.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208E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, No 6</w:t>
      </w:r>
      <w:r w:rsidRPr="0029208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F02DF">
        <w:rPr>
          <w:rFonts w:ascii="Times New Roman" w:hAnsi="Times New Roman" w:cs="Times New Roman"/>
          <w:sz w:val="28"/>
          <w:szCs w:val="28"/>
        </w:rPr>
        <w:t xml:space="preserve"> </w:t>
      </w:r>
      <w:r w:rsidRPr="0029208E">
        <w:rPr>
          <w:rFonts w:ascii="Times New Roman" w:hAnsi="Times New Roman" w:cs="Times New Roman"/>
          <w:sz w:val="28"/>
          <w:szCs w:val="28"/>
          <w:lang w:val="en-US"/>
        </w:rPr>
        <w:t>P.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208E">
        <w:rPr>
          <w:rFonts w:ascii="Times New Roman" w:hAnsi="Times New Roman" w:cs="Times New Roman"/>
          <w:sz w:val="28"/>
          <w:szCs w:val="28"/>
          <w:lang w:val="en-US"/>
        </w:rPr>
        <w:t>437</w:t>
      </w:r>
      <w:r>
        <w:rPr>
          <w:rFonts w:ascii="Times New Roman" w:hAnsi="Times New Roman" w:cs="Times New Roman"/>
          <w:sz w:val="28"/>
          <w:szCs w:val="28"/>
          <w:lang w:val="en-US"/>
        </w:rPr>
        <w:t>–440.</w:t>
      </w:r>
    </w:p>
    <w:p w:rsidR="00043D04" w:rsidRPr="0029208E" w:rsidRDefault="00043D04" w:rsidP="00043D0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iCs/>
          <w:sz w:val="36"/>
          <w:szCs w:val="28"/>
          <w:lang w:val="en-US"/>
        </w:rPr>
      </w:pPr>
      <w:r>
        <w:rPr>
          <w:rFonts w:ascii="Times New Roman" w:hAnsi="Times New Roman" w:cs="Times New Roman"/>
          <w:color w:val="222222"/>
          <w:sz w:val="28"/>
          <w:shd w:val="clear" w:color="auto" w:fill="FFFFFF"/>
          <w:lang w:val="en-US"/>
        </w:rPr>
        <w:t>Herholz M., Cepeda E., Baumann </w:t>
      </w:r>
      <w:r w:rsidRPr="0029208E">
        <w:rPr>
          <w:rFonts w:ascii="Times New Roman" w:hAnsi="Times New Roman" w:cs="Times New Roman"/>
          <w:color w:val="222222"/>
          <w:sz w:val="28"/>
          <w:shd w:val="clear" w:color="auto" w:fill="FFFFFF"/>
          <w:lang w:val="en-US"/>
        </w:rPr>
        <w:t>L.</w:t>
      </w:r>
      <w:r w:rsidR="009F02DF" w:rsidRPr="009F02DF">
        <w:rPr>
          <w:rFonts w:ascii="Times New Roman" w:hAnsi="Times New Roman" w:cs="Times New Roman"/>
          <w:color w:val="222222"/>
          <w:sz w:val="28"/>
          <w:shd w:val="clear" w:color="auto" w:fill="FFFFFF"/>
          <w:lang w:val="en-US"/>
        </w:rPr>
        <w:t xml:space="preserve"> </w:t>
      </w:r>
      <w:r w:rsidRPr="00D51E1F">
        <w:rPr>
          <w:rFonts w:ascii="Times New Roman" w:hAnsi="Times New Roman" w:cs="Times New Roman"/>
          <w:iCs/>
          <w:color w:val="222222"/>
          <w:sz w:val="28"/>
          <w:shd w:val="clear" w:color="auto" w:fill="FFFFFF"/>
          <w:lang w:val="en-US"/>
        </w:rPr>
        <w:t>et al.</w:t>
      </w:r>
      <w:r w:rsidR="009F02DF" w:rsidRPr="009F02DF">
        <w:rPr>
          <w:rFonts w:ascii="Times New Roman" w:hAnsi="Times New Roman" w:cs="Times New Roman"/>
          <w:iCs/>
          <w:color w:val="222222"/>
          <w:sz w:val="28"/>
          <w:shd w:val="clear" w:color="auto" w:fill="FFFFFF"/>
          <w:lang w:val="en-US"/>
        </w:rPr>
        <w:t xml:space="preserve"> </w:t>
      </w:r>
      <w:r w:rsidRPr="0029208E">
        <w:rPr>
          <w:rFonts w:ascii="Times New Roman" w:hAnsi="Times New Roman" w:cs="Times New Roman"/>
          <w:color w:val="222222"/>
          <w:sz w:val="28"/>
          <w:shd w:val="clear" w:color="auto" w:fill="FFFFFF"/>
          <w:lang w:val="en-US"/>
        </w:rPr>
        <w:t>KLF-1 orchestrates a xenobiotic detoxification program essential for longevity of mitochondrial mutants.</w:t>
      </w:r>
      <w:r w:rsidR="009F02DF" w:rsidRPr="009F02DF">
        <w:rPr>
          <w:rFonts w:ascii="Times New Roman" w:hAnsi="Times New Roman" w:cs="Times New Roman"/>
          <w:color w:val="222222"/>
          <w:sz w:val="28"/>
          <w:shd w:val="clear" w:color="auto" w:fill="FFFFFF"/>
          <w:lang w:val="en-US"/>
        </w:rPr>
        <w:t xml:space="preserve"> </w:t>
      </w:r>
      <w:r w:rsidRPr="0029208E">
        <w:rPr>
          <w:rFonts w:ascii="Times New Roman" w:hAnsi="Times New Roman" w:cs="Times New Roman"/>
          <w:i/>
          <w:iCs/>
          <w:color w:val="222222"/>
          <w:sz w:val="28"/>
          <w:shd w:val="clear" w:color="auto" w:fill="FFFFFF"/>
          <w:lang w:val="en-US"/>
        </w:rPr>
        <w:t>Nat</w:t>
      </w:r>
      <w:r>
        <w:rPr>
          <w:rFonts w:ascii="Times New Roman" w:hAnsi="Times New Roman" w:cs="Times New Roman"/>
          <w:i/>
          <w:iCs/>
          <w:color w:val="222222"/>
          <w:sz w:val="28"/>
          <w:shd w:val="clear" w:color="auto" w:fill="FFFFFF"/>
          <w:lang w:val="uk-UA"/>
        </w:rPr>
        <w:t>.</w:t>
      </w:r>
      <w:r w:rsidR="009F02DF">
        <w:rPr>
          <w:rFonts w:ascii="Times New Roman" w:hAnsi="Times New Roman" w:cs="Times New Roman"/>
          <w:i/>
          <w:iCs/>
          <w:color w:val="222222"/>
          <w:sz w:val="28"/>
          <w:shd w:val="clear" w:color="auto" w:fill="FFFFFF"/>
          <w:lang w:val="uk-UA"/>
        </w:rPr>
        <w:t xml:space="preserve"> </w:t>
      </w:r>
      <w:r w:rsidRPr="0029208E">
        <w:rPr>
          <w:rFonts w:ascii="Times New Roman" w:hAnsi="Times New Roman" w:cs="Times New Roman"/>
          <w:i/>
          <w:iCs/>
          <w:color w:val="222222"/>
          <w:sz w:val="28"/>
          <w:shd w:val="clear" w:color="auto" w:fill="FFFFFF"/>
          <w:lang w:val="en-US"/>
        </w:rPr>
        <w:t>Commun</w:t>
      </w:r>
      <w:r>
        <w:rPr>
          <w:rFonts w:ascii="Times New Roman" w:hAnsi="Times New Roman" w:cs="Times New Roman"/>
          <w:i/>
          <w:iCs/>
          <w:color w:val="222222"/>
          <w:sz w:val="28"/>
          <w:shd w:val="clear" w:color="auto" w:fill="FFFFFF"/>
          <w:lang w:val="en-US"/>
        </w:rPr>
        <w:t>.</w:t>
      </w:r>
      <w:r w:rsidR="009F02DF">
        <w:rPr>
          <w:rFonts w:ascii="Times New Roman" w:hAnsi="Times New Roman" w:cs="Times New Roman"/>
          <w:i/>
          <w:iCs/>
          <w:color w:val="222222"/>
          <w:sz w:val="28"/>
          <w:shd w:val="clear" w:color="auto" w:fill="FFFFFF"/>
        </w:rPr>
        <w:t xml:space="preserve"> </w:t>
      </w:r>
      <w:r w:rsidRPr="0029208E">
        <w:rPr>
          <w:rFonts w:ascii="Times New Roman" w:hAnsi="Times New Roman" w:cs="Times New Roman"/>
          <w:color w:val="222222"/>
          <w:sz w:val="28"/>
          <w:shd w:val="clear" w:color="auto" w:fill="FFFFFF"/>
          <w:lang w:val="en-US"/>
        </w:rPr>
        <w:t>2019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  <w:lang w:val="en-US"/>
        </w:rPr>
        <w:t>. Vol. </w:t>
      </w:r>
      <w:r w:rsidRPr="0029208E">
        <w:rPr>
          <w:rFonts w:ascii="Times New Roman" w:hAnsi="Times New Roman" w:cs="Times New Roman"/>
          <w:bCs/>
          <w:color w:val="222222"/>
          <w:sz w:val="28"/>
          <w:shd w:val="clear" w:color="auto" w:fill="FFFFFF"/>
          <w:lang w:val="en-US"/>
        </w:rPr>
        <w:t>10</w:t>
      </w:r>
      <w:r>
        <w:rPr>
          <w:rFonts w:ascii="Times New Roman" w:hAnsi="Times New Roman" w:cs="Times New Roman"/>
          <w:bCs/>
          <w:color w:val="222222"/>
          <w:sz w:val="28"/>
          <w:shd w:val="clear" w:color="auto" w:fill="FFFFFF"/>
          <w:lang w:val="en-US"/>
        </w:rPr>
        <w:t>. P. 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  <w:lang w:val="en-US"/>
        </w:rPr>
        <w:t>3323.</w:t>
      </w:r>
    </w:p>
    <w:p w:rsidR="00043D04" w:rsidRPr="0029208E" w:rsidRDefault="00043D04" w:rsidP="00043D04">
      <w:pPr>
        <w:pStyle w:val="a8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9208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Holley A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9208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29208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Dhar S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9208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., Xu </w:t>
      </w:r>
      <w:r w:rsidRPr="0029208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., St Clair </w:t>
      </w:r>
      <w:r w:rsidRPr="0029208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9F02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29208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K. Manganese superoxide dismutase: beyond life and death. </w:t>
      </w:r>
      <w:r w:rsidRPr="00D51E1F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Amino Acids</w:t>
      </w:r>
      <w:r w:rsidRPr="0029208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2012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Vol. 42, No 1. P.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29208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139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–158.</w:t>
      </w:r>
    </w:p>
    <w:p w:rsidR="00043D04" w:rsidRPr="00F8689A" w:rsidRDefault="00043D04" w:rsidP="00043D0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2B1692">
        <w:rPr>
          <w:rFonts w:ascii="Times New Roman" w:hAnsi="Times New Roman" w:cs="Times New Roman"/>
          <w:iCs/>
          <w:sz w:val="28"/>
          <w:szCs w:val="28"/>
          <w:lang w:val="en-US"/>
        </w:rPr>
        <w:t>Kimura</w:t>
      </w:r>
      <w:r w:rsidR="009F02DF" w:rsidRPr="009F02D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2B1692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0B4E5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Pr="002B1692">
        <w:rPr>
          <w:rFonts w:ascii="Times New Roman" w:hAnsi="Times New Roman" w:cs="Times New Roman"/>
          <w:iCs/>
          <w:sz w:val="28"/>
          <w:szCs w:val="28"/>
          <w:lang w:val="en-US"/>
        </w:rPr>
        <w:t>Shiizaki</w:t>
      </w:r>
      <w:r w:rsidR="009F02DF" w:rsidRPr="009F02D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2B1692">
        <w:rPr>
          <w:rFonts w:ascii="Times New Roman" w:hAnsi="Times New Roman" w:cs="Times New Roman"/>
          <w:iCs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0B4E5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Pr="002B1692">
        <w:rPr>
          <w:rFonts w:ascii="Times New Roman" w:hAnsi="Times New Roman" w:cs="Times New Roman"/>
          <w:iCs/>
          <w:sz w:val="28"/>
          <w:szCs w:val="28"/>
          <w:lang w:val="en-US"/>
        </w:rPr>
        <w:t>Akimoto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B1692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="009F02DF" w:rsidRPr="009F02D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51E1F">
        <w:rPr>
          <w:rFonts w:ascii="Times New Roman" w:hAnsi="Times New Roman" w:cs="Times New Roman"/>
          <w:iCs/>
          <w:color w:val="222222"/>
          <w:sz w:val="28"/>
          <w:shd w:val="clear" w:color="auto" w:fill="FFFFFF"/>
          <w:lang w:val="en-US"/>
        </w:rPr>
        <w:t>et al.</w:t>
      </w:r>
      <w:r w:rsidR="009F02DF" w:rsidRPr="009F02DF">
        <w:rPr>
          <w:rFonts w:ascii="Times New Roman" w:hAnsi="Times New Roman" w:cs="Times New Roman"/>
          <w:iCs/>
          <w:color w:val="222222"/>
          <w:sz w:val="28"/>
          <w:shd w:val="clear" w:color="auto" w:fill="FFFFFF"/>
          <w:lang w:val="en-US"/>
        </w:rPr>
        <w:t xml:space="preserve"> </w:t>
      </w:r>
      <w:r w:rsidRPr="002B1692">
        <w:rPr>
          <w:rFonts w:ascii="Times New Roman" w:hAnsi="Times New Roman" w:cs="Times New Roman"/>
          <w:iCs/>
          <w:sz w:val="28"/>
          <w:szCs w:val="28"/>
          <w:lang w:val="en-US"/>
        </w:rPr>
        <w:t>The impact of preserved Klotho gene expression on antioxidative stress activity in healthy kidney.</w:t>
      </w:r>
      <w:r w:rsidR="009F02DF" w:rsidRPr="009F02D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Am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J. </w:t>
      </w:r>
      <w:r w:rsidRPr="0083453C">
        <w:rPr>
          <w:rFonts w:ascii="Times New Roman" w:hAnsi="Times New Roman" w:cs="Times New Roman"/>
          <w:i/>
          <w:iCs/>
          <w:sz w:val="28"/>
          <w:szCs w:val="28"/>
          <w:lang w:val="en-US"/>
        </w:rPr>
        <w:t>Physiol Renal Physiol.</w:t>
      </w:r>
      <w:r w:rsidR="009F02DF" w:rsidRPr="009F02D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2018.</w:t>
      </w:r>
      <w:r w:rsidR="009F02DF" w:rsidRPr="009F02D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Vol. </w:t>
      </w:r>
      <w:r w:rsidRPr="002B1692">
        <w:rPr>
          <w:rFonts w:ascii="Times New Roman" w:hAnsi="Times New Roman" w:cs="Times New Roman"/>
          <w:iCs/>
          <w:sz w:val="28"/>
          <w:szCs w:val="28"/>
          <w:lang w:val="en-US"/>
        </w:rPr>
        <w:t>315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, No 2.</w:t>
      </w:r>
      <w:r w:rsidR="009F02D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P. 345–352</w:t>
      </w:r>
      <w:r w:rsidRPr="002B169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</w:p>
    <w:p w:rsidR="00043D04" w:rsidRPr="007D5C38" w:rsidRDefault="00043D04" w:rsidP="00043D04">
      <w:pPr>
        <w:pStyle w:val="a8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89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Kuro</w:t>
      </w:r>
      <w:r w:rsidRPr="00F8689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-</w:t>
      </w:r>
      <w:r w:rsidRPr="00F8689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o</w:t>
      </w:r>
      <w:r w:rsidR="009F02DF" w:rsidRPr="009F02D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F8689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M</w:t>
      </w:r>
      <w:r w:rsidRPr="00F8689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., </w:t>
      </w:r>
      <w:r w:rsidRPr="00F8689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Matsumura</w:t>
      </w:r>
      <w:r w:rsidR="009F02DF" w:rsidRPr="009F02D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 </w:t>
      </w:r>
      <w:r w:rsidRPr="00F8689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Y</w:t>
      </w:r>
      <w:r w:rsidRPr="00F8689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., </w:t>
      </w:r>
      <w:r w:rsidRPr="00F8689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Aizawa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 </w:t>
      </w:r>
      <w:r w:rsidRPr="00F8689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H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 xml:space="preserve">. </w:t>
      </w:r>
      <w:r w:rsidRPr="00E91652">
        <w:rPr>
          <w:rFonts w:ascii="Times New Roman" w:hAnsi="Times New Roman" w:cs="Times New Roman"/>
          <w:iCs/>
          <w:color w:val="222222"/>
          <w:sz w:val="28"/>
          <w:shd w:val="clear" w:color="auto" w:fill="FFFFFF"/>
          <w:lang w:val="en-US"/>
        </w:rPr>
        <w:t>et al.</w:t>
      </w:r>
      <w:r w:rsidR="009F02DF" w:rsidRPr="009F02DF">
        <w:rPr>
          <w:rFonts w:ascii="Times New Roman" w:hAnsi="Times New Roman" w:cs="Times New Roman"/>
          <w:iCs/>
          <w:color w:val="222222"/>
          <w:sz w:val="28"/>
          <w:shd w:val="clear" w:color="auto" w:fill="FFFFFF"/>
          <w:lang w:val="en-US"/>
        </w:rPr>
        <w:t xml:space="preserve"> </w:t>
      </w:r>
      <w:r w:rsidRPr="00F8689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Mutation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F8689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F8689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F8689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mouse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</w:t>
      </w:r>
      <w:r w:rsidRPr="00F8689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lotho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F8689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gene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F8689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leads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F8689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to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F8689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F8689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syndrome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F8689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resembling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F8689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ageing</w:t>
      </w:r>
      <w:r w:rsidRPr="00F868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F8689A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Nature</w:t>
      </w:r>
      <w:r w:rsidRPr="00F8689A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.</w:t>
      </w:r>
      <w:r w:rsidR="009F02DF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</w:t>
      </w:r>
      <w:r w:rsidRPr="00F868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1997.</w:t>
      </w:r>
      <w:r w:rsidR="009F02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8689A">
        <w:rPr>
          <w:rStyle w:val="nowrap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Vol</w:t>
      </w:r>
      <w:r w:rsidRPr="00F8689A">
        <w:rPr>
          <w:rStyle w:val="nowrap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>
        <w:rPr>
          <w:rStyle w:val="nowrap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F8689A">
        <w:rPr>
          <w:rStyle w:val="nowrap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390</w:t>
      </w:r>
      <w:r>
        <w:rPr>
          <w:rStyle w:val="nowrap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No </w:t>
      </w:r>
      <w:r>
        <w:rPr>
          <w:rStyle w:val="nowrap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6655</w:t>
      </w:r>
      <w:r w:rsidRPr="00F868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9F02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8689A">
        <w:rPr>
          <w:rStyle w:val="nowrap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Pr="00F8689A">
        <w:rPr>
          <w:rStyle w:val="nowrap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>
        <w:rPr>
          <w:rStyle w:val="nowrap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F8689A">
        <w:rPr>
          <w:rStyle w:val="nowrap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45</w:t>
      </w:r>
      <w:r>
        <w:rPr>
          <w:rStyle w:val="nowrap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Pr="00F8689A">
        <w:rPr>
          <w:rStyle w:val="nowrap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51</w:t>
      </w:r>
      <w:r w:rsidRPr="00F8689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043D04" w:rsidRPr="00B62BFD" w:rsidRDefault="00043D04" w:rsidP="00043D0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Lee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Li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Hammerstad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Stefan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Tomer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Immunogenetics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autoimmune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thyroid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diseases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: 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comprehensive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review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9F02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7D5C3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J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. </w:t>
      </w:r>
      <w:r w:rsidRPr="007D5C3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Autoimmun</w:t>
      </w:r>
      <w:r w:rsidRPr="00DA5C2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.</w:t>
      </w:r>
      <w:r w:rsidR="009F02D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Pr="00DA5C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2015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Vol.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64.</w:t>
      </w:r>
      <w:r w:rsidR="009F02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82–90.</w:t>
      </w:r>
    </w:p>
    <w:p w:rsidR="00043D04" w:rsidRPr="00027131" w:rsidRDefault="00043D04" w:rsidP="00043D0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Lim Sun, Jin Long, Luo Kang, Jin Jian, Shin Yoo, Hong Sung, Yang</w:t>
      </w:r>
      <w:r w:rsidR="009F02DF" w:rsidRPr="009F02D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941F2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Chul. Klotho enhances FoxO3-mediated manganese superoxide dismutase expression by negatively regulating PI3K/AKT pathway during tacrolimus-induced oxidative stress. </w:t>
      </w:r>
      <w:r w:rsidRPr="00941F26">
        <w:rPr>
          <w:rFonts w:ascii="Times New Roman" w:hAnsi="Times New Roman" w:cs="Times New Roman"/>
          <w:i/>
          <w:iCs/>
          <w:sz w:val="28"/>
          <w:szCs w:val="28"/>
          <w:lang w:val="en-US"/>
        </w:rPr>
        <w:t>Cell Death and Disease.</w:t>
      </w:r>
      <w:r w:rsidRPr="00941F26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2017.</w:t>
      </w:r>
      <w:r w:rsidR="009F02D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Vol. 8.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Р. 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e2972.</w:t>
      </w:r>
    </w:p>
    <w:p w:rsidR="00043D04" w:rsidRPr="00027131" w:rsidRDefault="00043D04" w:rsidP="00043D04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ng E. M., Jung H. K., Jung J. 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M. The association between reflux esophagitis and psychosocial stress.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02713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Digestive diseases and sciences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2013.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Vol.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027131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58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No 2</w:t>
      </w:r>
      <w:r w:rsidRPr="0002713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P.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471–477.</w:t>
      </w:r>
    </w:p>
    <w:p w:rsidR="00043D04" w:rsidRDefault="00043D04" w:rsidP="00043D04">
      <w:pPr>
        <w:pStyle w:val="a8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F26">
        <w:rPr>
          <w:rFonts w:ascii="Times New Roman" w:hAnsi="Times New Roman" w:cs="Times New Roman"/>
          <w:sz w:val="28"/>
          <w:szCs w:val="28"/>
          <w:lang w:val="uk-UA"/>
        </w:rPr>
        <w:t>Vo H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41F26">
        <w:rPr>
          <w:rFonts w:ascii="Times New Roman" w:hAnsi="Times New Roman" w:cs="Times New Roman"/>
          <w:sz w:val="28"/>
          <w:szCs w:val="28"/>
          <w:lang w:val="uk-UA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41F26">
        <w:rPr>
          <w:rFonts w:ascii="Times New Roman" w:hAnsi="Times New Roman" w:cs="Times New Roman"/>
          <w:sz w:val="28"/>
          <w:szCs w:val="28"/>
          <w:lang w:val="uk-UA"/>
        </w:rPr>
        <w:t>, Laszczyk A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41F26">
        <w:rPr>
          <w:rFonts w:ascii="Times New Roman" w:hAnsi="Times New Roman" w:cs="Times New Roman"/>
          <w:sz w:val="28"/>
          <w:szCs w:val="28"/>
          <w:lang w:val="uk-UA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41F26">
        <w:rPr>
          <w:rFonts w:ascii="Times New Roman" w:hAnsi="Times New Roman" w:cs="Times New Roman"/>
          <w:sz w:val="28"/>
          <w:szCs w:val="28"/>
          <w:lang w:val="uk-UA"/>
        </w:rPr>
        <w:t>, King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41F26">
        <w:rPr>
          <w:rFonts w:ascii="Times New Roman" w:hAnsi="Times New Roman" w:cs="Times New Roman"/>
          <w:sz w:val="28"/>
          <w:szCs w:val="28"/>
          <w:lang w:val="uk-UA"/>
        </w:rPr>
        <w:t>G</w:t>
      </w:r>
      <w:r>
        <w:rPr>
          <w:rFonts w:ascii="Times New Roman" w:hAnsi="Times New Roman" w:cs="Times New Roman"/>
          <w:sz w:val="28"/>
          <w:szCs w:val="28"/>
          <w:lang w:val="en-US"/>
        </w:rPr>
        <w:t>. </w:t>
      </w:r>
      <w:r w:rsidRPr="00941F26">
        <w:rPr>
          <w:rFonts w:ascii="Times New Roman" w:hAnsi="Times New Roman" w:cs="Times New Roman"/>
          <w:sz w:val="28"/>
          <w:szCs w:val="28"/>
          <w:lang w:val="uk-UA"/>
        </w:rPr>
        <w:t>D. Klotho, the</w:t>
      </w:r>
      <w:r w:rsidR="009F02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1F26">
        <w:rPr>
          <w:rFonts w:ascii="Times New Roman" w:hAnsi="Times New Roman" w:cs="Times New Roman"/>
          <w:sz w:val="28"/>
          <w:szCs w:val="28"/>
          <w:lang w:val="uk-UA"/>
        </w:rPr>
        <w:t>Keyto</w:t>
      </w:r>
      <w:r w:rsidR="009F02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1F26">
        <w:rPr>
          <w:rFonts w:ascii="Times New Roman" w:hAnsi="Times New Roman" w:cs="Times New Roman"/>
          <w:sz w:val="28"/>
          <w:szCs w:val="28"/>
          <w:lang w:val="uk-UA"/>
        </w:rPr>
        <w:t>Healthy</w:t>
      </w:r>
      <w:r w:rsidR="009F02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1F26">
        <w:rPr>
          <w:rFonts w:ascii="Times New Roman" w:hAnsi="Times New Roman" w:cs="Times New Roman"/>
          <w:sz w:val="28"/>
          <w:szCs w:val="28"/>
          <w:lang w:val="uk-UA"/>
        </w:rPr>
        <w:t>Brain</w:t>
      </w:r>
      <w:r w:rsidR="009F02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1F26">
        <w:rPr>
          <w:rFonts w:ascii="Times New Roman" w:hAnsi="Times New Roman" w:cs="Times New Roman"/>
          <w:sz w:val="28"/>
          <w:szCs w:val="28"/>
          <w:lang w:val="uk-UA"/>
        </w:rPr>
        <w:t xml:space="preserve">Aging? </w:t>
      </w:r>
      <w:r w:rsidRPr="00941F26">
        <w:rPr>
          <w:rFonts w:ascii="Times New Roman" w:hAnsi="Times New Roman" w:cs="Times New Roman"/>
          <w:i/>
          <w:sz w:val="28"/>
          <w:szCs w:val="28"/>
          <w:lang w:val="uk-UA"/>
        </w:rPr>
        <w:t>Brain</w:t>
      </w:r>
      <w:r w:rsidR="009F02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41F26">
        <w:rPr>
          <w:rFonts w:ascii="Times New Roman" w:hAnsi="Times New Roman" w:cs="Times New Roman"/>
          <w:i/>
          <w:sz w:val="28"/>
          <w:szCs w:val="28"/>
          <w:lang w:val="uk-UA"/>
        </w:rPr>
        <w:t>Plast.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2018.</w:t>
      </w:r>
      <w:r w:rsidR="009F02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Vol. 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, No </w:t>
      </w: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F02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P. </w:t>
      </w:r>
      <w:r>
        <w:rPr>
          <w:rFonts w:ascii="Times New Roman" w:hAnsi="Times New Roman" w:cs="Times New Roman"/>
          <w:sz w:val="28"/>
          <w:szCs w:val="28"/>
          <w:lang w:val="uk-UA"/>
        </w:rPr>
        <w:t>183–194.</w:t>
      </w:r>
    </w:p>
    <w:p w:rsidR="00043D04" w:rsidRPr="00941F26" w:rsidRDefault="00043D04" w:rsidP="00043D04">
      <w:pPr>
        <w:pStyle w:val="a8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F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Wansink B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941F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Cao Y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., Saini </w:t>
      </w:r>
      <w:r w:rsidRPr="00941F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., Shimizu </w:t>
      </w:r>
      <w:r w:rsidRPr="00941F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., Just </w:t>
      </w:r>
      <w:r w:rsidRPr="00941F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 </w:t>
      </w:r>
      <w:r w:rsidRPr="00941F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R. College cafeteria snack food purchases become less healthy with each passing week of the semester.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41F2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Public Health Nutr</w:t>
      </w:r>
      <w:r w:rsidRPr="00941F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2013. Vol.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941F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No 7</w:t>
      </w:r>
      <w:r w:rsidRPr="00941F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="009F02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1F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1291–1295.</w:t>
      </w:r>
    </w:p>
    <w:p w:rsidR="00043D04" w:rsidRPr="00941F26" w:rsidRDefault="00043D04" w:rsidP="00043D04">
      <w:pPr>
        <w:pStyle w:val="a8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F26">
        <w:rPr>
          <w:rFonts w:ascii="Times New Roman" w:hAnsi="Times New Roman" w:cs="Times New Roman"/>
          <w:sz w:val="28"/>
          <w:szCs w:val="28"/>
          <w:lang w:val="en-US"/>
        </w:rPr>
        <w:t>Yahia 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41F26">
        <w:rPr>
          <w:rFonts w:ascii="Times New Roman" w:hAnsi="Times New Roman" w:cs="Times New Roman"/>
          <w:sz w:val="28"/>
          <w:szCs w:val="28"/>
          <w:lang w:val="en-US"/>
        </w:rPr>
        <w:t>, Wang D</w:t>
      </w:r>
      <w:r>
        <w:rPr>
          <w:rFonts w:ascii="Times New Roman" w:hAnsi="Times New Roman" w:cs="Times New Roman"/>
          <w:sz w:val="28"/>
          <w:szCs w:val="28"/>
          <w:lang w:val="en-US"/>
        </w:rPr>
        <w:t>., Rapley </w:t>
      </w:r>
      <w:r w:rsidRPr="00941F26"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., Dey </w:t>
      </w:r>
      <w:r w:rsidRPr="00941F26">
        <w:rPr>
          <w:rFonts w:ascii="Times New Roman" w:hAnsi="Times New Roman" w:cs="Times New Roman"/>
          <w:sz w:val="28"/>
          <w:szCs w:val="28"/>
          <w:lang w:val="en-US"/>
        </w:rPr>
        <w:t xml:space="preserve">R. Assessment of weight status, dietary habits and beliefs, physical activity, and nutritional knowledge among university students. </w:t>
      </w:r>
      <w:r w:rsidRPr="00941F26">
        <w:rPr>
          <w:rFonts w:ascii="Times New Roman" w:hAnsi="Times New Roman" w:cs="Times New Roman"/>
          <w:i/>
          <w:sz w:val="28"/>
          <w:szCs w:val="28"/>
          <w:lang w:val="en-US"/>
        </w:rPr>
        <w:t>Perspectives in Public Health</w:t>
      </w:r>
      <w:r w:rsidRPr="00941F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41F26">
        <w:rPr>
          <w:rFonts w:ascii="Times New Roman" w:hAnsi="Times New Roman" w:cs="Times New Roman"/>
          <w:sz w:val="28"/>
          <w:szCs w:val="28"/>
          <w:lang w:val="en-US"/>
        </w:rPr>
        <w:t xml:space="preserve"> 2016</w:t>
      </w:r>
      <w:r w:rsidRPr="00941F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F02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1F26">
        <w:rPr>
          <w:rFonts w:ascii="Times New Roman" w:hAnsi="Times New Roman" w:cs="Times New Roman"/>
          <w:sz w:val="28"/>
          <w:szCs w:val="28"/>
          <w:lang w:val="en-US"/>
        </w:rPr>
        <w:t>Vol.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41F26">
        <w:rPr>
          <w:rFonts w:ascii="Times New Roman" w:hAnsi="Times New Roman" w:cs="Times New Roman"/>
          <w:sz w:val="28"/>
          <w:szCs w:val="28"/>
          <w:lang w:val="en-US"/>
        </w:rPr>
        <w:t>136. P.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41F26">
        <w:rPr>
          <w:rFonts w:ascii="Times New Roman" w:hAnsi="Times New Roman" w:cs="Times New Roman"/>
          <w:sz w:val="28"/>
          <w:szCs w:val="28"/>
          <w:lang w:val="en-US"/>
        </w:rPr>
        <w:t>231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941F26">
        <w:rPr>
          <w:rFonts w:ascii="Times New Roman" w:hAnsi="Times New Roman" w:cs="Times New Roman"/>
          <w:sz w:val="28"/>
          <w:szCs w:val="28"/>
          <w:lang w:val="en-US"/>
        </w:rPr>
        <w:t>244.</w:t>
      </w:r>
    </w:p>
    <w:p w:rsidR="00043D04" w:rsidRPr="00266118" w:rsidRDefault="00043D04" w:rsidP="00043D04">
      <w:pPr>
        <w:pStyle w:val="a8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1F26">
        <w:rPr>
          <w:rFonts w:ascii="Times New Roman" w:hAnsi="Times New Roman" w:cs="Times New Roman"/>
          <w:sz w:val="28"/>
          <w:szCs w:val="28"/>
          <w:lang w:val="en-US"/>
        </w:rPr>
        <w:t>Zhao</w:t>
      </w:r>
      <w:r w:rsidR="009F02DF" w:rsidRPr="009F02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1F2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41F26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941F26">
        <w:rPr>
          <w:rFonts w:ascii="Times New Roman" w:hAnsi="Times New Roman" w:cs="Times New Roman"/>
          <w:sz w:val="28"/>
          <w:szCs w:val="28"/>
          <w:lang w:val="en-US"/>
        </w:rPr>
        <w:t>Jiang</w:t>
      </w:r>
      <w:r w:rsidR="009F02DF" w:rsidRPr="009F02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1F2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41F26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941F26">
        <w:rPr>
          <w:rFonts w:ascii="Times New Roman" w:hAnsi="Times New Roman" w:cs="Times New Roman"/>
          <w:sz w:val="28"/>
          <w:szCs w:val="28"/>
          <w:lang w:val="en-US"/>
        </w:rPr>
        <w:t>Cao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41F26"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9F02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1F26">
        <w:rPr>
          <w:rFonts w:ascii="Times New Roman" w:hAnsi="Times New Roman" w:cs="Times New Roman"/>
          <w:sz w:val="28"/>
          <w:szCs w:val="28"/>
          <w:lang w:val="en-US"/>
        </w:rPr>
        <w:t>Huang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41F2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41F2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41F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Biostatistic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41F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alanalysis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41F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on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41F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chronic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41F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disease</w:t>
      </w:r>
      <w:r w:rsidR="009F02DF" w:rsidRPr="009F02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941F2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risk</w:t>
      </w:r>
      <w:r w:rsidRPr="00941F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941F26">
        <w:rPr>
          <w:rFonts w:ascii="Times New Roman" w:hAnsi="Times New Roman" w:cs="Times New Roman"/>
          <w:i/>
          <w:sz w:val="28"/>
          <w:szCs w:val="28"/>
          <w:lang w:val="en-US"/>
        </w:rPr>
        <w:t>Anim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9F02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41F26">
        <w:rPr>
          <w:rFonts w:ascii="Times New Roman" w:hAnsi="Times New Roman" w:cs="Times New Roman"/>
          <w:i/>
          <w:sz w:val="28"/>
          <w:szCs w:val="28"/>
          <w:lang w:val="en-US"/>
        </w:rPr>
        <w:t>Husb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9F02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41F26">
        <w:rPr>
          <w:rFonts w:ascii="Times New Roman" w:hAnsi="Times New Roman" w:cs="Times New Roman"/>
          <w:i/>
          <w:sz w:val="28"/>
          <w:szCs w:val="28"/>
          <w:lang w:val="en-US"/>
        </w:rPr>
        <w:t>Dairy</w:t>
      </w:r>
      <w:r w:rsidR="009F02DF" w:rsidRPr="009F02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41F26">
        <w:rPr>
          <w:rFonts w:ascii="Times New Roman" w:hAnsi="Times New Roman" w:cs="Times New Roman"/>
          <w:i/>
          <w:sz w:val="28"/>
          <w:szCs w:val="28"/>
          <w:lang w:val="en-US"/>
        </w:rPr>
        <w:t>Vet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9F02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41F26">
        <w:rPr>
          <w:rFonts w:ascii="Times New Roman" w:hAnsi="Times New Roman" w:cs="Times New Roman"/>
          <w:i/>
          <w:sz w:val="28"/>
          <w:szCs w:val="28"/>
          <w:lang w:val="en-US"/>
        </w:rPr>
        <w:t>Sci</w:t>
      </w:r>
      <w:r w:rsidRPr="00941F2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9F02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41F26">
        <w:rPr>
          <w:rFonts w:ascii="Times New Roman" w:hAnsi="Times New Roman" w:cs="Times New Roman"/>
          <w:sz w:val="28"/>
          <w:szCs w:val="28"/>
          <w:lang w:val="uk-UA"/>
        </w:rPr>
        <w:t>2019.</w:t>
      </w:r>
      <w:r w:rsidR="009F02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1F26">
        <w:rPr>
          <w:rFonts w:ascii="Times New Roman" w:hAnsi="Times New Roman" w:cs="Times New Roman"/>
          <w:sz w:val="28"/>
          <w:szCs w:val="28"/>
          <w:lang w:val="en-US"/>
        </w:rPr>
        <w:t>Vol</w:t>
      </w:r>
      <w:r w:rsidRPr="00941F2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41F26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F02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1F2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41F2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41F26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7F42AE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7F42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3D04" w:rsidRPr="007F42AE" w:rsidRDefault="00043D04" w:rsidP="00043D0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043D04" w:rsidRPr="007F42AE" w:rsidRDefault="00043D04" w:rsidP="00043D04">
      <w:pPr>
        <w:spacing w:after="0" w:line="240" w:lineRule="auto"/>
        <w:ind w:right="283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3D04" w:rsidRPr="003216AC" w:rsidRDefault="00043D04" w:rsidP="00043D04">
      <w:pPr>
        <w:spacing w:after="0" w:line="240" w:lineRule="auto"/>
        <w:ind w:right="283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6AC">
        <w:rPr>
          <w:rFonts w:ascii="Times New Roman" w:hAnsi="Times New Roman" w:cs="Times New Roman"/>
          <w:sz w:val="28"/>
          <w:szCs w:val="28"/>
          <w:lang w:val="uk-UA"/>
        </w:rPr>
        <w:t>УДК: [616.329/.33-008.17+616.441-002]-053.81-092-078</w:t>
      </w:r>
    </w:p>
    <w:p w:rsidR="009F02DF" w:rsidRPr="00BE7423" w:rsidRDefault="009F02DF" w:rsidP="009F02DF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193438">
        <w:rPr>
          <w:rFonts w:ascii="Times New Roman" w:hAnsi="Times New Roman" w:cs="Times New Roman"/>
          <w:b/>
          <w:iCs/>
          <w:sz w:val="28"/>
          <w:szCs w:val="28"/>
          <w:lang w:val="uk-UA"/>
        </w:rPr>
        <w:t>Белок Клото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193438">
        <w:rPr>
          <w:rFonts w:ascii="Times New Roman" w:hAnsi="Times New Roman" w:cs="Times New Roman"/>
          <w:b/>
          <w:iCs/>
          <w:sz w:val="28"/>
          <w:szCs w:val="28"/>
          <w:lang w:val="uk-UA"/>
        </w:rPr>
        <w:t>как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медиатор </w:t>
      </w:r>
      <w:r w:rsidRPr="00193438">
        <w:rPr>
          <w:rFonts w:ascii="Times New Roman" w:hAnsi="Times New Roman" w:cs="Times New Roman"/>
          <w:b/>
          <w:iCs/>
          <w:sz w:val="28"/>
          <w:szCs w:val="28"/>
          <w:lang w:val="uk-UA"/>
        </w:rPr>
        <w:t>антиоксидантной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193438">
        <w:rPr>
          <w:rFonts w:ascii="Times New Roman" w:hAnsi="Times New Roman" w:cs="Times New Roman"/>
          <w:b/>
          <w:iCs/>
          <w:sz w:val="28"/>
          <w:szCs w:val="28"/>
          <w:lang w:val="uk-UA"/>
        </w:rPr>
        <w:t>защиты при коморбидности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193438">
        <w:rPr>
          <w:rFonts w:ascii="Times New Roman" w:hAnsi="Times New Roman" w:cs="Times New Roman"/>
          <w:b/>
          <w:iCs/>
          <w:sz w:val="28"/>
          <w:szCs w:val="28"/>
          <w:lang w:val="uk-UA"/>
        </w:rPr>
        <w:t>гастроэзо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фагеальной рефлюксной болезни и </w:t>
      </w:r>
      <w:r w:rsidRPr="00193438">
        <w:rPr>
          <w:rFonts w:ascii="Times New Roman" w:hAnsi="Times New Roman" w:cs="Times New Roman"/>
          <w:b/>
          <w:iCs/>
          <w:sz w:val="28"/>
          <w:szCs w:val="28"/>
          <w:lang w:val="uk-UA"/>
        </w:rPr>
        <w:t>аутоиммунного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193438">
        <w:rPr>
          <w:rFonts w:ascii="Times New Roman" w:hAnsi="Times New Roman" w:cs="Times New Roman"/>
          <w:b/>
          <w:iCs/>
          <w:sz w:val="28"/>
          <w:szCs w:val="28"/>
          <w:lang w:val="uk-UA"/>
        </w:rPr>
        <w:t>тиреоидита у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 </w:t>
      </w:r>
      <w:r w:rsidRPr="00193438">
        <w:rPr>
          <w:rFonts w:ascii="Times New Roman" w:hAnsi="Times New Roman" w:cs="Times New Roman"/>
          <w:b/>
          <w:iCs/>
          <w:sz w:val="28"/>
          <w:szCs w:val="28"/>
          <w:lang w:val="uk-UA"/>
        </w:rPr>
        <w:t>лиц молодого возраста</w:t>
      </w:r>
    </w:p>
    <w:p w:rsidR="009F02DF" w:rsidRPr="00D51E1F" w:rsidRDefault="009F02DF" w:rsidP="009F02DF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  <w:lang w:eastAsia="zh-CN"/>
        </w:rPr>
      </w:pP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Т.</w:t>
      </w:r>
      <w:r w:rsidR="008A3F8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Пасиешвили</w:t>
      </w:r>
    </w:p>
    <w:p w:rsidR="009F02DF" w:rsidRPr="00BE7423" w:rsidRDefault="009F02DF" w:rsidP="009F02DF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Харьковский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национальный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медицинский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университет, Украина</w:t>
      </w:r>
    </w:p>
    <w:p w:rsidR="009F02DF" w:rsidRDefault="009F02DF" w:rsidP="009F02DF">
      <w:pPr>
        <w:spacing w:after="0" w:line="240" w:lineRule="auto"/>
        <w:ind w:left="-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9F02DF" w:rsidRPr="00BE7423" w:rsidRDefault="009F02DF" w:rsidP="009F02DF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E03DBE">
        <w:rPr>
          <w:rFonts w:ascii="Times New Roman" w:hAnsi="Times New Roman" w:cs="Times New Roman"/>
          <w:b/>
          <w:iCs/>
          <w:sz w:val="28"/>
          <w:szCs w:val="28"/>
          <w:lang w:val="uk-UA"/>
        </w:rPr>
        <w:t>Ключевые слова: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гастроэзофагеальная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рефлюксная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болезнь, аутоиммунный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реоидит, белок Клото, патогенез</w:t>
      </w:r>
    </w:p>
    <w:p w:rsidR="009F02DF" w:rsidRPr="00BE7423" w:rsidRDefault="009F02DF" w:rsidP="009F02DF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E7423">
        <w:rPr>
          <w:rFonts w:ascii="Times New Roman" w:hAnsi="Times New Roman" w:cs="Times New Roman"/>
          <w:b/>
          <w:iCs/>
          <w:sz w:val="28"/>
          <w:szCs w:val="28"/>
          <w:lang w:val="uk-UA"/>
        </w:rPr>
        <w:t>Цель работы: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установить содержание и роль белка Клото в 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патогенезе гастроэзофагеальной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рефлюксной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болезни, протекающей на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фоне аутоиммунного воспаления у 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лиц молодого возраста.</w:t>
      </w:r>
    </w:p>
    <w:p w:rsidR="009F02DF" w:rsidRPr="00BE7423" w:rsidRDefault="009F02DF" w:rsidP="009F02DF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E7423">
        <w:rPr>
          <w:rFonts w:ascii="Times New Roman" w:hAnsi="Times New Roman" w:cs="Times New Roman"/>
          <w:b/>
          <w:iCs/>
          <w:sz w:val="28"/>
          <w:szCs w:val="28"/>
          <w:lang w:val="uk-UA"/>
        </w:rPr>
        <w:t>Материалы и методы.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 работе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были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привлечены три группы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пациентов: с сочетанным течением гастроэзофагеальной рефлюксной болезни </w:t>
      </w:r>
      <w:r w:rsidRPr="00C43E05">
        <w:rPr>
          <w:rFonts w:ascii="Times New Roman" w:hAnsi="Times New Roman" w:cs="Times New Roman"/>
          <w:iCs/>
          <w:sz w:val="28"/>
          <w:szCs w:val="28"/>
        </w:rPr>
        <w:t>(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ГЭРБ</w:t>
      </w:r>
      <w:r w:rsidRPr="00C43E05">
        <w:rPr>
          <w:rFonts w:ascii="Times New Roman" w:hAnsi="Times New Roman" w:cs="Times New Roman"/>
          <w:iCs/>
          <w:sz w:val="28"/>
          <w:szCs w:val="28"/>
        </w:rPr>
        <w:t>)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 аутоиммунн</w:t>
      </w:r>
      <w:r w:rsidR="00DC049E">
        <w:rPr>
          <w:rFonts w:ascii="Times New Roman" w:hAnsi="Times New Roman" w:cs="Times New Roman"/>
          <w:iCs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тиреоидит</w:t>
      </w:r>
      <w:r w:rsidR="00DC049E">
        <w:rPr>
          <w:rFonts w:ascii="Times New Roman" w:hAnsi="Times New Roman" w:cs="Times New Roman"/>
          <w:iCs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C43E05">
        <w:rPr>
          <w:rFonts w:ascii="Times New Roman" w:hAnsi="Times New Roman" w:cs="Times New Roman"/>
          <w:iCs/>
          <w:sz w:val="28"/>
          <w:szCs w:val="28"/>
        </w:rPr>
        <w:t>(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АИТ</w:t>
      </w:r>
      <w:r w:rsidRPr="00C43E05">
        <w:rPr>
          <w:rFonts w:ascii="Times New Roman" w:hAnsi="Times New Roman" w:cs="Times New Roman"/>
          <w:iCs/>
          <w:sz w:val="28"/>
          <w:szCs w:val="28"/>
        </w:rPr>
        <w:t>)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(120 человек), изолир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ованными ГЭРБ (45) и АИТ (42), в 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возра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сте от 18 до 25 лет, аналогичного пола и 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родолжительности заболевания. В 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сыворотке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крови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указанных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больных проведено опр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еделение содержания белка Клото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метод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ом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ИФА, реактивы «Elabscience» (ELISA, США).</w:t>
      </w:r>
    </w:p>
    <w:p w:rsidR="009F02DF" w:rsidRPr="00BE7423" w:rsidRDefault="009F02DF" w:rsidP="009F02DF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E7423">
        <w:rPr>
          <w:rFonts w:ascii="Times New Roman" w:hAnsi="Times New Roman" w:cs="Times New Roman"/>
          <w:b/>
          <w:iCs/>
          <w:sz w:val="28"/>
          <w:szCs w:val="28"/>
          <w:lang w:val="uk-UA"/>
        </w:rPr>
        <w:t>Результаты.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Установлено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при наличии ГЭРБ 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 особенно при ее сочетании с АИТ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достоверное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повыш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ение содержания</w:t>
      </w: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белка Клото по отношению к 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контролю, со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держание которого не 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коррелировал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 с морфологической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формой болезни и 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одолжительностью заболевания. У пациентов с изолированным АИТ данный показатель не </w:t>
      </w:r>
      <w:r w:rsidR="00DC049E">
        <w:rPr>
          <w:rFonts w:ascii="Times New Roman" w:hAnsi="Times New Roman" w:cs="Times New Roman"/>
          <w:i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мел достов</w:t>
      </w:r>
      <w:r w:rsidR="00DC049E">
        <w:rPr>
          <w:rFonts w:ascii="Times New Roman" w:hAnsi="Times New Roman" w:cs="Times New Roman"/>
          <w:iCs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рного отличия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9F02DF" w:rsidRPr="00BE7423" w:rsidRDefault="009F02DF" w:rsidP="009F02DF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E5C1D">
        <w:rPr>
          <w:rFonts w:ascii="Times New Roman" w:hAnsi="Times New Roman" w:cs="Times New Roman"/>
          <w:b/>
          <w:iCs/>
          <w:sz w:val="28"/>
          <w:szCs w:val="28"/>
          <w:lang w:val="uk-UA"/>
        </w:rPr>
        <w:t>Выводы.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Течение ГЭРБ и ее сочетание с АИТ у 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лиц молодого возраста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сопровождаются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повышением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содержания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белка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Клото как результат наличия актив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ного воспалительного процесса в 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слизистой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оболочке пищевода и 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его стимулирующего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действия на процессы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антиоксидантной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E7423">
        <w:rPr>
          <w:rFonts w:ascii="Times New Roman" w:hAnsi="Times New Roman" w:cs="Times New Roman"/>
          <w:iCs/>
          <w:sz w:val="28"/>
          <w:szCs w:val="28"/>
          <w:lang w:val="uk-UA"/>
        </w:rPr>
        <w:t>защиты.</w:t>
      </w:r>
    </w:p>
    <w:p w:rsidR="009F02DF" w:rsidRDefault="009F02DF" w:rsidP="00043D04">
      <w:pPr>
        <w:spacing w:after="0" w:line="240" w:lineRule="auto"/>
        <w:ind w:left="-567" w:right="28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02DF" w:rsidRDefault="009F02DF" w:rsidP="00043D04">
      <w:pPr>
        <w:spacing w:after="0" w:line="240" w:lineRule="auto"/>
        <w:ind w:left="-567" w:right="28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3D04" w:rsidRPr="009F3BBD" w:rsidRDefault="00043D04" w:rsidP="00043D04">
      <w:pPr>
        <w:spacing w:after="0" w:line="240" w:lineRule="auto"/>
        <w:ind w:left="-567" w:right="28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Біло</w:t>
      </w:r>
      <w:r w:rsidRPr="002B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2B1692">
        <w:rPr>
          <w:rFonts w:ascii="Times New Roman" w:hAnsi="Times New Roman" w:cs="Times New Roman"/>
          <w:b/>
          <w:sz w:val="28"/>
          <w:szCs w:val="28"/>
          <w:lang w:val="uk-UA"/>
        </w:rPr>
        <w:t>лото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 медіатор антиоксидантного захисту при </w:t>
      </w:r>
      <w:r w:rsidR="00DC049E">
        <w:rPr>
          <w:rFonts w:ascii="Times New Roman" w:hAnsi="Times New Roman" w:cs="Times New Roman"/>
          <w:b/>
          <w:sz w:val="28"/>
          <w:szCs w:val="28"/>
          <w:lang w:val="uk-UA"/>
        </w:rPr>
        <w:t>комор</w:t>
      </w:r>
      <w:r w:rsidR="008A3F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бідності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гастроезофагеальної</w:t>
      </w:r>
      <w:r w:rsidR="008A3F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рефлюксно</w:t>
      </w:r>
      <w:r w:rsidRPr="002B1692">
        <w:rPr>
          <w:rFonts w:ascii="Times New Roman" w:hAnsi="Times New Roman" w:cs="Times New Roman"/>
          <w:b/>
          <w:sz w:val="28"/>
          <w:szCs w:val="28"/>
          <w:lang w:val="uk-UA"/>
        </w:rPr>
        <w:t>ї хво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роби та автоімунного тиреоїдиту в осіб молодого віку</w:t>
      </w:r>
    </w:p>
    <w:p w:rsidR="00043D04" w:rsidRPr="003216AC" w:rsidRDefault="00043D04" w:rsidP="00043D04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  <w:r w:rsidRPr="003216AC">
        <w:rPr>
          <w:rFonts w:ascii="Times New Roman" w:hAnsi="Times New Roman" w:cs="Times New Roman"/>
          <w:sz w:val="28"/>
          <w:szCs w:val="28"/>
          <w:lang w:val="uk-UA"/>
        </w:rPr>
        <w:t>Т.</w:t>
      </w:r>
      <w:r w:rsidR="008A3F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16AC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8A3F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16AC">
        <w:rPr>
          <w:rFonts w:ascii="Times New Roman" w:hAnsi="Times New Roman" w:cs="Times New Roman"/>
          <w:sz w:val="28"/>
          <w:szCs w:val="28"/>
          <w:lang w:val="uk-UA"/>
        </w:rPr>
        <w:t>Пасієшвілі</w:t>
      </w:r>
    </w:p>
    <w:p w:rsidR="00043D04" w:rsidRPr="003216AC" w:rsidRDefault="00043D04" w:rsidP="00043D04">
      <w:pPr>
        <w:spacing w:after="0" w:line="240" w:lineRule="auto"/>
        <w:ind w:left="-567" w:right="28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1692">
        <w:rPr>
          <w:rFonts w:ascii="Times New Roman" w:hAnsi="Times New Roman" w:cs="Times New Roman"/>
          <w:sz w:val="28"/>
          <w:szCs w:val="28"/>
          <w:lang w:val="uk-UA"/>
        </w:rPr>
        <w:t>Харківський національний медичний університет, Україна</w:t>
      </w:r>
    </w:p>
    <w:p w:rsidR="00043D04" w:rsidRPr="002B1692" w:rsidRDefault="00043D04" w:rsidP="00043D04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3D04" w:rsidRPr="009F3BBD" w:rsidRDefault="00043D04" w:rsidP="00043D04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6AC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 w:rsidR="008A3F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гастроезофаге</w:t>
      </w:r>
      <w:r w:rsidRPr="002B1692">
        <w:rPr>
          <w:rFonts w:ascii="Times New Roman" w:hAnsi="Times New Roman" w:cs="Times New Roman"/>
          <w:sz w:val="28"/>
          <w:szCs w:val="28"/>
          <w:lang w:val="uk-UA"/>
        </w:rPr>
        <w:t>альна</w:t>
      </w:r>
      <w:r w:rsidR="008A3F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1692">
        <w:rPr>
          <w:rFonts w:ascii="Times New Roman" w:hAnsi="Times New Roman" w:cs="Times New Roman"/>
          <w:sz w:val="28"/>
          <w:szCs w:val="28"/>
          <w:lang w:val="uk-UA"/>
        </w:rPr>
        <w:t>рефлюксна хвороба, автоімунний ти</w:t>
      </w:r>
      <w:r>
        <w:rPr>
          <w:rFonts w:ascii="Times New Roman" w:hAnsi="Times New Roman" w:cs="Times New Roman"/>
          <w:sz w:val="28"/>
          <w:szCs w:val="28"/>
          <w:lang w:val="uk-UA"/>
        </w:rPr>
        <w:t>реоїдит, білок Клото, патогенез</w:t>
      </w:r>
    </w:p>
    <w:p w:rsidR="00043D04" w:rsidRPr="004E5A80" w:rsidRDefault="00043D04" w:rsidP="00043D04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E5A8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Мета роботи: </w:t>
      </w:r>
      <w:r w:rsidRPr="004E5A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встановити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4E5A80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міст 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E5A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роль </w:t>
      </w:r>
      <w:r w:rsidRPr="002B1692">
        <w:rPr>
          <w:rFonts w:ascii="Times New Roman" w:hAnsi="Times New Roman" w:cs="Times New Roman"/>
          <w:color w:val="000000"/>
          <w:sz w:val="28"/>
          <w:szCs w:val="28"/>
          <w:lang w:val="uk-UA"/>
        </w:rPr>
        <w:t>білка</w:t>
      </w:r>
      <w:r w:rsidR="008A3F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E5A8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Клото 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4E5A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патогенезі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гастроезофагеальної</w:t>
      </w:r>
      <w:r w:rsidR="008A3F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рефлюксної хвороби</w:t>
      </w:r>
      <w:r w:rsidRPr="004E5A80">
        <w:rPr>
          <w:rFonts w:ascii="Times New Roman" w:hAnsi="Times New Roman" w:cs="Times New Roman"/>
          <w:color w:val="000000"/>
          <w:sz w:val="28"/>
          <w:szCs w:val="28"/>
          <w:lang w:val="uk-UA"/>
        </w:rPr>
        <w:t>, що 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еребігає</w:t>
      </w:r>
      <w:r w:rsidRPr="004E5A8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тлі 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втоімунного запалення в </w:t>
      </w:r>
      <w:r w:rsidRPr="004E5A80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осіб молодого віку.</w:t>
      </w:r>
    </w:p>
    <w:p w:rsidR="00043D04" w:rsidRDefault="00043D04" w:rsidP="00043D04">
      <w:pPr>
        <w:shd w:val="clear" w:color="auto" w:fill="FFFFFF"/>
        <w:spacing w:after="0" w:line="240" w:lineRule="auto"/>
        <w:ind w:left="-567" w:right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16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Матеріали та методи. </w:t>
      </w:r>
      <w:r w:rsidRPr="00D276B1">
        <w:rPr>
          <w:rFonts w:ascii="Times New Roman" w:hAnsi="Times New Roman" w:cs="Times New Roman"/>
          <w:sz w:val="28"/>
          <w:szCs w:val="28"/>
          <w:lang w:val="uk-UA"/>
        </w:rPr>
        <w:t>До роботи бу</w:t>
      </w:r>
      <w:r>
        <w:rPr>
          <w:rFonts w:ascii="Times New Roman" w:hAnsi="Times New Roman" w:cs="Times New Roman"/>
          <w:sz w:val="28"/>
          <w:szCs w:val="28"/>
          <w:lang w:val="uk-UA"/>
        </w:rPr>
        <w:t>ло залучено три групи хворих: з </w:t>
      </w:r>
      <w:r w:rsidRPr="00D276B1">
        <w:rPr>
          <w:rFonts w:ascii="Times New Roman" w:hAnsi="Times New Roman" w:cs="Times New Roman"/>
          <w:sz w:val="28"/>
          <w:szCs w:val="28"/>
          <w:lang w:val="uk-UA"/>
        </w:rPr>
        <w:t xml:space="preserve">поєднаним перебігом </w:t>
      </w:r>
      <w:r>
        <w:rPr>
          <w:rFonts w:ascii="Times New Roman" w:hAnsi="Times New Roman" w:cs="Times New Roman"/>
          <w:sz w:val="28"/>
          <w:szCs w:val="28"/>
          <w:lang w:val="uk-UA"/>
        </w:rPr>
        <w:t>гастроезофагеальної</w:t>
      </w:r>
      <w:r w:rsidR="008A3F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рефлюксної хвороби</w:t>
      </w:r>
      <w:r w:rsidR="008A3F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3E0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276B1">
        <w:rPr>
          <w:rFonts w:ascii="Times New Roman" w:hAnsi="Times New Roman" w:cs="Times New Roman"/>
          <w:sz w:val="28"/>
          <w:szCs w:val="28"/>
          <w:lang w:val="uk-UA"/>
        </w:rPr>
        <w:t>ГЕРХ</w:t>
      </w:r>
      <w:r w:rsidRPr="00C43E0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276B1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8A3F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автоімунного</w:t>
      </w:r>
      <w:r w:rsidR="008A3F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1692">
        <w:rPr>
          <w:rFonts w:ascii="Times New Roman" w:hAnsi="Times New Roman" w:cs="Times New Roman"/>
          <w:sz w:val="28"/>
          <w:szCs w:val="28"/>
          <w:lang w:val="uk-UA"/>
        </w:rPr>
        <w:t>тиреоїдит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3F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3E0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276B1">
        <w:rPr>
          <w:rFonts w:ascii="Times New Roman" w:hAnsi="Times New Roman" w:cs="Times New Roman"/>
          <w:sz w:val="28"/>
          <w:szCs w:val="28"/>
          <w:lang w:val="uk-UA"/>
        </w:rPr>
        <w:t>АІТ</w:t>
      </w:r>
      <w:r w:rsidRPr="00C43E05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120</w:t>
      </w:r>
      <w:r w:rsidR="008A3F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76B1">
        <w:rPr>
          <w:rFonts w:ascii="Times New Roman" w:hAnsi="Times New Roman" w:cs="Times New Roman"/>
          <w:sz w:val="28"/>
          <w:szCs w:val="28"/>
          <w:lang w:val="uk-UA"/>
        </w:rPr>
        <w:t>осіб), ізольованими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ГЕРХ</w:t>
      </w:r>
      <w:r w:rsidRPr="00D276B1">
        <w:rPr>
          <w:rFonts w:ascii="Times New Roman" w:hAnsi="Times New Roman" w:cs="Times New Roman"/>
          <w:sz w:val="28"/>
          <w:szCs w:val="28"/>
          <w:lang w:val="uk-UA"/>
        </w:rPr>
        <w:t xml:space="preserve"> (45) та АІТ</w:t>
      </w:r>
      <w:r w:rsidR="008A3F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76B1">
        <w:rPr>
          <w:rFonts w:ascii="Times New Roman" w:hAnsi="Times New Roman" w:cs="Times New Roman"/>
          <w:sz w:val="28"/>
          <w:szCs w:val="28"/>
          <w:lang w:val="uk-UA"/>
        </w:rPr>
        <w:t>(42</w:t>
      </w:r>
      <w:r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8A3F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76B1">
        <w:rPr>
          <w:rFonts w:ascii="Times New Roman" w:hAnsi="Times New Roman" w:cs="Times New Roman"/>
          <w:sz w:val="28"/>
          <w:szCs w:val="28"/>
          <w:lang w:val="uk-UA"/>
        </w:rPr>
        <w:t>віком від 18 до 25 років, аналогічної</w:t>
      </w:r>
      <w:r w:rsidR="00DC04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76B1">
        <w:rPr>
          <w:rFonts w:ascii="Times New Roman" w:hAnsi="Times New Roman" w:cs="Times New Roman"/>
          <w:sz w:val="28"/>
          <w:szCs w:val="28"/>
          <w:lang w:val="uk-UA"/>
        </w:rPr>
        <w:t>статі та тривал</w:t>
      </w:r>
      <w:r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Pr="00D276B1">
        <w:rPr>
          <w:rFonts w:ascii="Times New Roman" w:hAnsi="Times New Roman" w:cs="Times New Roman"/>
          <w:sz w:val="28"/>
          <w:szCs w:val="28"/>
          <w:lang w:val="uk-UA"/>
        </w:rPr>
        <w:t xml:space="preserve"> захворювання.</w:t>
      </w:r>
      <w:r w:rsidR="008A3F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 </w:t>
      </w:r>
      <w:r w:rsidRPr="00BD476D">
        <w:rPr>
          <w:rFonts w:ascii="Times New Roman" w:hAnsi="Times New Roman" w:cs="Times New Roman"/>
          <w:sz w:val="28"/>
          <w:szCs w:val="28"/>
          <w:lang w:val="uk-UA"/>
        </w:rPr>
        <w:t>сироватці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крові</w:t>
      </w:r>
      <w:r w:rsidRPr="00BD476D">
        <w:rPr>
          <w:rFonts w:ascii="Times New Roman" w:hAnsi="Times New Roman" w:cs="Times New Roman"/>
          <w:sz w:val="28"/>
          <w:szCs w:val="28"/>
          <w:lang w:val="uk-UA"/>
        </w:rPr>
        <w:t xml:space="preserve"> означених хворих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оведено визначення вмісту білка </w:t>
      </w:r>
      <w:r w:rsidRPr="00BD476D">
        <w:rPr>
          <w:rFonts w:ascii="Times New Roman" w:hAnsi="Times New Roman" w:cs="Times New Roman"/>
          <w:sz w:val="28"/>
          <w:szCs w:val="28"/>
          <w:lang w:val="uk-UA"/>
        </w:rPr>
        <w:t>Клот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A3F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методом ІФА, реактиви</w:t>
      </w:r>
      <w:r w:rsidR="008A3F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D476D">
        <w:rPr>
          <w:rFonts w:ascii="Times New Roman" w:hAnsi="Times New Roman" w:cs="Times New Roman"/>
          <w:sz w:val="28"/>
          <w:szCs w:val="28"/>
          <w:lang w:val="uk-UA"/>
        </w:rPr>
        <w:t>Elabscience» (ELISA, США)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3D04" w:rsidRDefault="00043D04" w:rsidP="00043D04">
      <w:pPr>
        <w:spacing w:after="0" w:line="240" w:lineRule="auto"/>
        <w:ind w:left="-567" w:right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Результати.</w:t>
      </w:r>
      <w:r w:rsidR="008A3F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 при наявності ГЕРХ та особливо при її поєднанні з АІТ </w:t>
      </w:r>
      <w:r w:rsidR="00DC049E">
        <w:rPr>
          <w:rFonts w:ascii="Times New Roman" w:hAnsi="Times New Roman" w:cs="Times New Roman"/>
          <w:sz w:val="28"/>
          <w:szCs w:val="28"/>
          <w:lang w:val="uk-UA"/>
        </w:rPr>
        <w:t>вірогідне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вмісту</w:t>
      </w:r>
      <w:r w:rsidR="008A3F8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білка Клото по відношенню до контролю, вміст якого не корелював з морфологічною формою хвороби</w:t>
      </w:r>
      <w:r w:rsidR="002370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2370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тривалістю захворювання. У хворих на ізольований АІТ даний показник</w:t>
      </w:r>
      <w:r w:rsidR="002370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 мав</w:t>
      </w:r>
      <w:r w:rsidR="002370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вірогідного значення. </w:t>
      </w:r>
    </w:p>
    <w:p w:rsidR="00043D04" w:rsidRPr="007D75A3" w:rsidRDefault="00043D04" w:rsidP="00043D04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Висновки. </w:t>
      </w:r>
      <w:r w:rsidRPr="00030754">
        <w:rPr>
          <w:rFonts w:ascii="Times New Roman" w:hAnsi="Times New Roman" w:cs="Times New Roman"/>
          <w:iCs/>
          <w:sz w:val="28"/>
          <w:szCs w:val="28"/>
          <w:lang w:val="uk-UA"/>
        </w:rPr>
        <w:t>Перебіг ГЕР</w:t>
      </w:r>
      <w:r w:rsidRPr="002B1692">
        <w:rPr>
          <w:rFonts w:ascii="Times New Roman" w:hAnsi="Times New Roman" w:cs="Times New Roman"/>
          <w:iCs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та його поєднання з АІТ</w:t>
      </w:r>
      <w:r w:rsidR="0023701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DC049E">
        <w:rPr>
          <w:rFonts w:ascii="Times New Roman" w:hAnsi="Times New Roman" w:cs="Times New Roman"/>
          <w:i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 осіб молодого віку супроводжую</w:t>
      </w:r>
      <w:r w:rsidRPr="00030754">
        <w:rPr>
          <w:rFonts w:ascii="Times New Roman" w:hAnsi="Times New Roman" w:cs="Times New Roman"/>
          <w:iCs/>
          <w:sz w:val="28"/>
          <w:szCs w:val="28"/>
          <w:lang w:val="uk-UA"/>
        </w:rPr>
        <w:t>ться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підвищенням вмісту</w:t>
      </w:r>
      <w:r w:rsidRPr="0003075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білка Клото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як результат наявності активного запального процесу у слизовій оболонці стравоходу</w:t>
      </w:r>
      <w:r w:rsidR="0023701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та його</w:t>
      </w:r>
      <w:r w:rsidR="0023701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стимулюючої</w:t>
      </w:r>
      <w:r w:rsidR="0023701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дії</w:t>
      </w:r>
      <w:r w:rsidR="0023701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 процеси антиоксидантного захисту. </w:t>
      </w:r>
    </w:p>
    <w:p w:rsidR="00043D04" w:rsidRDefault="00043D04" w:rsidP="00043D0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043D04" w:rsidRDefault="00043D04" w:rsidP="00043D0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043D04" w:rsidRDefault="00043D04" w:rsidP="00043D04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K</w:t>
      </w:r>
      <w:r w:rsidRPr="00710EBE">
        <w:rPr>
          <w:rFonts w:ascii="Times New Roman" w:hAnsi="Times New Roman" w:cs="Times New Roman"/>
          <w:b/>
          <w:iCs/>
          <w:sz w:val="28"/>
          <w:szCs w:val="28"/>
          <w:lang w:val="uk-UA"/>
        </w:rPr>
        <w:t>lotho</w:t>
      </w:r>
      <w:r w:rsidR="0023701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710EBE">
        <w:rPr>
          <w:rFonts w:ascii="Times New Roman" w:hAnsi="Times New Roman" w:cs="Times New Roman"/>
          <w:b/>
          <w:iCs/>
          <w:sz w:val="28"/>
          <w:szCs w:val="28"/>
          <w:lang w:val="uk-UA"/>
        </w:rPr>
        <w:t>proteinas a mediator</w:t>
      </w:r>
      <w:r w:rsidR="0023701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710EBE">
        <w:rPr>
          <w:rFonts w:ascii="Times New Roman" w:hAnsi="Times New Roman" w:cs="Times New Roman"/>
          <w:b/>
          <w:iCs/>
          <w:sz w:val="28"/>
          <w:szCs w:val="28"/>
          <w:lang w:val="uk-UA"/>
        </w:rPr>
        <w:t>of</w:t>
      </w:r>
      <w:r w:rsidR="0023701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710EBE">
        <w:rPr>
          <w:rFonts w:ascii="Times New Roman" w:hAnsi="Times New Roman" w:cs="Times New Roman"/>
          <w:b/>
          <w:iCs/>
          <w:sz w:val="28"/>
          <w:szCs w:val="28"/>
          <w:lang w:val="uk-UA"/>
        </w:rPr>
        <w:t>antioxidant</w:t>
      </w:r>
      <w:r w:rsidR="0023701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710EBE">
        <w:rPr>
          <w:rFonts w:ascii="Times New Roman" w:hAnsi="Times New Roman" w:cs="Times New Roman"/>
          <w:b/>
          <w:iCs/>
          <w:sz w:val="28"/>
          <w:szCs w:val="28"/>
          <w:lang w:val="uk-UA"/>
        </w:rPr>
        <w:t>defense</w:t>
      </w:r>
      <w:r w:rsidR="0023701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710EBE">
        <w:rPr>
          <w:rFonts w:ascii="Times New Roman" w:hAnsi="Times New Roman" w:cs="Times New Roman"/>
          <w:b/>
          <w:iCs/>
          <w:sz w:val="28"/>
          <w:szCs w:val="28"/>
          <w:lang w:val="uk-UA"/>
        </w:rPr>
        <w:t>in</w:t>
      </w:r>
      <w:r w:rsidR="0023701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710EBE">
        <w:rPr>
          <w:rFonts w:ascii="Times New Roman" w:hAnsi="Times New Roman" w:cs="Times New Roman"/>
          <w:b/>
          <w:iCs/>
          <w:sz w:val="28"/>
          <w:szCs w:val="28"/>
          <w:lang w:val="uk-UA"/>
        </w:rPr>
        <w:t>young</w:t>
      </w:r>
      <w:r w:rsidR="0023701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710EBE">
        <w:rPr>
          <w:rFonts w:ascii="Times New Roman" w:hAnsi="Times New Roman" w:cs="Times New Roman"/>
          <w:b/>
          <w:iCs/>
          <w:sz w:val="28"/>
          <w:szCs w:val="28"/>
          <w:lang w:val="uk-UA"/>
        </w:rPr>
        <w:t>people</w:t>
      </w:r>
      <w:r w:rsidR="0023701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with</w:t>
      </w:r>
      <w:r w:rsidR="00237015" w:rsidRPr="00237015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 w:rsidRPr="00710EBE">
        <w:rPr>
          <w:rFonts w:ascii="Times New Roman" w:hAnsi="Times New Roman" w:cs="Times New Roman"/>
          <w:b/>
          <w:iCs/>
          <w:sz w:val="28"/>
          <w:szCs w:val="28"/>
          <w:lang w:val="uk-UA"/>
        </w:rPr>
        <w:t>gastroesophageal</w:t>
      </w:r>
      <w:r w:rsidR="0023701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710EBE">
        <w:rPr>
          <w:rFonts w:ascii="Times New Roman" w:hAnsi="Times New Roman" w:cs="Times New Roman"/>
          <w:b/>
          <w:iCs/>
          <w:sz w:val="28"/>
          <w:szCs w:val="28"/>
          <w:lang w:val="uk-UA"/>
        </w:rPr>
        <w:t>reflux</w:t>
      </w:r>
      <w:r w:rsidR="0023701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710EBE">
        <w:rPr>
          <w:rFonts w:ascii="Times New Roman" w:hAnsi="Times New Roman" w:cs="Times New Roman"/>
          <w:b/>
          <w:iCs/>
          <w:sz w:val="28"/>
          <w:szCs w:val="28"/>
          <w:lang w:val="uk-UA"/>
        </w:rPr>
        <w:t>disease</w:t>
      </w:r>
      <w:r w:rsidR="0023701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710EBE">
        <w:rPr>
          <w:rFonts w:ascii="Times New Roman" w:hAnsi="Times New Roman" w:cs="Times New Roman"/>
          <w:b/>
          <w:iCs/>
          <w:sz w:val="28"/>
          <w:szCs w:val="28"/>
          <w:lang w:val="uk-UA"/>
        </w:rPr>
        <w:t>and</w:t>
      </w:r>
      <w:r w:rsidR="0023701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710EBE">
        <w:rPr>
          <w:rFonts w:ascii="Times New Roman" w:hAnsi="Times New Roman" w:cs="Times New Roman"/>
          <w:b/>
          <w:iCs/>
          <w:sz w:val="28"/>
          <w:szCs w:val="28"/>
          <w:lang w:val="uk-UA"/>
        </w:rPr>
        <w:t>autoimmune</w:t>
      </w:r>
      <w:r w:rsidR="0023701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710EBE">
        <w:rPr>
          <w:rFonts w:ascii="Times New Roman" w:hAnsi="Times New Roman" w:cs="Times New Roman"/>
          <w:b/>
          <w:iCs/>
          <w:sz w:val="28"/>
          <w:szCs w:val="28"/>
          <w:lang w:val="uk-UA"/>
        </w:rPr>
        <w:t>thyroiditis</w:t>
      </w:r>
    </w:p>
    <w:p w:rsidR="00043D04" w:rsidRPr="00813E92" w:rsidRDefault="00043D04" w:rsidP="00043D04">
      <w:pPr>
        <w:spacing w:after="0" w:line="240" w:lineRule="auto"/>
        <w:ind w:left="-567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3418E7">
        <w:rPr>
          <w:rFonts w:ascii="Times New Roman" w:hAnsi="Times New Roman" w:cs="Times New Roman"/>
          <w:iCs/>
          <w:sz w:val="28"/>
          <w:szCs w:val="28"/>
          <w:lang w:val="uk-UA"/>
        </w:rPr>
        <w:t>T.</w:t>
      </w:r>
      <w:r w:rsidR="0023701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3418E7">
        <w:rPr>
          <w:rFonts w:ascii="Times New Roman" w:hAnsi="Times New Roman" w:cs="Times New Roman"/>
          <w:iCs/>
          <w:sz w:val="28"/>
          <w:szCs w:val="28"/>
          <w:lang w:val="uk-UA"/>
        </w:rPr>
        <w:t>M.</w:t>
      </w:r>
      <w:r w:rsidR="0023701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3418E7">
        <w:rPr>
          <w:rFonts w:ascii="Times New Roman" w:hAnsi="Times New Roman" w:cs="Times New Roman"/>
          <w:iCs/>
          <w:sz w:val="28"/>
          <w:szCs w:val="28"/>
          <w:lang w:val="uk-UA"/>
        </w:rPr>
        <w:t>Pasi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eshvili</w:t>
      </w:r>
    </w:p>
    <w:p w:rsidR="00043D04" w:rsidRDefault="00043D04" w:rsidP="00043D04">
      <w:pPr>
        <w:spacing w:after="0" w:line="240" w:lineRule="auto"/>
        <w:ind w:left="-567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3418E7">
        <w:rPr>
          <w:rFonts w:ascii="Times New Roman" w:hAnsi="Times New Roman" w:cs="Times New Roman"/>
          <w:iCs/>
          <w:sz w:val="28"/>
          <w:szCs w:val="28"/>
          <w:lang w:val="uk-UA"/>
        </w:rPr>
        <w:t>Kharkov</w:t>
      </w:r>
      <w:r w:rsidR="0023701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3418E7">
        <w:rPr>
          <w:rFonts w:ascii="Times New Roman" w:hAnsi="Times New Roman" w:cs="Times New Roman"/>
          <w:iCs/>
          <w:sz w:val="28"/>
          <w:szCs w:val="28"/>
          <w:lang w:val="uk-UA"/>
        </w:rPr>
        <w:t>National</w:t>
      </w:r>
      <w:r w:rsidR="0023701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3418E7">
        <w:rPr>
          <w:rFonts w:ascii="Times New Roman" w:hAnsi="Times New Roman" w:cs="Times New Roman"/>
          <w:iCs/>
          <w:sz w:val="28"/>
          <w:szCs w:val="28"/>
          <w:lang w:val="uk-UA"/>
        </w:rPr>
        <w:t>Medical</w:t>
      </w:r>
      <w:r w:rsidR="0023701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3418E7">
        <w:rPr>
          <w:rFonts w:ascii="Times New Roman" w:hAnsi="Times New Roman" w:cs="Times New Roman"/>
          <w:iCs/>
          <w:sz w:val="28"/>
          <w:szCs w:val="28"/>
          <w:lang w:val="uk-UA"/>
        </w:rPr>
        <w:t>University, Ukraine</w:t>
      </w:r>
    </w:p>
    <w:p w:rsidR="00043D04" w:rsidRDefault="00043D04" w:rsidP="00043D0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:rsidR="00043D04" w:rsidRPr="00813E92" w:rsidRDefault="00043D04" w:rsidP="00043D0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43E05">
        <w:rPr>
          <w:rFonts w:ascii="Times New Roman" w:hAnsi="Times New Roman" w:cs="Times New Roman"/>
          <w:b/>
          <w:iCs/>
          <w:sz w:val="28"/>
          <w:szCs w:val="28"/>
          <w:lang w:val="uk-UA"/>
        </w:rPr>
        <w:t>Key</w:t>
      </w:r>
      <w:r w:rsidR="007A4AB7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C43E05">
        <w:rPr>
          <w:rFonts w:ascii="Times New Roman" w:hAnsi="Times New Roman" w:cs="Times New Roman"/>
          <w:b/>
          <w:iCs/>
          <w:sz w:val="28"/>
          <w:szCs w:val="28"/>
          <w:lang w:val="uk-UA"/>
        </w:rPr>
        <w:t>words:</w:t>
      </w:r>
      <w:r w:rsidRPr="00C43E05">
        <w:rPr>
          <w:rFonts w:ascii="Times New Roman" w:hAnsi="Times New Roman" w:cs="Times New Roman"/>
          <w:iCs/>
          <w:sz w:val="28"/>
          <w:szCs w:val="28"/>
          <w:lang w:val="uk-UA"/>
        </w:rPr>
        <w:t>gastroesophageal</w:t>
      </w:r>
      <w:r w:rsidR="0023701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C43E05">
        <w:rPr>
          <w:rFonts w:ascii="Times New Roman" w:hAnsi="Times New Roman" w:cs="Times New Roman"/>
          <w:iCs/>
          <w:sz w:val="28"/>
          <w:szCs w:val="28"/>
          <w:lang w:val="uk-UA"/>
        </w:rPr>
        <w:t>reflux</w:t>
      </w:r>
      <w:r w:rsidR="0023701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C43E05">
        <w:rPr>
          <w:rFonts w:ascii="Times New Roman" w:hAnsi="Times New Roman" w:cs="Times New Roman"/>
          <w:iCs/>
          <w:sz w:val="28"/>
          <w:szCs w:val="28"/>
          <w:lang w:val="uk-UA"/>
        </w:rPr>
        <w:t>disea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se, autoimmune</w:t>
      </w:r>
      <w:r w:rsidR="0023701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thyroiditis,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lotho</w:t>
      </w:r>
      <w:r w:rsidR="0023701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protein, pathogenesis</w:t>
      </w:r>
    </w:p>
    <w:p w:rsidR="00043D04" w:rsidRPr="00DC049E" w:rsidRDefault="00043D04" w:rsidP="00043D0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DC049E">
        <w:rPr>
          <w:rFonts w:ascii="Times New Roman" w:hAnsi="Times New Roman" w:cs="Times New Roman"/>
          <w:b/>
          <w:iCs/>
          <w:sz w:val="28"/>
          <w:szCs w:val="28"/>
          <w:lang w:val="en-US"/>
        </w:rPr>
        <w:lastRenderedPageBreak/>
        <w:t>Aim:</w:t>
      </w:r>
      <w:r w:rsidR="00237015" w:rsidRPr="00DC049E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to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establish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the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content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and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role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of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Klotho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protein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in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the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pathogenesis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of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gastroesophageal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reflux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disease, which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occurs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against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the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background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of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autoimmune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inflammation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in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young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people.</w:t>
      </w:r>
    </w:p>
    <w:p w:rsidR="00043D04" w:rsidRPr="00DC049E" w:rsidRDefault="00043D04" w:rsidP="00043D0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gramStart"/>
      <w:r w:rsidRPr="00DC049E">
        <w:rPr>
          <w:rFonts w:ascii="Times New Roman" w:hAnsi="Times New Roman" w:cs="Times New Roman"/>
          <w:b/>
          <w:iCs/>
          <w:sz w:val="28"/>
          <w:szCs w:val="28"/>
          <w:lang w:val="en-US"/>
        </w:rPr>
        <w:t>Materials</w:t>
      </w:r>
      <w:r w:rsidR="00237015" w:rsidRPr="00DC049E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b/>
          <w:iCs/>
          <w:sz w:val="28"/>
          <w:szCs w:val="28"/>
          <w:lang w:val="en-US"/>
        </w:rPr>
        <w:t>and</w:t>
      </w:r>
      <w:r w:rsidR="00237015" w:rsidRPr="00DC049E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b/>
          <w:iCs/>
          <w:sz w:val="28"/>
          <w:szCs w:val="28"/>
          <w:lang w:val="en-US"/>
        </w:rPr>
        <w:t>methods.</w:t>
      </w:r>
      <w:proofErr w:type="gramEnd"/>
      <w:r w:rsidR="00237015" w:rsidRPr="00DC049E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Three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groups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of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patients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were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involved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in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the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study: with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the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gastroesophageal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reflux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disease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(GERD)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and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autoimmune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thyroiditis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(AIT) (120 persons), isolated GERD (45) and AIT (42) aged 18 to 25 years, of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the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same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sex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and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duration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of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the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disease. The content of Klotho protein was determined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in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the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serum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by ELISA, Elabscience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reagents (ELISA, USA).</w:t>
      </w:r>
    </w:p>
    <w:p w:rsidR="00043D04" w:rsidRPr="00DC049E" w:rsidRDefault="00043D04" w:rsidP="00043D04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gramStart"/>
      <w:r w:rsidRPr="00DC049E">
        <w:rPr>
          <w:rFonts w:ascii="Times New Roman" w:hAnsi="Times New Roman" w:cs="Times New Roman"/>
          <w:b/>
          <w:iCs/>
          <w:sz w:val="28"/>
          <w:szCs w:val="28"/>
          <w:lang w:val="en-US"/>
        </w:rPr>
        <w:t>Results.</w:t>
      </w:r>
      <w:proofErr w:type="gramEnd"/>
      <w:r w:rsidR="00237015" w:rsidRPr="00DC049E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Significant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in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crease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in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Klotho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protein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was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detected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in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patients with GERD and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especially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in its combination with AIT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relative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to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the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control. Content of Klotho protein did not correlate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with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them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or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phologicalformof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the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disease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and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its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duration. In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patients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with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isolated AIT,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Klotho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protein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level did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not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have a significant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difference with control group.</w:t>
      </w:r>
    </w:p>
    <w:p w:rsidR="00043D04" w:rsidRPr="00DC049E" w:rsidRDefault="00043D04" w:rsidP="00043D04">
      <w:pPr>
        <w:autoSpaceDE w:val="0"/>
        <w:autoSpaceDN w:val="0"/>
        <w:adjustRightInd w:val="0"/>
        <w:spacing w:after="0" w:line="240" w:lineRule="auto"/>
        <w:ind w:left="-567" w:right="283" w:firstLine="709"/>
        <w:jc w:val="both"/>
        <w:rPr>
          <w:rFonts w:eastAsia="CIDFont+F1" w:cs="CIDFont+F1"/>
          <w:color w:val="000000"/>
          <w:sz w:val="28"/>
          <w:szCs w:val="28"/>
          <w:lang w:val="uk-UA"/>
        </w:rPr>
      </w:pPr>
      <w:proofErr w:type="gramStart"/>
      <w:r w:rsidRPr="00DC049E">
        <w:rPr>
          <w:rFonts w:ascii="Times New Roman" w:hAnsi="Times New Roman" w:cs="Times New Roman"/>
          <w:b/>
          <w:iCs/>
          <w:sz w:val="28"/>
          <w:szCs w:val="28"/>
          <w:lang w:val="en-US"/>
        </w:rPr>
        <w:t>Conclusion.</w:t>
      </w:r>
      <w:proofErr w:type="gramEnd"/>
      <w:r w:rsidRPr="00DC049E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The GERD and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its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combination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with AIT in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young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people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are</w:t>
      </w:r>
      <w:r w:rsidR="0021519C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accompanied</w:t>
      </w:r>
      <w:r w:rsidR="0021519C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by</w:t>
      </w:r>
      <w:r w:rsidR="0021519C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anincrease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in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Klotho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protein</w:t>
      </w:r>
      <w:r w:rsidR="00237015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content, as a result</w:t>
      </w:r>
      <w:r w:rsidR="0021519C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of</w:t>
      </w:r>
      <w:r w:rsidR="0021519C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the</w:t>
      </w:r>
      <w:r w:rsidR="0021519C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presence</w:t>
      </w:r>
      <w:r w:rsidR="0021519C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of</w:t>
      </w:r>
      <w:r w:rsidR="0021519C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anactive</w:t>
      </w:r>
      <w:r w:rsidR="0021519C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inflammatory</w:t>
      </w:r>
      <w:r w:rsidR="0021519C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process</w:t>
      </w:r>
      <w:r w:rsidR="0021519C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in</w:t>
      </w:r>
      <w:r w:rsidR="0021519C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the</w:t>
      </w:r>
      <w:r w:rsidR="0021519C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esophagus</w:t>
      </w:r>
      <w:r w:rsidR="0021519C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mucosa</w:t>
      </w:r>
      <w:r w:rsidR="0021519C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and</w:t>
      </w:r>
      <w:r w:rsidR="0021519C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its</w:t>
      </w:r>
      <w:r w:rsidR="0021519C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stimulating</w:t>
      </w:r>
      <w:r w:rsidR="0021519C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effect</w:t>
      </w:r>
      <w:r w:rsidR="0021519C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on</w:t>
      </w:r>
      <w:r w:rsidR="0021519C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antioxidant</w:t>
      </w:r>
      <w:r w:rsidR="0021519C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defense</w:t>
      </w:r>
      <w:r w:rsidR="0021519C" w:rsidRPr="00DC049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DC049E">
        <w:rPr>
          <w:rFonts w:ascii="Times New Roman" w:hAnsi="Times New Roman" w:cs="Times New Roman"/>
          <w:iCs/>
          <w:sz w:val="28"/>
          <w:szCs w:val="28"/>
          <w:lang w:val="en-US"/>
        </w:rPr>
        <w:t>processes</w:t>
      </w:r>
      <w:r w:rsidR="00DC049E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sectPr w:rsidR="00043D04" w:rsidRPr="00DC049E" w:rsidSect="00941F26">
      <w:pgSz w:w="11906" w:h="16838"/>
      <w:pgMar w:top="1134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0572"/>
    <w:multiLevelType w:val="hybridMultilevel"/>
    <w:tmpl w:val="3190A6BC"/>
    <w:lvl w:ilvl="0" w:tplc="E3C20EA4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A5E3023"/>
    <w:multiLevelType w:val="hybridMultilevel"/>
    <w:tmpl w:val="23A25518"/>
    <w:lvl w:ilvl="0" w:tplc="E6F623E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353C738C"/>
    <w:multiLevelType w:val="hybridMultilevel"/>
    <w:tmpl w:val="3190A6BC"/>
    <w:lvl w:ilvl="0" w:tplc="E3C20EA4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AC064F3"/>
    <w:multiLevelType w:val="multilevel"/>
    <w:tmpl w:val="F304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8418ED"/>
    <w:multiLevelType w:val="hybridMultilevel"/>
    <w:tmpl w:val="1C6EED6C"/>
    <w:lvl w:ilvl="0" w:tplc="0FF44F3E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B412FB"/>
    <w:multiLevelType w:val="multilevel"/>
    <w:tmpl w:val="A428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C50DD1"/>
    <w:multiLevelType w:val="hybridMultilevel"/>
    <w:tmpl w:val="3190A6BC"/>
    <w:lvl w:ilvl="0" w:tplc="E3C20EA4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08"/>
  <w:characterSpacingControl w:val="doNotCompress"/>
  <w:compat>
    <w:useFELayout/>
  </w:compat>
  <w:rsids>
    <w:rsidRoot w:val="001950DA"/>
    <w:rsid w:val="00007560"/>
    <w:rsid w:val="000113AA"/>
    <w:rsid w:val="00013186"/>
    <w:rsid w:val="00014FA7"/>
    <w:rsid w:val="0001585A"/>
    <w:rsid w:val="00016C94"/>
    <w:rsid w:val="00027131"/>
    <w:rsid w:val="00030754"/>
    <w:rsid w:val="0003585B"/>
    <w:rsid w:val="000361C8"/>
    <w:rsid w:val="00043D04"/>
    <w:rsid w:val="00052A63"/>
    <w:rsid w:val="00055CDE"/>
    <w:rsid w:val="00060848"/>
    <w:rsid w:val="00067956"/>
    <w:rsid w:val="00070279"/>
    <w:rsid w:val="00074578"/>
    <w:rsid w:val="00081018"/>
    <w:rsid w:val="00084AF6"/>
    <w:rsid w:val="000A2AE2"/>
    <w:rsid w:val="000A4C21"/>
    <w:rsid w:val="000B4E50"/>
    <w:rsid w:val="000C1ECC"/>
    <w:rsid w:val="000C323B"/>
    <w:rsid w:val="000D0A7D"/>
    <w:rsid w:val="000D2EFB"/>
    <w:rsid w:val="000E0EFB"/>
    <w:rsid w:val="000E70BA"/>
    <w:rsid w:val="000F3C92"/>
    <w:rsid w:val="000F5747"/>
    <w:rsid w:val="001006B1"/>
    <w:rsid w:val="001054AD"/>
    <w:rsid w:val="00116C25"/>
    <w:rsid w:val="00121C90"/>
    <w:rsid w:val="001263B0"/>
    <w:rsid w:val="00147DDD"/>
    <w:rsid w:val="00151964"/>
    <w:rsid w:val="00152C7E"/>
    <w:rsid w:val="0015486B"/>
    <w:rsid w:val="0016582F"/>
    <w:rsid w:val="00173C85"/>
    <w:rsid w:val="00187957"/>
    <w:rsid w:val="00191842"/>
    <w:rsid w:val="001925E1"/>
    <w:rsid w:val="00193438"/>
    <w:rsid w:val="001950DA"/>
    <w:rsid w:val="001960AE"/>
    <w:rsid w:val="001A28E0"/>
    <w:rsid w:val="001A7E77"/>
    <w:rsid w:val="001B1A42"/>
    <w:rsid w:val="001C63AA"/>
    <w:rsid w:val="001E2B2C"/>
    <w:rsid w:val="001E32E5"/>
    <w:rsid w:val="001F3721"/>
    <w:rsid w:val="002118A8"/>
    <w:rsid w:val="00214B52"/>
    <w:rsid w:val="0021519C"/>
    <w:rsid w:val="00217492"/>
    <w:rsid w:val="00217EAD"/>
    <w:rsid w:val="00220BA7"/>
    <w:rsid w:val="00223D95"/>
    <w:rsid w:val="0023083E"/>
    <w:rsid w:val="00231334"/>
    <w:rsid w:val="00237015"/>
    <w:rsid w:val="00241BA1"/>
    <w:rsid w:val="00253562"/>
    <w:rsid w:val="00265406"/>
    <w:rsid w:val="00266118"/>
    <w:rsid w:val="002775BA"/>
    <w:rsid w:val="0028072E"/>
    <w:rsid w:val="00290295"/>
    <w:rsid w:val="0029208E"/>
    <w:rsid w:val="00294EE4"/>
    <w:rsid w:val="002A6C91"/>
    <w:rsid w:val="002B1692"/>
    <w:rsid w:val="002C13EB"/>
    <w:rsid w:val="002C3C3C"/>
    <w:rsid w:val="002D6077"/>
    <w:rsid w:val="002E48A0"/>
    <w:rsid w:val="00300F8E"/>
    <w:rsid w:val="003033AF"/>
    <w:rsid w:val="00303F9C"/>
    <w:rsid w:val="0030423D"/>
    <w:rsid w:val="003056A7"/>
    <w:rsid w:val="003076BC"/>
    <w:rsid w:val="003216AC"/>
    <w:rsid w:val="00321E76"/>
    <w:rsid w:val="0032211B"/>
    <w:rsid w:val="00327DA7"/>
    <w:rsid w:val="00327EE6"/>
    <w:rsid w:val="0033144B"/>
    <w:rsid w:val="0033380E"/>
    <w:rsid w:val="003353F6"/>
    <w:rsid w:val="003418E7"/>
    <w:rsid w:val="003501CF"/>
    <w:rsid w:val="003508E4"/>
    <w:rsid w:val="00351A01"/>
    <w:rsid w:val="0035500B"/>
    <w:rsid w:val="003561BA"/>
    <w:rsid w:val="00360BE1"/>
    <w:rsid w:val="00363960"/>
    <w:rsid w:val="00371827"/>
    <w:rsid w:val="00372A9E"/>
    <w:rsid w:val="00384857"/>
    <w:rsid w:val="003A51B2"/>
    <w:rsid w:val="003B06DD"/>
    <w:rsid w:val="003B1BCA"/>
    <w:rsid w:val="003B2840"/>
    <w:rsid w:val="003B3596"/>
    <w:rsid w:val="003D149F"/>
    <w:rsid w:val="003D444C"/>
    <w:rsid w:val="003D5C4F"/>
    <w:rsid w:val="003E039B"/>
    <w:rsid w:val="003E0B3E"/>
    <w:rsid w:val="003E2FD2"/>
    <w:rsid w:val="003E3522"/>
    <w:rsid w:val="003E4BC5"/>
    <w:rsid w:val="003E7D23"/>
    <w:rsid w:val="003F70BF"/>
    <w:rsid w:val="00400F26"/>
    <w:rsid w:val="00405D10"/>
    <w:rsid w:val="004270EE"/>
    <w:rsid w:val="00430774"/>
    <w:rsid w:val="004410C8"/>
    <w:rsid w:val="00452998"/>
    <w:rsid w:val="004553C9"/>
    <w:rsid w:val="00462343"/>
    <w:rsid w:val="00464578"/>
    <w:rsid w:val="00472980"/>
    <w:rsid w:val="00474C3C"/>
    <w:rsid w:val="004760AF"/>
    <w:rsid w:val="00477B4C"/>
    <w:rsid w:val="00483671"/>
    <w:rsid w:val="00483A81"/>
    <w:rsid w:val="00485980"/>
    <w:rsid w:val="0048710C"/>
    <w:rsid w:val="004879F9"/>
    <w:rsid w:val="0049298A"/>
    <w:rsid w:val="004A316D"/>
    <w:rsid w:val="004A55F9"/>
    <w:rsid w:val="004C64F6"/>
    <w:rsid w:val="004D60CE"/>
    <w:rsid w:val="004E0108"/>
    <w:rsid w:val="004E5A80"/>
    <w:rsid w:val="004F04C0"/>
    <w:rsid w:val="00510809"/>
    <w:rsid w:val="00515483"/>
    <w:rsid w:val="00517B5A"/>
    <w:rsid w:val="005201A0"/>
    <w:rsid w:val="00523124"/>
    <w:rsid w:val="00541D6A"/>
    <w:rsid w:val="0054341A"/>
    <w:rsid w:val="005461EE"/>
    <w:rsid w:val="005525BC"/>
    <w:rsid w:val="005543F6"/>
    <w:rsid w:val="005563E0"/>
    <w:rsid w:val="00556CCF"/>
    <w:rsid w:val="0057496D"/>
    <w:rsid w:val="0057582C"/>
    <w:rsid w:val="0057742A"/>
    <w:rsid w:val="005835F7"/>
    <w:rsid w:val="00585E52"/>
    <w:rsid w:val="0059231F"/>
    <w:rsid w:val="00596B27"/>
    <w:rsid w:val="005A090E"/>
    <w:rsid w:val="005A3025"/>
    <w:rsid w:val="005A5CF8"/>
    <w:rsid w:val="005B32D4"/>
    <w:rsid w:val="005C29A4"/>
    <w:rsid w:val="005C45E3"/>
    <w:rsid w:val="005D105D"/>
    <w:rsid w:val="005E1B4F"/>
    <w:rsid w:val="0061105C"/>
    <w:rsid w:val="006114EC"/>
    <w:rsid w:val="00611A14"/>
    <w:rsid w:val="00612F01"/>
    <w:rsid w:val="00622EA0"/>
    <w:rsid w:val="00623CC0"/>
    <w:rsid w:val="006270C9"/>
    <w:rsid w:val="006362C6"/>
    <w:rsid w:val="00637F3A"/>
    <w:rsid w:val="00646066"/>
    <w:rsid w:val="00650D25"/>
    <w:rsid w:val="006613D9"/>
    <w:rsid w:val="00670DCF"/>
    <w:rsid w:val="00674A15"/>
    <w:rsid w:val="006828B5"/>
    <w:rsid w:val="00683E6B"/>
    <w:rsid w:val="0069114E"/>
    <w:rsid w:val="006A0792"/>
    <w:rsid w:val="006A67B5"/>
    <w:rsid w:val="006A7298"/>
    <w:rsid w:val="006B3748"/>
    <w:rsid w:val="006D1AA8"/>
    <w:rsid w:val="006D439C"/>
    <w:rsid w:val="006E4FB6"/>
    <w:rsid w:val="006F3CC7"/>
    <w:rsid w:val="007077FC"/>
    <w:rsid w:val="00707FC1"/>
    <w:rsid w:val="00710EBE"/>
    <w:rsid w:val="007157A4"/>
    <w:rsid w:val="007223F9"/>
    <w:rsid w:val="00726150"/>
    <w:rsid w:val="00730E67"/>
    <w:rsid w:val="007323E2"/>
    <w:rsid w:val="00732AF8"/>
    <w:rsid w:val="00746F3F"/>
    <w:rsid w:val="00751B13"/>
    <w:rsid w:val="007532A7"/>
    <w:rsid w:val="00755962"/>
    <w:rsid w:val="00764F3C"/>
    <w:rsid w:val="00773741"/>
    <w:rsid w:val="00774BE8"/>
    <w:rsid w:val="00774EC0"/>
    <w:rsid w:val="00775DA6"/>
    <w:rsid w:val="0078227A"/>
    <w:rsid w:val="00783FAF"/>
    <w:rsid w:val="00792EDA"/>
    <w:rsid w:val="00797E04"/>
    <w:rsid w:val="007A0479"/>
    <w:rsid w:val="007A19FA"/>
    <w:rsid w:val="007A4AB7"/>
    <w:rsid w:val="007A7634"/>
    <w:rsid w:val="007B2141"/>
    <w:rsid w:val="007C3D68"/>
    <w:rsid w:val="007D5C38"/>
    <w:rsid w:val="007D6529"/>
    <w:rsid w:val="007D754E"/>
    <w:rsid w:val="007D75A3"/>
    <w:rsid w:val="007F3FE8"/>
    <w:rsid w:val="007F42AE"/>
    <w:rsid w:val="007F70F4"/>
    <w:rsid w:val="007F7751"/>
    <w:rsid w:val="007F7B2C"/>
    <w:rsid w:val="0080358D"/>
    <w:rsid w:val="00805F16"/>
    <w:rsid w:val="00806857"/>
    <w:rsid w:val="00811119"/>
    <w:rsid w:val="00813E92"/>
    <w:rsid w:val="00814B41"/>
    <w:rsid w:val="00816E86"/>
    <w:rsid w:val="008324B3"/>
    <w:rsid w:val="008332A6"/>
    <w:rsid w:val="0083453C"/>
    <w:rsid w:val="008406D6"/>
    <w:rsid w:val="0085673E"/>
    <w:rsid w:val="00860EA3"/>
    <w:rsid w:val="00873FEF"/>
    <w:rsid w:val="00881539"/>
    <w:rsid w:val="008858FF"/>
    <w:rsid w:val="00892911"/>
    <w:rsid w:val="0089335E"/>
    <w:rsid w:val="00895AA8"/>
    <w:rsid w:val="008A3F8D"/>
    <w:rsid w:val="008B4753"/>
    <w:rsid w:val="008F48BD"/>
    <w:rsid w:val="00900479"/>
    <w:rsid w:val="0090199E"/>
    <w:rsid w:val="009135B1"/>
    <w:rsid w:val="00914F7C"/>
    <w:rsid w:val="0091516C"/>
    <w:rsid w:val="00921CBD"/>
    <w:rsid w:val="009266CA"/>
    <w:rsid w:val="00941F26"/>
    <w:rsid w:val="009466E6"/>
    <w:rsid w:val="009546BF"/>
    <w:rsid w:val="00964D3C"/>
    <w:rsid w:val="00966F1F"/>
    <w:rsid w:val="0097593B"/>
    <w:rsid w:val="009827DF"/>
    <w:rsid w:val="00992C29"/>
    <w:rsid w:val="009A53B6"/>
    <w:rsid w:val="009A5B9D"/>
    <w:rsid w:val="009B2DA1"/>
    <w:rsid w:val="009B4944"/>
    <w:rsid w:val="009B7526"/>
    <w:rsid w:val="009C15F3"/>
    <w:rsid w:val="009C4D64"/>
    <w:rsid w:val="009C71AC"/>
    <w:rsid w:val="009D1A58"/>
    <w:rsid w:val="009D5EAE"/>
    <w:rsid w:val="009E1749"/>
    <w:rsid w:val="009E5D42"/>
    <w:rsid w:val="009E7CA3"/>
    <w:rsid w:val="009F02DF"/>
    <w:rsid w:val="009F3BBD"/>
    <w:rsid w:val="009F5701"/>
    <w:rsid w:val="00A0398E"/>
    <w:rsid w:val="00A102C4"/>
    <w:rsid w:val="00A10572"/>
    <w:rsid w:val="00A1169B"/>
    <w:rsid w:val="00A174BA"/>
    <w:rsid w:val="00A267DF"/>
    <w:rsid w:val="00A4651F"/>
    <w:rsid w:val="00A5567B"/>
    <w:rsid w:val="00A57748"/>
    <w:rsid w:val="00A66CD7"/>
    <w:rsid w:val="00A71E60"/>
    <w:rsid w:val="00A76574"/>
    <w:rsid w:val="00A84149"/>
    <w:rsid w:val="00A87B35"/>
    <w:rsid w:val="00A90AD4"/>
    <w:rsid w:val="00A90CFB"/>
    <w:rsid w:val="00AA7E6F"/>
    <w:rsid w:val="00AB2330"/>
    <w:rsid w:val="00AB3731"/>
    <w:rsid w:val="00AB4C21"/>
    <w:rsid w:val="00AB7257"/>
    <w:rsid w:val="00AC6438"/>
    <w:rsid w:val="00AD1F9A"/>
    <w:rsid w:val="00AF496A"/>
    <w:rsid w:val="00AF74F1"/>
    <w:rsid w:val="00AF761C"/>
    <w:rsid w:val="00B05A14"/>
    <w:rsid w:val="00B14ACB"/>
    <w:rsid w:val="00B231AE"/>
    <w:rsid w:val="00B25CED"/>
    <w:rsid w:val="00B32D8E"/>
    <w:rsid w:val="00B32FC7"/>
    <w:rsid w:val="00B34217"/>
    <w:rsid w:val="00B471F2"/>
    <w:rsid w:val="00B5226F"/>
    <w:rsid w:val="00B527BA"/>
    <w:rsid w:val="00B531E1"/>
    <w:rsid w:val="00B53DDA"/>
    <w:rsid w:val="00B5447B"/>
    <w:rsid w:val="00B60673"/>
    <w:rsid w:val="00B61AB1"/>
    <w:rsid w:val="00B62BFD"/>
    <w:rsid w:val="00B6508E"/>
    <w:rsid w:val="00B65838"/>
    <w:rsid w:val="00B67835"/>
    <w:rsid w:val="00B77C4B"/>
    <w:rsid w:val="00B861E9"/>
    <w:rsid w:val="00B90D36"/>
    <w:rsid w:val="00B97D42"/>
    <w:rsid w:val="00BA0074"/>
    <w:rsid w:val="00BA02CF"/>
    <w:rsid w:val="00BB0247"/>
    <w:rsid w:val="00BC1718"/>
    <w:rsid w:val="00BD2384"/>
    <w:rsid w:val="00BD2C3C"/>
    <w:rsid w:val="00BD328E"/>
    <w:rsid w:val="00BD37C9"/>
    <w:rsid w:val="00BD476D"/>
    <w:rsid w:val="00BD5496"/>
    <w:rsid w:val="00BE094A"/>
    <w:rsid w:val="00BE3672"/>
    <w:rsid w:val="00BE7423"/>
    <w:rsid w:val="00BF7387"/>
    <w:rsid w:val="00C05E88"/>
    <w:rsid w:val="00C159F7"/>
    <w:rsid w:val="00C315F8"/>
    <w:rsid w:val="00C37D71"/>
    <w:rsid w:val="00C43E05"/>
    <w:rsid w:val="00C44DDB"/>
    <w:rsid w:val="00C44F4E"/>
    <w:rsid w:val="00C61281"/>
    <w:rsid w:val="00C73B07"/>
    <w:rsid w:val="00C87C3C"/>
    <w:rsid w:val="00C92C3A"/>
    <w:rsid w:val="00C92CD6"/>
    <w:rsid w:val="00C96E13"/>
    <w:rsid w:val="00CA4D19"/>
    <w:rsid w:val="00CA5F2C"/>
    <w:rsid w:val="00CB6F47"/>
    <w:rsid w:val="00CC51E5"/>
    <w:rsid w:val="00CD392E"/>
    <w:rsid w:val="00CD5F19"/>
    <w:rsid w:val="00CE48AE"/>
    <w:rsid w:val="00CE61D0"/>
    <w:rsid w:val="00CE706E"/>
    <w:rsid w:val="00CF207F"/>
    <w:rsid w:val="00D062CD"/>
    <w:rsid w:val="00D12C0D"/>
    <w:rsid w:val="00D15F06"/>
    <w:rsid w:val="00D276B1"/>
    <w:rsid w:val="00D34661"/>
    <w:rsid w:val="00D36713"/>
    <w:rsid w:val="00D36B8C"/>
    <w:rsid w:val="00D36CC2"/>
    <w:rsid w:val="00D4406A"/>
    <w:rsid w:val="00D44789"/>
    <w:rsid w:val="00D5044E"/>
    <w:rsid w:val="00D51E1F"/>
    <w:rsid w:val="00D52FCB"/>
    <w:rsid w:val="00D53466"/>
    <w:rsid w:val="00D57109"/>
    <w:rsid w:val="00D76FA7"/>
    <w:rsid w:val="00DA0688"/>
    <w:rsid w:val="00DB3B8E"/>
    <w:rsid w:val="00DB64E8"/>
    <w:rsid w:val="00DC049E"/>
    <w:rsid w:val="00DC2B74"/>
    <w:rsid w:val="00DC3ECD"/>
    <w:rsid w:val="00DC457B"/>
    <w:rsid w:val="00DC5255"/>
    <w:rsid w:val="00DC54F3"/>
    <w:rsid w:val="00DD151C"/>
    <w:rsid w:val="00DE1A2E"/>
    <w:rsid w:val="00DE5C1D"/>
    <w:rsid w:val="00DF07CC"/>
    <w:rsid w:val="00DF1ED9"/>
    <w:rsid w:val="00DF2FDD"/>
    <w:rsid w:val="00DF34BB"/>
    <w:rsid w:val="00DF765F"/>
    <w:rsid w:val="00E01660"/>
    <w:rsid w:val="00E03DBE"/>
    <w:rsid w:val="00E05ADF"/>
    <w:rsid w:val="00E135FB"/>
    <w:rsid w:val="00E1421B"/>
    <w:rsid w:val="00E20301"/>
    <w:rsid w:val="00E2318E"/>
    <w:rsid w:val="00E2602C"/>
    <w:rsid w:val="00E34C35"/>
    <w:rsid w:val="00E35797"/>
    <w:rsid w:val="00E42A52"/>
    <w:rsid w:val="00E4586C"/>
    <w:rsid w:val="00E46181"/>
    <w:rsid w:val="00E54E8C"/>
    <w:rsid w:val="00E55918"/>
    <w:rsid w:val="00E72A6A"/>
    <w:rsid w:val="00E74F56"/>
    <w:rsid w:val="00E800DB"/>
    <w:rsid w:val="00E87112"/>
    <w:rsid w:val="00E91652"/>
    <w:rsid w:val="00E9499C"/>
    <w:rsid w:val="00E9566A"/>
    <w:rsid w:val="00E96B88"/>
    <w:rsid w:val="00EA708D"/>
    <w:rsid w:val="00EB0E04"/>
    <w:rsid w:val="00EB485E"/>
    <w:rsid w:val="00EC0EAA"/>
    <w:rsid w:val="00EC6428"/>
    <w:rsid w:val="00ED3C69"/>
    <w:rsid w:val="00ED691C"/>
    <w:rsid w:val="00ED6B5D"/>
    <w:rsid w:val="00EE0C7E"/>
    <w:rsid w:val="00EE206C"/>
    <w:rsid w:val="00EE2CAF"/>
    <w:rsid w:val="00EE32F5"/>
    <w:rsid w:val="00EE58CA"/>
    <w:rsid w:val="00EE7C75"/>
    <w:rsid w:val="00EE7FCA"/>
    <w:rsid w:val="00EF0062"/>
    <w:rsid w:val="00EF3F01"/>
    <w:rsid w:val="00EF6676"/>
    <w:rsid w:val="00F01916"/>
    <w:rsid w:val="00F04242"/>
    <w:rsid w:val="00F14FE8"/>
    <w:rsid w:val="00F15982"/>
    <w:rsid w:val="00F17C2F"/>
    <w:rsid w:val="00F218CF"/>
    <w:rsid w:val="00F230C0"/>
    <w:rsid w:val="00F24B96"/>
    <w:rsid w:val="00F27509"/>
    <w:rsid w:val="00F27540"/>
    <w:rsid w:val="00F27A53"/>
    <w:rsid w:val="00F33130"/>
    <w:rsid w:val="00F33C81"/>
    <w:rsid w:val="00F34E35"/>
    <w:rsid w:val="00F522C1"/>
    <w:rsid w:val="00F550AE"/>
    <w:rsid w:val="00F55641"/>
    <w:rsid w:val="00F560A8"/>
    <w:rsid w:val="00F56C53"/>
    <w:rsid w:val="00F61251"/>
    <w:rsid w:val="00F641B6"/>
    <w:rsid w:val="00F7709A"/>
    <w:rsid w:val="00F815EE"/>
    <w:rsid w:val="00F82F1C"/>
    <w:rsid w:val="00F860B7"/>
    <w:rsid w:val="00F8689A"/>
    <w:rsid w:val="00F92EFD"/>
    <w:rsid w:val="00FA6A15"/>
    <w:rsid w:val="00FB66FB"/>
    <w:rsid w:val="00FC051C"/>
    <w:rsid w:val="00FC2969"/>
    <w:rsid w:val="00FC3357"/>
    <w:rsid w:val="00FC4F5B"/>
    <w:rsid w:val="00FD1236"/>
    <w:rsid w:val="00FD75DC"/>
    <w:rsid w:val="00FE1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DA"/>
  </w:style>
  <w:style w:type="paragraph" w:styleId="1">
    <w:name w:val="heading 1"/>
    <w:basedOn w:val="a"/>
    <w:link w:val="10"/>
    <w:uiPriority w:val="9"/>
    <w:qFormat/>
    <w:rsid w:val="00623C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23C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E58CA"/>
    <w:rPr>
      <w:strike w:val="0"/>
      <w:dstrike w:val="0"/>
      <w:color w:val="000000"/>
      <w:u w:val="none"/>
      <w:effect w:val="none"/>
    </w:rPr>
  </w:style>
  <w:style w:type="character" w:customStyle="1" w:styleId="citation">
    <w:name w:val="citation"/>
    <w:basedOn w:val="a0"/>
    <w:rsid w:val="004879F9"/>
  </w:style>
  <w:style w:type="character" w:customStyle="1" w:styleId="ref-info1">
    <w:name w:val="ref-info1"/>
    <w:basedOn w:val="a0"/>
    <w:rsid w:val="004879F9"/>
    <w:rPr>
      <w:color w:val="72777D"/>
      <w:sz w:val="20"/>
      <w:szCs w:val="20"/>
    </w:rPr>
  </w:style>
  <w:style w:type="character" w:customStyle="1" w:styleId="nowrap1">
    <w:name w:val="nowrap1"/>
    <w:basedOn w:val="a0"/>
    <w:rsid w:val="004879F9"/>
  </w:style>
  <w:style w:type="paragraph" w:styleId="a5">
    <w:name w:val="Balloon Text"/>
    <w:basedOn w:val="a"/>
    <w:link w:val="a6"/>
    <w:uiPriority w:val="99"/>
    <w:semiHidden/>
    <w:unhideWhenUsed/>
    <w:rsid w:val="0089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911"/>
    <w:rPr>
      <w:rFonts w:ascii="Tahoma" w:hAnsi="Tahoma" w:cs="Tahoma"/>
      <w:sz w:val="16"/>
      <w:szCs w:val="16"/>
    </w:rPr>
  </w:style>
  <w:style w:type="character" w:customStyle="1" w:styleId="ref-info">
    <w:name w:val="ref-info"/>
    <w:basedOn w:val="a0"/>
    <w:rsid w:val="00E87112"/>
  </w:style>
  <w:style w:type="character" w:customStyle="1" w:styleId="nowrap">
    <w:name w:val="nowrap"/>
    <w:basedOn w:val="a0"/>
    <w:rsid w:val="00E87112"/>
  </w:style>
  <w:style w:type="character" w:styleId="a7">
    <w:name w:val="Strong"/>
    <w:basedOn w:val="a0"/>
    <w:uiPriority w:val="22"/>
    <w:qFormat/>
    <w:rsid w:val="00CF207F"/>
    <w:rPr>
      <w:b/>
      <w:bCs/>
    </w:rPr>
  </w:style>
  <w:style w:type="character" w:customStyle="1" w:styleId="nova-e-badge">
    <w:name w:val="nova-e-badge"/>
    <w:basedOn w:val="a0"/>
    <w:rsid w:val="00CF207F"/>
  </w:style>
  <w:style w:type="character" w:customStyle="1" w:styleId="nova-v-person-inline-item">
    <w:name w:val="nova-v-person-inline-item"/>
    <w:basedOn w:val="a0"/>
    <w:rsid w:val="00CF207F"/>
  </w:style>
  <w:style w:type="character" w:customStyle="1" w:styleId="nova-v-person-inline-itemfullname">
    <w:name w:val="nova-v-person-inline-item__fullname"/>
    <w:basedOn w:val="a0"/>
    <w:rsid w:val="00CF207F"/>
  </w:style>
  <w:style w:type="paragraph" w:styleId="a8">
    <w:name w:val="List Paragraph"/>
    <w:basedOn w:val="a"/>
    <w:uiPriority w:val="34"/>
    <w:qFormat/>
    <w:rsid w:val="007157A4"/>
    <w:pPr>
      <w:ind w:left="720"/>
      <w:contextualSpacing/>
    </w:pPr>
  </w:style>
  <w:style w:type="table" w:styleId="a9">
    <w:name w:val="Table Grid"/>
    <w:basedOn w:val="a1"/>
    <w:uiPriority w:val="59"/>
    <w:rsid w:val="00726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24009">
                              <w:marLeft w:val="0"/>
                              <w:marRight w:val="0"/>
                              <w:marTop w:val="40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93599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5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08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4241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416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3332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A5049-9CC1-49FB-AC71-E6C10E1D8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3365</TotalTime>
  <Pages>10</Pages>
  <Words>3439</Words>
  <Characters>19607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87</cp:revision>
  <dcterms:created xsi:type="dcterms:W3CDTF">2020-04-09T11:05:00Z</dcterms:created>
  <dcterms:modified xsi:type="dcterms:W3CDTF">2020-10-14T06:46:00Z</dcterms:modified>
</cp:coreProperties>
</file>