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1D2" w:rsidRPr="00CD03DF" w:rsidRDefault="005726CE" w:rsidP="007858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3DF">
        <w:rPr>
          <w:rFonts w:ascii="Times New Roman" w:hAnsi="Times New Roman" w:cs="Times New Roman"/>
          <w:sz w:val="24"/>
          <w:szCs w:val="24"/>
        </w:rPr>
        <w:t>УДК 615.065:616.36-008-03-07-08</w:t>
      </w:r>
    </w:p>
    <w:p w:rsidR="00694B5D" w:rsidRPr="008F13B1" w:rsidRDefault="00694B5D" w:rsidP="00694B5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13B1">
        <w:rPr>
          <w:rFonts w:ascii="Times New Roman" w:hAnsi="Times New Roman" w:cs="Times New Roman"/>
          <w:b/>
          <w:sz w:val="24"/>
          <w:szCs w:val="24"/>
          <w:lang w:val="uk-UA"/>
        </w:rPr>
        <w:t>Лікарські ураження печінки: від патогенезу до лікування</w:t>
      </w:r>
    </w:p>
    <w:p w:rsidR="00694B5D" w:rsidRPr="008F13B1" w:rsidRDefault="00694B5D" w:rsidP="00694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Н. Б.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Губергріц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, Н. В. Бєляєва, О. Є.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Клочков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>, Г. М. Лукашевич, П. Г. Фоменко</w:t>
      </w:r>
    </w:p>
    <w:p w:rsidR="00694B5D" w:rsidRPr="008F13B1" w:rsidRDefault="00694B5D" w:rsidP="00694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3B1">
        <w:rPr>
          <w:rFonts w:ascii="Times New Roman" w:hAnsi="Times New Roman" w:cs="Times New Roman"/>
          <w:sz w:val="24"/>
          <w:szCs w:val="24"/>
          <w:lang w:val="uk-UA"/>
        </w:rPr>
        <w:t>Донецький національний медичний університет, Україна</w:t>
      </w:r>
    </w:p>
    <w:p w:rsidR="00694B5D" w:rsidRPr="008F13B1" w:rsidRDefault="00694B5D" w:rsidP="00694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4B5D" w:rsidRDefault="00694B5D" w:rsidP="00694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3B1">
        <w:rPr>
          <w:rFonts w:ascii="Times New Roman" w:hAnsi="Times New Roman" w:cs="Times New Roman"/>
          <w:b/>
          <w:sz w:val="24"/>
          <w:szCs w:val="24"/>
          <w:lang w:val="uk-UA"/>
        </w:rPr>
        <w:t>Ключові слова: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лікарські ураження печінки, частота, класифікація, патогенез, лікування,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урсодезоксихолева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кислота</w:t>
      </w:r>
    </w:p>
    <w:p w:rsidR="00694B5D" w:rsidRPr="00694B5D" w:rsidRDefault="00694B5D" w:rsidP="00694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B5D">
        <w:rPr>
          <w:rFonts w:ascii="Times New Roman" w:hAnsi="Times New Roman" w:cs="Times New Roman"/>
          <w:sz w:val="24"/>
          <w:szCs w:val="24"/>
          <w:lang w:val="uk-UA"/>
        </w:rPr>
        <w:t>Гепатотоксичн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>сть - це пошкодження печінки, викликане чужорідними речовинами (</w:t>
      </w:r>
      <w:proofErr w:type="spellStart"/>
      <w:r w:rsidRPr="00694B5D">
        <w:rPr>
          <w:rFonts w:ascii="Times New Roman" w:hAnsi="Times New Roman" w:cs="Times New Roman"/>
          <w:sz w:val="24"/>
          <w:szCs w:val="24"/>
          <w:lang w:val="uk-UA"/>
        </w:rPr>
        <w:t>ксенобіотиками</w:t>
      </w:r>
      <w:proofErr w:type="spellEnd"/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). До них відносять рецептурні і </w:t>
      </w:r>
      <w:proofErr w:type="spellStart"/>
      <w:r w:rsidRPr="00694B5D">
        <w:rPr>
          <w:rFonts w:ascii="Times New Roman" w:hAnsi="Times New Roman" w:cs="Times New Roman"/>
          <w:sz w:val="24"/>
          <w:szCs w:val="24"/>
          <w:lang w:val="uk-UA"/>
        </w:rPr>
        <w:t>безрецептурні</w:t>
      </w:r>
      <w:proofErr w:type="spellEnd"/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лікарські засоби, включ</w:t>
      </w:r>
      <w:r w:rsidR="00B323CD">
        <w:rPr>
          <w:rFonts w:ascii="Times New Roman" w:hAnsi="Times New Roman" w:cs="Times New Roman"/>
          <w:sz w:val="24"/>
          <w:szCs w:val="24"/>
          <w:lang w:val="uk-UA"/>
        </w:rPr>
        <w:t>но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рослинні препарати, і великий перелік інших органічних і неорганічних речовин, які вжили випадково або навмисно; вони можуть перебувати в навколишньому середовищі, на робочому місці або вдома. До </w:t>
      </w:r>
      <w:proofErr w:type="spellStart"/>
      <w:r w:rsidRPr="00694B5D">
        <w:rPr>
          <w:rFonts w:ascii="Times New Roman" w:hAnsi="Times New Roman" w:cs="Times New Roman"/>
          <w:sz w:val="24"/>
          <w:szCs w:val="24"/>
          <w:lang w:val="uk-UA"/>
        </w:rPr>
        <w:t>ксенобіотиків</w:t>
      </w:r>
      <w:proofErr w:type="spellEnd"/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відносять пестициди, гербіциди, речовини рослинного, грибкового або мікробного походження, кожн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з яких може мати токсичн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і / або канцерогенн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властивост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>. При лікарському ураженні печінки токсичний вплив надають лікарські препарати, які використовуються в медичній практиці або застосовуються хворими з дієтично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метою, а також наркотики, що викликають залежність [16, 19].</w:t>
      </w:r>
    </w:p>
    <w:p w:rsidR="00694B5D" w:rsidRPr="00694B5D" w:rsidRDefault="00694B5D" w:rsidP="00694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B5D">
        <w:rPr>
          <w:rFonts w:ascii="Times New Roman" w:hAnsi="Times New Roman" w:cs="Times New Roman"/>
          <w:sz w:val="24"/>
          <w:szCs w:val="24"/>
          <w:lang w:val="uk-UA"/>
        </w:rPr>
        <w:t>Лікарські ураження печінки (Л</w:t>
      </w:r>
      <w:r w:rsidR="00E5722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П) - це морфологічні та функціональні зміни печінкової тканини, викликані прийомом медикаментів або їх неправильним дозуванням [15]. Гострі медикаментозні ураження печінки можуть бути спровоковані великою кількістю препаратів (близько 1 тис.), </w:t>
      </w:r>
      <w:r w:rsidR="00E13ABB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лизько 200 з яких є потенційно </w:t>
      </w:r>
      <w:proofErr w:type="spellStart"/>
      <w:r w:rsidRPr="00694B5D">
        <w:rPr>
          <w:rFonts w:ascii="Times New Roman" w:hAnsi="Times New Roman" w:cs="Times New Roman"/>
          <w:sz w:val="24"/>
          <w:szCs w:val="24"/>
          <w:lang w:val="uk-UA"/>
        </w:rPr>
        <w:t>гепатотоксичними</w:t>
      </w:r>
      <w:proofErr w:type="spellEnd"/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[17]. Хронічні медикаментозні ураження печінки розвиваються значно рідше. В цілому лікарські засоби є причиною майже 40% всіх випадків гепатиту і 25% випадків </w:t>
      </w:r>
      <w:proofErr w:type="spellStart"/>
      <w:r w:rsidRPr="00694B5D">
        <w:rPr>
          <w:rFonts w:ascii="Times New Roman" w:hAnsi="Times New Roman" w:cs="Times New Roman"/>
          <w:sz w:val="24"/>
          <w:szCs w:val="24"/>
          <w:lang w:val="uk-UA"/>
        </w:rPr>
        <w:t>фульмінантн</w:t>
      </w:r>
      <w:r w:rsidR="00E5722B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печінкової недостатності. Медикаментозні ураження печінки зустрічаються в загальній медичній практиці з частотою 0,3 випадку на 100 тис. </w:t>
      </w:r>
      <w:r w:rsidR="00E5722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ацієнтів, хоча дані ряду </w:t>
      </w:r>
      <w:proofErr w:type="spellStart"/>
      <w:r w:rsidRPr="00694B5D">
        <w:rPr>
          <w:rFonts w:ascii="Times New Roman" w:hAnsi="Times New Roman" w:cs="Times New Roman"/>
          <w:sz w:val="24"/>
          <w:szCs w:val="24"/>
          <w:lang w:val="uk-UA"/>
        </w:rPr>
        <w:t>фармакоепідеміологіч</w:t>
      </w:r>
      <w:r w:rsidR="00E5722B"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End"/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досліджень дозволяють вважати, що ці цифри занижені [18]. Щорічно понад 1 млн</w:t>
      </w:r>
      <w:r w:rsidR="00E5722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3ABB">
        <w:rPr>
          <w:rFonts w:ascii="Times New Roman" w:hAnsi="Times New Roman" w:cs="Times New Roman"/>
          <w:sz w:val="24"/>
          <w:szCs w:val="24"/>
          <w:lang w:val="uk-UA"/>
        </w:rPr>
        <w:t>людей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страждає від побічних ефектів фармакотерапії і близько 180 тис. </w:t>
      </w:r>
      <w:r w:rsidR="00E5722B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>ворих від них помирають [2, 13].</w:t>
      </w:r>
    </w:p>
    <w:p w:rsidR="00694B5D" w:rsidRPr="00694B5D" w:rsidRDefault="00E5722B" w:rsidP="00694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ЛУП </w:t>
      </w:r>
      <w:r w:rsidR="00694B5D" w:rsidRPr="00694B5D">
        <w:rPr>
          <w:rFonts w:ascii="Times New Roman" w:hAnsi="Times New Roman" w:cs="Times New Roman"/>
          <w:sz w:val="24"/>
          <w:szCs w:val="24"/>
          <w:lang w:val="uk-UA"/>
        </w:rPr>
        <w:t>- це одна з основних причин трансплантації печінки в Європі і США і 7,4% причин всіх смертей від побічних реакцій [1].</w:t>
      </w:r>
    </w:p>
    <w:p w:rsidR="00694B5D" w:rsidRPr="00694B5D" w:rsidRDefault="00694B5D" w:rsidP="00694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B5D">
        <w:rPr>
          <w:rFonts w:ascii="Times New Roman" w:hAnsi="Times New Roman" w:cs="Times New Roman"/>
          <w:sz w:val="24"/>
          <w:szCs w:val="24"/>
          <w:lang w:val="uk-UA"/>
        </w:rPr>
        <w:t>До факторів, що підвищу</w:t>
      </w:r>
      <w:r w:rsidR="00E13ABB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 ризик </w:t>
      </w:r>
      <w:r w:rsidR="00E5722B">
        <w:rPr>
          <w:rFonts w:ascii="Times New Roman" w:hAnsi="Times New Roman" w:cs="Times New Roman"/>
          <w:sz w:val="24"/>
          <w:szCs w:val="24"/>
          <w:lang w:val="uk-UA"/>
        </w:rPr>
        <w:t xml:space="preserve">ЛУП, 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>відносять дозу і тривалість прийому лікарського засобу, вік і стать хворого, супутні порушення обміну речовин і захворювання печінки, генетичну схильність, паралельний прийом інших медикаментів [16].</w:t>
      </w:r>
    </w:p>
    <w:p w:rsidR="00694B5D" w:rsidRDefault="00694B5D" w:rsidP="00694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B5D">
        <w:rPr>
          <w:rFonts w:ascii="Times New Roman" w:hAnsi="Times New Roman" w:cs="Times New Roman"/>
          <w:sz w:val="24"/>
          <w:szCs w:val="24"/>
          <w:lang w:val="uk-UA"/>
        </w:rPr>
        <w:t xml:space="preserve">Безумовно, ризик </w:t>
      </w:r>
      <w:r w:rsidR="00E5722B">
        <w:rPr>
          <w:rFonts w:ascii="Times New Roman" w:hAnsi="Times New Roman" w:cs="Times New Roman"/>
          <w:sz w:val="24"/>
          <w:szCs w:val="24"/>
          <w:lang w:val="uk-UA"/>
        </w:rPr>
        <w:t xml:space="preserve">ЛУП </w:t>
      </w:r>
      <w:r w:rsidRPr="00694B5D">
        <w:rPr>
          <w:rFonts w:ascii="Times New Roman" w:hAnsi="Times New Roman" w:cs="Times New Roman"/>
          <w:sz w:val="24"/>
          <w:szCs w:val="24"/>
          <w:lang w:val="uk-UA"/>
        </w:rPr>
        <w:t>залежить не тільки від зазначених вище факторів пацієнта, але і від особливостей препарату та інших факторів (рис. 1).</w:t>
      </w:r>
    </w:p>
    <w:p w:rsidR="00E5722B" w:rsidRDefault="00E5722B" w:rsidP="00694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533390" cy="4283005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631" cy="430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. 1. Основні фактори, що визначають ризик </w:t>
      </w:r>
      <w:r w:rsidRPr="00EA730D">
        <w:rPr>
          <w:rFonts w:ascii="Times New Roman" w:hAnsi="Times New Roman" w:cs="Times New Roman"/>
          <w:sz w:val="24"/>
          <w:szCs w:val="24"/>
        </w:rPr>
        <w:t>ЛУП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Т. Є.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Полунін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співавт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>., 2009 [9]).</w:t>
      </w: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>Звертаємо увагу</w:t>
      </w:r>
      <w:r w:rsidR="00E13ABB">
        <w:rPr>
          <w:rFonts w:ascii="Times New Roman" w:hAnsi="Times New Roman" w:cs="Times New Roman"/>
          <w:sz w:val="24"/>
          <w:szCs w:val="24"/>
          <w:lang w:val="uk-UA"/>
        </w:rPr>
        <w:t xml:space="preserve"> на те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, що рослинні препарати, усупереч поширеній думці про їхню безпеку, можуть бути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гепатотоксичними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. Описані випадки розвитку ЛУП при застосуванні чистотілу великого,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солодки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, олександрійського листа,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дубровника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, живокосту, м'яти болотної,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шлемника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, алкалоїдів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піроліз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, китайських трав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Jin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Bu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Huan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Ma-Huang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>, китайських, індійських і тайських препаратів рослинного походження для зниження ваги і «очищення»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>організму, деяких біологічно активних добавок [5].</w:t>
      </w:r>
    </w:p>
    <w:p w:rsid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Для розуміння патогенезу лікарських уражень печінки необхідно пояснити механізми метаболізму лікарських засобів. Традиційно перетворення вихідної молекули препарату до нетоксичних метаболітів відбувається </w:t>
      </w:r>
      <w:r w:rsidR="00E13AB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дві фази. У I фазу безпосередньо змінюється вихідна структура препарату: як правило, до гідроксильної групи приєднується атом кисню. У II фазу формуються ковалентні зв'язки між препаратом і полярними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гандами. У разі формування токсичних метаболітів вони можуть накопичуватися в гепатоцитах і перевищувати поріг токсичності, що призводить далі до пошкодження клітин (рис. 2). Деякі автори виділяють також III фазу - виведення метаболітів з </w:t>
      </w:r>
      <w:r w:rsidR="00E13ABB" w:rsidRPr="00EA730D">
        <w:rPr>
          <w:rFonts w:ascii="Times New Roman" w:hAnsi="Times New Roman" w:cs="Times New Roman"/>
          <w:sz w:val="24"/>
          <w:szCs w:val="24"/>
          <w:lang w:val="uk-UA"/>
        </w:rPr>
        <w:t>жовчу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і сечею [2, 16].</w:t>
      </w:r>
    </w:p>
    <w:p w:rsid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33267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730D" w:rsidRPr="00CD03DF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3DF">
        <w:rPr>
          <w:rFonts w:ascii="Times New Roman" w:hAnsi="Times New Roman" w:cs="Times New Roman"/>
          <w:sz w:val="24"/>
          <w:szCs w:val="24"/>
          <w:lang w:val="uk-UA"/>
        </w:rPr>
        <w:t xml:space="preserve">Рис. 2. </w:t>
      </w:r>
      <w:r w:rsidRPr="00CD03DF">
        <w:rPr>
          <w:rFonts w:ascii="Times New Roman" w:hAnsi="Times New Roman" w:cs="Times New Roman"/>
          <w:sz w:val="24"/>
          <w:szCs w:val="24"/>
        </w:rPr>
        <w:t xml:space="preserve">Центральна роль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токсич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CD03DF">
        <w:rPr>
          <w:rFonts w:ascii="Times New Roman" w:hAnsi="Times New Roman" w:cs="Times New Roman"/>
          <w:sz w:val="24"/>
          <w:szCs w:val="24"/>
        </w:rPr>
        <w:t xml:space="preserve">их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метабол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D03D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D03D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медикаментозном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D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D03DF">
        <w:rPr>
          <w:rFonts w:ascii="Times New Roman" w:hAnsi="Times New Roman" w:cs="Times New Roman"/>
          <w:sz w:val="24"/>
          <w:szCs w:val="24"/>
        </w:rPr>
        <w:t>ражен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Pr="00CD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печ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інк</w:t>
      </w:r>
      <w:r w:rsidRPr="00CD03DF">
        <w:rPr>
          <w:rFonts w:ascii="Times New Roman" w:hAnsi="Times New Roman" w:cs="Times New Roman"/>
          <w:sz w:val="24"/>
          <w:szCs w:val="24"/>
        </w:rPr>
        <w:t>и (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CD03DF">
        <w:rPr>
          <w:rFonts w:ascii="Times New Roman" w:hAnsi="Times New Roman" w:cs="Times New Roman"/>
          <w:sz w:val="24"/>
          <w:szCs w:val="24"/>
        </w:rPr>
        <w:t xml:space="preserve"> Ю.</w:t>
      </w:r>
      <w:r w:rsidRPr="00CD0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03DF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Шифф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зі</w:t>
      </w:r>
      <w:r w:rsidRPr="00CD03DF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пів</w:t>
      </w:r>
      <w:r w:rsidRPr="00CD03DF">
        <w:rPr>
          <w:rFonts w:ascii="Times New Roman" w:hAnsi="Times New Roman" w:cs="Times New Roman"/>
          <w:sz w:val="24"/>
          <w:szCs w:val="24"/>
        </w:rPr>
        <w:t>авт., 2011 [</w:t>
      </w:r>
      <w:r w:rsidRPr="00CD03DF">
        <w:rPr>
          <w:rFonts w:ascii="Times New Roman" w:hAnsi="Times New Roman" w:cs="Times New Roman"/>
          <w:sz w:val="24"/>
          <w:szCs w:val="24"/>
        </w:rPr>
        <w:fldChar w:fldCharType="begin"/>
      </w:r>
      <w:r w:rsidRPr="00CD03DF">
        <w:rPr>
          <w:rFonts w:ascii="Times New Roman" w:hAnsi="Times New Roman" w:cs="Times New Roman"/>
          <w:sz w:val="24"/>
          <w:szCs w:val="24"/>
        </w:rPr>
        <w:instrText xml:space="preserve"> REF _Ref24057740 \r \h </w:instrText>
      </w:r>
      <w:r w:rsidRPr="00CD03DF">
        <w:rPr>
          <w:rFonts w:ascii="Times New Roman" w:hAnsi="Times New Roman" w:cs="Times New Roman"/>
          <w:sz w:val="24"/>
          <w:szCs w:val="24"/>
        </w:rPr>
      </w:r>
      <w:r w:rsidRPr="00CD03DF">
        <w:rPr>
          <w:rFonts w:ascii="Times New Roman" w:hAnsi="Times New Roman" w:cs="Times New Roman"/>
          <w:sz w:val="24"/>
          <w:szCs w:val="24"/>
        </w:rPr>
        <w:fldChar w:fldCharType="separate"/>
      </w:r>
      <w:r w:rsidRPr="00CD03DF">
        <w:rPr>
          <w:rFonts w:ascii="Times New Roman" w:hAnsi="Times New Roman" w:cs="Times New Roman"/>
          <w:sz w:val="24"/>
          <w:szCs w:val="24"/>
        </w:rPr>
        <w:t>16</w:t>
      </w:r>
      <w:r w:rsidRPr="00CD03DF">
        <w:rPr>
          <w:rFonts w:ascii="Times New Roman" w:hAnsi="Times New Roman" w:cs="Times New Roman"/>
          <w:sz w:val="24"/>
          <w:szCs w:val="24"/>
        </w:rPr>
        <w:fldChar w:fldCharType="end"/>
      </w:r>
      <w:r w:rsidRPr="00CD03DF">
        <w:rPr>
          <w:rFonts w:ascii="Times New Roman" w:hAnsi="Times New Roman" w:cs="Times New Roman"/>
          <w:sz w:val="24"/>
          <w:szCs w:val="24"/>
        </w:rPr>
        <w:t>]).</w:t>
      </w:r>
    </w:p>
    <w:p w:rsidR="00EA730D" w:rsidRPr="00CD03DF" w:rsidRDefault="00EA730D" w:rsidP="00EA7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Метаболізм препаратів </w:t>
      </w:r>
      <w:r w:rsidR="00E13AB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I фазу відбувається під дією великої кількості ферментів, які об'єднуються з системою цитохрому Р450 (CYP). Принципово важливих ферментів, які беруть участь у метаболізмі лікарських препаратів, відносно небагато, їх відносять до трьох генетични</w:t>
      </w:r>
      <w:r w:rsidR="0053517C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родин, які позначають CYP1, CYP2, CYP3.</w:t>
      </w: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>До складу кожного сімейства P450 входять підродини, їх позначають великими літерами. До кожно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підродини відноситься безліч ферментів, які позначають арабськими цифрами.</w:t>
      </w: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Що стосується ферментів II фази, які беруть участь в процесі формування і виведення метаболітів, то найкраще вивчені уридин-5-дифосфат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глюкурон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>лтрансфераза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сульфотрансфераза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>Шляхи реалізації ураження печінкової тканини включають як прям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дозоза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лежну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токсичну дію («передбачуван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>»), так і незалежну від дози ідіосинкразію до лікарського препарату («непередбачуван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>») [1, 2, 11, 12].</w:t>
      </w: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>Виділяють 4 основн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механізми патологічно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дії лікарських засобів на печінку [5]:</w:t>
      </w: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>- пряма токсична дія на гепатоцити;</w:t>
      </w: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>- токсична дія метаболітів лікарських засобів;</w:t>
      </w: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імуноалергі</w:t>
      </w:r>
      <w:r w:rsidR="00E13ABB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ураження печінки;</w:t>
      </w: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>- ідіосинкразі</w:t>
      </w:r>
      <w:r w:rsidR="00E13ABB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Проникнення ліків в гепатоцит залежить від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ліпофільності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медикаментів. Здатність розчинятися в жирах є найважливішим фактором, який необхідно враховувати при призначенні медикаментів, 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оскільки в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ін має великий вплив на потрапляння медикаменту в системну циркуляцію і проникнення в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ентероц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. Ліки з незначною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>поф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>стю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погано абсорбуються і виводяться з каловими масами, а в комплексі з протеїном, зазвичай альбуміном, мають високу проникність в різні тканини. Практично всі лікарські препарати, призначені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per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os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, потрапляють 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печінку. Ступінь печінкової екскреції медикаментів залежить від печінкового кровотоку і активності метаболітів лікарських ензимів. У печінкових синусоїдах білки, пов'язані ферментами як полярні компоненти, дифундують до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ендотеліальних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ретикулум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і через простір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Діссе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надходять </w:t>
      </w:r>
      <w:r w:rsidR="00E13AB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гепатоцити.</w:t>
      </w:r>
    </w:p>
    <w:p w:rsidR="00EA730D" w:rsidRP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Деякі водорозчинні молекули повертаються до синусоїди, інші проникають в </w:t>
      </w:r>
      <w:proofErr w:type="spellStart"/>
      <w:r w:rsidRPr="00EA730D">
        <w:rPr>
          <w:rFonts w:ascii="Times New Roman" w:hAnsi="Times New Roman" w:cs="Times New Roman"/>
          <w:sz w:val="24"/>
          <w:szCs w:val="24"/>
          <w:lang w:val="uk-UA"/>
        </w:rPr>
        <w:t>біліарн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канальці [9].</w:t>
      </w:r>
    </w:p>
    <w:p w:rsidR="00EA730D" w:rsidRDefault="00EA730D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30D">
        <w:rPr>
          <w:rFonts w:ascii="Times New Roman" w:hAnsi="Times New Roman" w:cs="Times New Roman"/>
          <w:sz w:val="24"/>
          <w:szCs w:val="24"/>
          <w:lang w:val="uk-UA"/>
        </w:rPr>
        <w:t>На рис. 3 представлен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A730D">
        <w:rPr>
          <w:rFonts w:ascii="Times New Roman" w:hAnsi="Times New Roman" w:cs="Times New Roman"/>
          <w:sz w:val="24"/>
          <w:szCs w:val="24"/>
          <w:lang w:val="uk-UA"/>
        </w:rPr>
        <w:t xml:space="preserve"> приклад лікарського пошкодження печінки.</w:t>
      </w:r>
    </w:p>
    <w:p w:rsidR="0043462A" w:rsidRDefault="0043462A" w:rsidP="00EA73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</w:rPr>
        <w:drawing>
          <wp:inline distT="0" distB="0" distL="0" distR="0">
            <wp:extent cx="5940425" cy="390144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5F9" w:rsidRPr="00CD03DF" w:rsidRDefault="008D25F9" w:rsidP="008D2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25F9" w:rsidRDefault="008D25F9" w:rsidP="008D2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3DF">
        <w:rPr>
          <w:rFonts w:ascii="Times New Roman" w:hAnsi="Times New Roman" w:cs="Times New Roman"/>
          <w:sz w:val="24"/>
          <w:szCs w:val="24"/>
          <w:lang w:val="uk-UA"/>
        </w:rPr>
        <w:t xml:space="preserve">Рис. 3.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Механ</w:t>
      </w:r>
      <w:proofErr w:type="spellEnd"/>
      <w:r w:rsidR="0043462A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зм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холестаз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D03DF">
        <w:rPr>
          <w:rFonts w:ascii="Times New Roman" w:hAnsi="Times New Roman" w:cs="Times New Roman"/>
          <w:sz w:val="24"/>
          <w:szCs w:val="24"/>
        </w:rPr>
        <w:t xml:space="preserve"> (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CD03DF">
        <w:rPr>
          <w:rFonts w:ascii="Times New Roman" w:hAnsi="Times New Roman" w:cs="Times New Roman"/>
          <w:sz w:val="24"/>
          <w:szCs w:val="24"/>
        </w:rPr>
        <w:t xml:space="preserve"> В.</w:t>
      </w:r>
      <w:r w:rsidRPr="00CD0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03DF">
        <w:rPr>
          <w:rFonts w:ascii="Times New Roman" w:hAnsi="Times New Roman" w:cs="Times New Roman"/>
          <w:sz w:val="24"/>
          <w:szCs w:val="24"/>
        </w:rPr>
        <w:t>М. Фролов</w:t>
      </w:r>
      <w:proofErr w:type="spellStart"/>
      <w:r w:rsidR="0043462A">
        <w:rPr>
          <w:rFonts w:ascii="Times New Roman" w:hAnsi="Times New Roman" w:cs="Times New Roman"/>
          <w:sz w:val="24"/>
          <w:szCs w:val="24"/>
          <w:lang w:val="uk-UA"/>
        </w:rPr>
        <w:t>им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зі</w:t>
      </w:r>
      <w:r w:rsidRPr="00CD03DF">
        <w:rPr>
          <w:rFonts w:ascii="Times New Roman" w:hAnsi="Times New Roman" w:cs="Times New Roman"/>
          <w:sz w:val="24"/>
          <w:szCs w:val="24"/>
        </w:rPr>
        <w:t xml:space="preserve"> с</w:t>
      </w:r>
      <w:r w:rsidR="0043462A">
        <w:rPr>
          <w:rFonts w:ascii="Times New Roman" w:hAnsi="Times New Roman" w:cs="Times New Roman"/>
          <w:sz w:val="24"/>
          <w:szCs w:val="24"/>
          <w:lang w:val="uk-UA"/>
        </w:rPr>
        <w:t>пів</w:t>
      </w:r>
      <w:r w:rsidRPr="00CD03DF">
        <w:rPr>
          <w:rFonts w:ascii="Times New Roman" w:hAnsi="Times New Roman" w:cs="Times New Roman"/>
          <w:sz w:val="24"/>
          <w:szCs w:val="24"/>
        </w:rPr>
        <w:t>авт., 1994 [</w:t>
      </w:r>
      <w:r w:rsidR="0074183D" w:rsidRPr="00CD03DF">
        <w:rPr>
          <w:rFonts w:ascii="Times New Roman" w:hAnsi="Times New Roman" w:cs="Times New Roman"/>
          <w:sz w:val="24"/>
          <w:szCs w:val="24"/>
        </w:rPr>
        <w:fldChar w:fldCharType="begin"/>
      </w:r>
      <w:r w:rsidR="0074183D" w:rsidRPr="00CD03DF">
        <w:rPr>
          <w:rFonts w:ascii="Times New Roman" w:hAnsi="Times New Roman" w:cs="Times New Roman"/>
          <w:sz w:val="24"/>
          <w:szCs w:val="24"/>
        </w:rPr>
        <w:instrText xml:space="preserve"> REF _Ref24057848 \r \h </w:instrText>
      </w:r>
      <w:r w:rsidR="0074183D" w:rsidRPr="00CD03DF">
        <w:rPr>
          <w:rFonts w:ascii="Times New Roman" w:hAnsi="Times New Roman" w:cs="Times New Roman"/>
          <w:sz w:val="24"/>
          <w:szCs w:val="24"/>
        </w:rPr>
      </w:r>
      <w:r w:rsidR="0074183D" w:rsidRPr="00CD03DF">
        <w:rPr>
          <w:rFonts w:ascii="Times New Roman" w:hAnsi="Times New Roman" w:cs="Times New Roman"/>
          <w:sz w:val="24"/>
          <w:szCs w:val="24"/>
        </w:rPr>
        <w:fldChar w:fldCharType="separate"/>
      </w:r>
      <w:r w:rsidR="00FF3578" w:rsidRPr="00CD03DF">
        <w:rPr>
          <w:rFonts w:ascii="Times New Roman" w:hAnsi="Times New Roman" w:cs="Times New Roman"/>
          <w:sz w:val="24"/>
          <w:szCs w:val="24"/>
        </w:rPr>
        <w:t>14</w:t>
      </w:r>
      <w:r w:rsidR="0074183D" w:rsidRPr="00CD03DF">
        <w:rPr>
          <w:rFonts w:ascii="Times New Roman" w:hAnsi="Times New Roman" w:cs="Times New Roman"/>
          <w:sz w:val="24"/>
          <w:szCs w:val="24"/>
        </w:rPr>
        <w:fldChar w:fldCharType="end"/>
      </w:r>
      <w:r w:rsidRPr="00CD03DF">
        <w:rPr>
          <w:rFonts w:ascii="Times New Roman" w:hAnsi="Times New Roman" w:cs="Times New Roman"/>
          <w:sz w:val="24"/>
          <w:szCs w:val="24"/>
        </w:rPr>
        <w:t>]).</w:t>
      </w:r>
    </w:p>
    <w:p w:rsidR="0043462A" w:rsidRDefault="0043462A" w:rsidP="008D2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3462A" w:rsidRPr="0043462A" w:rsidRDefault="0043462A" w:rsidP="004346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462A">
        <w:rPr>
          <w:rFonts w:ascii="Times New Roman" w:hAnsi="Times New Roman" w:cs="Times New Roman"/>
          <w:sz w:val="24"/>
          <w:szCs w:val="24"/>
          <w:lang w:val="uk-UA"/>
        </w:rPr>
        <w:t>Токсичн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лікарський засіб блокує транспорт жовчних кислот, пошкоджує клітини жовчних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проток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і гепатоцитів, викликаючи легкий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холестаз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. Акумуляція жовчних кислот підсилює шкідливу дію за рахунок виникнення змішаної реакції, що включає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холестаз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і цитоліз. Особливістю лікарського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холестазу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є мікроскопічний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холангіт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, виявляється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ураженням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клітин дрібних жовчних ходів [9].</w:t>
      </w:r>
    </w:p>
    <w:p w:rsidR="0043462A" w:rsidRPr="00730AFE" w:rsidRDefault="0043462A" w:rsidP="004346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0AFE">
        <w:rPr>
          <w:rFonts w:ascii="Times New Roman" w:hAnsi="Times New Roman" w:cs="Times New Roman"/>
          <w:sz w:val="24"/>
          <w:szCs w:val="24"/>
          <w:lang w:val="uk-UA"/>
        </w:rPr>
        <w:t xml:space="preserve">Лікарсько індукований </w:t>
      </w:r>
      <w:proofErr w:type="spellStart"/>
      <w:r w:rsidRPr="00730AFE">
        <w:rPr>
          <w:rFonts w:ascii="Times New Roman" w:hAnsi="Times New Roman" w:cs="Times New Roman"/>
          <w:sz w:val="24"/>
          <w:szCs w:val="24"/>
          <w:lang w:val="uk-UA"/>
        </w:rPr>
        <w:t>холестаз</w:t>
      </w:r>
      <w:proofErr w:type="spellEnd"/>
      <w:r w:rsidRPr="00730AFE">
        <w:rPr>
          <w:rFonts w:ascii="Times New Roman" w:hAnsi="Times New Roman" w:cs="Times New Roman"/>
          <w:sz w:val="24"/>
          <w:szCs w:val="24"/>
          <w:lang w:val="uk-UA"/>
        </w:rPr>
        <w:t xml:space="preserve"> розвивається за участю трьох механізмів [5]:</w:t>
      </w:r>
    </w:p>
    <w:p w:rsidR="0043462A" w:rsidRPr="00730AFE" w:rsidRDefault="0043462A" w:rsidP="004346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0AFE">
        <w:rPr>
          <w:rFonts w:ascii="Times New Roman" w:hAnsi="Times New Roman" w:cs="Times New Roman"/>
          <w:sz w:val="24"/>
          <w:szCs w:val="24"/>
          <w:lang w:val="uk-UA"/>
        </w:rPr>
        <w:t>- обструкція дрібних (</w:t>
      </w:r>
      <w:proofErr w:type="spellStart"/>
      <w:r w:rsidRPr="00730AFE">
        <w:rPr>
          <w:rFonts w:ascii="Times New Roman" w:hAnsi="Times New Roman" w:cs="Times New Roman"/>
          <w:sz w:val="24"/>
          <w:szCs w:val="24"/>
          <w:lang w:val="uk-UA"/>
        </w:rPr>
        <w:t>холангіоліт</w:t>
      </w:r>
      <w:proofErr w:type="spellEnd"/>
      <w:r w:rsidRPr="00730AFE">
        <w:rPr>
          <w:rFonts w:ascii="Times New Roman" w:hAnsi="Times New Roman" w:cs="Times New Roman"/>
          <w:sz w:val="24"/>
          <w:szCs w:val="24"/>
          <w:lang w:val="uk-UA"/>
        </w:rPr>
        <w:t xml:space="preserve">) або </w:t>
      </w:r>
      <w:proofErr w:type="spellStart"/>
      <w:r w:rsidRPr="00730AFE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30AFE">
        <w:rPr>
          <w:rFonts w:ascii="Times New Roman" w:hAnsi="Times New Roman" w:cs="Times New Roman"/>
          <w:sz w:val="24"/>
          <w:szCs w:val="24"/>
          <w:lang w:val="uk-UA"/>
        </w:rPr>
        <w:t>ждолевих</w:t>
      </w:r>
      <w:proofErr w:type="spellEnd"/>
      <w:r w:rsidRPr="00730AF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730AFE">
        <w:rPr>
          <w:rFonts w:ascii="Times New Roman" w:hAnsi="Times New Roman" w:cs="Times New Roman"/>
          <w:sz w:val="24"/>
          <w:szCs w:val="24"/>
          <w:lang w:val="uk-UA"/>
        </w:rPr>
        <w:t>холангіт</w:t>
      </w:r>
      <w:proofErr w:type="spellEnd"/>
      <w:r w:rsidRPr="00730AFE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730AFE">
        <w:rPr>
          <w:rFonts w:ascii="Times New Roman" w:hAnsi="Times New Roman" w:cs="Times New Roman"/>
          <w:sz w:val="24"/>
          <w:szCs w:val="24"/>
          <w:lang w:val="uk-UA"/>
        </w:rPr>
        <w:t>проток</w:t>
      </w:r>
      <w:proofErr w:type="spellEnd"/>
      <w:r w:rsidRPr="00730AFE">
        <w:rPr>
          <w:rFonts w:ascii="Times New Roman" w:hAnsi="Times New Roman" w:cs="Times New Roman"/>
          <w:sz w:val="24"/>
          <w:szCs w:val="24"/>
          <w:lang w:val="uk-UA"/>
        </w:rPr>
        <w:t xml:space="preserve"> (може п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еребіг</w:t>
      </w:r>
      <w:r w:rsidRPr="00730AFE">
        <w:rPr>
          <w:rFonts w:ascii="Times New Roman" w:hAnsi="Times New Roman" w:cs="Times New Roman"/>
          <w:sz w:val="24"/>
          <w:szCs w:val="24"/>
          <w:lang w:val="uk-UA"/>
        </w:rPr>
        <w:t>ати гостро і вирішуватися самостійно після відміни препарату або приймати затяжний перебіг, при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30AFE">
        <w:rPr>
          <w:rFonts w:ascii="Times New Roman" w:hAnsi="Times New Roman" w:cs="Times New Roman"/>
          <w:sz w:val="24"/>
          <w:szCs w:val="24"/>
          <w:lang w:val="uk-UA"/>
        </w:rPr>
        <w:t xml:space="preserve">водити до вторинного </w:t>
      </w:r>
      <w:proofErr w:type="spellStart"/>
      <w:r w:rsidRPr="00730AFE">
        <w:rPr>
          <w:rFonts w:ascii="Times New Roman" w:hAnsi="Times New Roman" w:cs="Times New Roman"/>
          <w:sz w:val="24"/>
          <w:szCs w:val="24"/>
          <w:lang w:val="uk-UA"/>
        </w:rPr>
        <w:t>біліарного</w:t>
      </w:r>
      <w:proofErr w:type="spellEnd"/>
      <w:r w:rsidRPr="00730AFE">
        <w:rPr>
          <w:rFonts w:ascii="Times New Roman" w:hAnsi="Times New Roman" w:cs="Times New Roman"/>
          <w:sz w:val="24"/>
          <w:szCs w:val="24"/>
          <w:lang w:val="uk-UA"/>
        </w:rPr>
        <w:t xml:space="preserve"> цирозу печінки);</w:t>
      </w:r>
    </w:p>
    <w:p w:rsidR="0043462A" w:rsidRPr="0043462A" w:rsidRDefault="0043462A" w:rsidP="004346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- порушення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гепатоцелюлярної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секреції жовчі (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холестатичний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гепатит);</w:t>
      </w:r>
    </w:p>
    <w:p w:rsidR="0043462A" w:rsidRPr="0043462A" w:rsidRDefault="0043462A" w:rsidP="004346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730AFE"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>печ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інкова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обструкція (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склерозуючий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холангіт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3462A" w:rsidRPr="0043462A" w:rsidRDefault="0043462A" w:rsidP="004346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Лікарсько індукований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холестаз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може носити запальний (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алопуринол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амітриптилін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азатіоприн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каптоприл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карбамазепін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>) і застійний (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анаболічні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стероїди, андрогени,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естрогени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, пероральні контрацептиви,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фенітоїн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>) характер.</w:t>
      </w:r>
    </w:p>
    <w:p w:rsidR="0043462A" w:rsidRPr="0043462A" w:rsidRDefault="0043462A" w:rsidP="004346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Імуноалергі</w:t>
      </w:r>
      <w:r w:rsidR="00761688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розвиваються за рахунок реакцій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гіперчутливості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уповільнено</w:t>
      </w:r>
      <w:r w:rsidR="00761688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типу на лікарський засіб. Характерні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гранулематозне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ураження печінки і системні прояви. Процес може придбати а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тоімунний характер з появою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антинуклеарних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="00730AF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>нтимікросомальн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антитіл. Однак, на відміну від істинного а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тоімунного гепатиту, при лікарсько індукованому варіанті процес припиняється після відміни </w:t>
      </w:r>
      <w:r w:rsidR="00730AFE" w:rsidRPr="0043462A">
        <w:rPr>
          <w:rFonts w:ascii="Times New Roman" w:hAnsi="Times New Roman" w:cs="Times New Roman"/>
          <w:sz w:val="24"/>
          <w:szCs w:val="24"/>
          <w:lang w:val="uk-UA"/>
        </w:rPr>
        <w:t>препарату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730AFE"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його 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>викликав.</w:t>
      </w:r>
    </w:p>
    <w:p w:rsidR="0043462A" w:rsidRPr="0043462A" w:rsidRDefault="0043462A" w:rsidP="004346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Важливо також знати, що 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ділять на ураження з переважанням цитолізу (некроз зони 3 печінкової часточки,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стеатогепатит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>, гострий гепатит, алергі</w:t>
      </w:r>
      <w:r w:rsidR="00761688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ні реакції, фіброз),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холестазу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канальцевий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паренх</w:t>
      </w:r>
      <w:r w:rsidR="00D7401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>матозно-канальцевий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дуктулярн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холестаз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сладж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синдром), судинних реакцій (розширення печінкових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синусоїдів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пеліоз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веноокклюз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ійна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хвороба) і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неопластич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ної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трансформації (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гепатоцелюлярна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аденома).</w:t>
      </w:r>
    </w:p>
    <w:p w:rsidR="0043462A" w:rsidRPr="0043462A" w:rsidRDefault="0043462A" w:rsidP="004346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462A">
        <w:rPr>
          <w:rFonts w:ascii="Times New Roman" w:hAnsi="Times New Roman" w:cs="Times New Roman"/>
          <w:sz w:val="24"/>
          <w:szCs w:val="24"/>
          <w:lang w:val="uk-UA"/>
        </w:rPr>
        <w:t>Прям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гепатотоксична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дія лікарських препаратів 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proofErr w:type="spellStart"/>
      <w:r w:rsidR="00730AFE">
        <w:rPr>
          <w:rFonts w:ascii="Times New Roman" w:hAnsi="Times New Roman" w:cs="Times New Roman"/>
          <w:sz w:val="24"/>
          <w:szCs w:val="24"/>
          <w:lang w:val="uk-UA"/>
        </w:rPr>
        <w:t>дозозалежною</w:t>
      </w:r>
      <w:proofErr w:type="spellEnd"/>
      <w:r w:rsidR="00730AF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передбачуван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>, отже, в ряді випадків можлива профілактика ЛУП.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>Прям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гепатотоксичні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реакції розвиваються по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цитол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>тич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ному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гепатоцелюлярний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>, паренхіматозни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холестатичн</w:t>
      </w:r>
      <w:r w:rsidR="00730AFE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або змішано</w:t>
      </w:r>
      <w:r w:rsidR="00034FDC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варіанту (табл. 1).</w:t>
      </w:r>
    </w:p>
    <w:p w:rsidR="0043462A" w:rsidRPr="0043462A" w:rsidRDefault="0043462A" w:rsidP="004346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462A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p w:rsidR="0043462A" w:rsidRDefault="0043462A" w:rsidP="00761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</w:t>
      </w:r>
      <w:r w:rsidR="00034FDC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34FDC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Council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Organizations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Medical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462A">
        <w:rPr>
          <w:rFonts w:ascii="Times New Roman" w:hAnsi="Times New Roman" w:cs="Times New Roman"/>
          <w:sz w:val="24"/>
          <w:szCs w:val="24"/>
          <w:lang w:val="uk-UA"/>
        </w:rPr>
        <w:t>Sciences</w:t>
      </w:r>
      <w:proofErr w:type="spellEnd"/>
      <w:r w:rsidRPr="0043462A">
        <w:rPr>
          <w:rFonts w:ascii="Times New Roman" w:hAnsi="Times New Roman" w:cs="Times New Roman"/>
          <w:sz w:val="24"/>
          <w:szCs w:val="24"/>
          <w:lang w:val="uk-UA"/>
        </w:rPr>
        <w:t>, 1993 [6])</w:t>
      </w:r>
    </w:p>
    <w:p w:rsidR="00761688" w:rsidRPr="0043462A" w:rsidRDefault="00761688" w:rsidP="00761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2"/>
        <w:gridCol w:w="1135"/>
        <w:gridCol w:w="1132"/>
        <w:gridCol w:w="1608"/>
        <w:gridCol w:w="3148"/>
      </w:tblGrid>
      <w:tr w:rsidR="00444C10" w:rsidRPr="00CD03DF" w:rsidTr="00034FDC">
        <w:tc>
          <w:tcPr>
            <w:tcW w:w="2322" w:type="dxa"/>
          </w:tcPr>
          <w:p w:rsidR="00FA37AD" w:rsidRPr="00CD03DF" w:rsidRDefault="00FA37AD" w:rsidP="0078580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FA37AD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</w:p>
        </w:tc>
        <w:tc>
          <w:tcPr>
            <w:tcW w:w="1132" w:type="dxa"/>
          </w:tcPr>
          <w:p w:rsidR="00FA37AD" w:rsidRPr="00CD03DF" w:rsidRDefault="00034FDC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608" w:type="dxa"/>
          </w:tcPr>
          <w:p w:rsidR="00FA37AD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АЛТ/</w:t>
            </w:r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148" w:type="dxa"/>
          </w:tcPr>
          <w:p w:rsidR="00FA37AD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67186" w:rsidRPr="00CD03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арські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засоби</w:t>
            </w:r>
          </w:p>
        </w:tc>
      </w:tr>
      <w:tr w:rsidR="00444C10" w:rsidRPr="00CD03DF" w:rsidTr="00034FDC">
        <w:tc>
          <w:tcPr>
            <w:tcW w:w="2322" w:type="dxa"/>
          </w:tcPr>
          <w:p w:rsidR="00444C10" w:rsidRPr="00034FDC" w:rsidRDefault="00444C10" w:rsidP="00785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Гепатоцелюлярн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135" w:type="dxa"/>
          </w:tcPr>
          <w:p w:rsidR="00444C10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132" w:type="dxa"/>
          </w:tcPr>
          <w:p w:rsidR="00444C10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608" w:type="dxa"/>
          </w:tcPr>
          <w:p w:rsidR="00444C10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&gt;5</w:t>
            </w:r>
          </w:p>
        </w:tc>
        <w:tc>
          <w:tcPr>
            <w:tcW w:w="3148" w:type="dxa"/>
          </w:tcPr>
          <w:p w:rsidR="00444C10" w:rsidRPr="00CD03DF" w:rsidRDefault="00444C10" w:rsidP="00067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одарон</w:t>
            </w:r>
            <w:proofErr w:type="spellEnd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, НП</w:t>
            </w:r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, мето</w:t>
            </w:r>
            <w:r w:rsidR="00067186" w:rsidRPr="00CD03DF">
              <w:rPr>
                <w:rFonts w:ascii="Times New Roman" w:hAnsi="Times New Roman" w:cs="Times New Roman"/>
                <w:sz w:val="24"/>
                <w:szCs w:val="24"/>
              </w:rPr>
              <w:t>трек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сат, </w:t>
            </w:r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азид, 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  <w:proofErr w:type="spellEnd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4C10" w:rsidRPr="00CD03DF" w:rsidRDefault="00444C10" w:rsidP="00067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статины</w:t>
            </w:r>
            <w:proofErr w:type="spellEnd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  <w:proofErr w:type="spellEnd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7186" w:rsidRPr="00CD03DF">
              <w:rPr>
                <w:rFonts w:ascii="Times New Roman" w:hAnsi="Times New Roman" w:cs="Times New Roman"/>
                <w:sz w:val="24"/>
                <w:szCs w:val="24"/>
              </w:rPr>
              <w:t>амок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сицил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клавуланова</w:t>
            </w:r>
            <w:proofErr w:type="spellEnd"/>
          </w:p>
          <w:p w:rsidR="00444C10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кислота</w:t>
            </w:r>
          </w:p>
        </w:tc>
      </w:tr>
      <w:tr w:rsidR="00444C10" w:rsidRPr="00CD03DF" w:rsidTr="00034FDC">
        <w:tc>
          <w:tcPr>
            <w:tcW w:w="2322" w:type="dxa"/>
          </w:tcPr>
          <w:p w:rsidR="00444C10" w:rsidRPr="00034FDC" w:rsidRDefault="00444C10" w:rsidP="00785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Холестатич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135" w:type="dxa"/>
          </w:tcPr>
          <w:p w:rsidR="00444C10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132" w:type="dxa"/>
          </w:tcPr>
          <w:p w:rsidR="00444C10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608" w:type="dxa"/>
          </w:tcPr>
          <w:p w:rsidR="00444C10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  <w:tc>
          <w:tcPr>
            <w:tcW w:w="3148" w:type="dxa"/>
          </w:tcPr>
          <w:p w:rsidR="00444C10" w:rsidRPr="00CD03DF" w:rsidRDefault="00444C10" w:rsidP="00067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Анабол</w:t>
            </w:r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ічні</w:t>
            </w:r>
            <w:proofErr w:type="spellEnd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стеро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їди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4C10" w:rsidRPr="00CD03DF" w:rsidRDefault="00067186" w:rsidP="00067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клоп</w:t>
            </w:r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догрел</w:t>
            </w:r>
            <w:proofErr w:type="spellEnd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оральн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 кон</w:t>
            </w:r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>трацептив</w:t>
            </w:r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proofErr w:type="spellStart"/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>ритром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>цин</w:t>
            </w:r>
            <w:proofErr w:type="spellEnd"/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4C10" w:rsidRPr="00CD03DF" w:rsidRDefault="00067186" w:rsidP="00067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амоксицил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клавулано</w:t>
            </w:r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</w:tr>
      <w:tr w:rsidR="00444C10" w:rsidRPr="00CD03DF" w:rsidTr="00034FDC">
        <w:tc>
          <w:tcPr>
            <w:tcW w:w="2322" w:type="dxa"/>
          </w:tcPr>
          <w:p w:rsidR="00444C10" w:rsidRPr="00034FDC" w:rsidRDefault="00034FDC" w:rsidP="00785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Змішані</w:t>
            </w:r>
          </w:p>
        </w:tc>
        <w:tc>
          <w:tcPr>
            <w:tcW w:w="1135" w:type="dxa"/>
          </w:tcPr>
          <w:p w:rsidR="00444C10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  <w:tc>
          <w:tcPr>
            <w:tcW w:w="1132" w:type="dxa"/>
          </w:tcPr>
          <w:p w:rsidR="00444C10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  <w:tc>
          <w:tcPr>
            <w:tcW w:w="1608" w:type="dxa"/>
          </w:tcPr>
          <w:p w:rsidR="00444C10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7186" w:rsidRPr="00CD03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</w:tcPr>
          <w:p w:rsidR="00444C10" w:rsidRPr="00CD03DF" w:rsidRDefault="00067186" w:rsidP="000671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триптил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оприн</w:t>
            </w:r>
            <w:proofErr w:type="spellEnd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верапам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л, </w:t>
            </w: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сульфа</w:t>
            </w:r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>лам</w:t>
            </w:r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іди</w:t>
            </w:r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>фенобарб</w:t>
            </w:r>
            <w:proofErr w:type="spellEnd"/>
            <w:r w:rsidR="0003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444C10" w:rsidRPr="00CD03DF">
              <w:rPr>
                <w:rFonts w:ascii="Times New Roman" w:hAnsi="Times New Roman" w:cs="Times New Roman"/>
                <w:sz w:val="24"/>
                <w:szCs w:val="24"/>
              </w:rPr>
              <w:t>тал,</w:t>
            </w:r>
          </w:p>
          <w:p w:rsidR="00444C10" w:rsidRPr="00CD03DF" w:rsidRDefault="00444C10" w:rsidP="0006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3DF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  <w:proofErr w:type="spellEnd"/>
          </w:p>
        </w:tc>
      </w:tr>
    </w:tbl>
    <w:p w:rsidR="00FA37AD" w:rsidRDefault="00067186" w:rsidP="007858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3DF">
        <w:rPr>
          <w:rFonts w:ascii="Times New Roman" w:hAnsi="Times New Roman" w:cs="Times New Roman"/>
          <w:sz w:val="24"/>
          <w:szCs w:val="24"/>
        </w:rPr>
        <w:t>Прим</w:t>
      </w:r>
      <w:proofErr w:type="spellStart"/>
      <w:r w:rsidR="00034FDC">
        <w:rPr>
          <w:rFonts w:ascii="Times New Roman" w:hAnsi="Times New Roman" w:cs="Times New Roman"/>
          <w:sz w:val="24"/>
          <w:szCs w:val="24"/>
          <w:lang w:val="uk-UA"/>
        </w:rPr>
        <w:t>ітка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>:</w:t>
      </w:r>
      <w:r w:rsidR="00444C10" w:rsidRPr="00CD03DF">
        <w:rPr>
          <w:rFonts w:ascii="Times New Roman" w:hAnsi="Times New Roman" w:cs="Times New Roman"/>
          <w:sz w:val="24"/>
          <w:szCs w:val="24"/>
        </w:rPr>
        <w:t xml:space="preserve"> АЛТ — алан</w:t>
      </w:r>
      <w:r w:rsidR="00034FD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44C10" w:rsidRPr="00CD03DF">
        <w:rPr>
          <w:rFonts w:ascii="Times New Roman" w:hAnsi="Times New Roman" w:cs="Times New Roman"/>
          <w:sz w:val="24"/>
          <w:szCs w:val="24"/>
        </w:rPr>
        <w:t>нам</w:t>
      </w:r>
      <w:r w:rsidR="00034FDC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="00444C10" w:rsidRPr="00CD03DF">
        <w:rPr>
          <w:rFonts w:ascii="Times New Roman" w:hAnsi="Times New Roman" w:cs="Times New Roman"/>
          <w:sz w:val="24"/>
          <w:szCs w:val="24"/>
        </w:rPr>
        <w:t>нотрасфераза</w:t>
      </w:r>
      <w:proofErr w:type="spellEnd"/>
      <w:r w:rsidR="00444C10" w:rsidRPr="00CD03DF">
        <w:rPr>
          <w:rFonts w:ascii="Times New Roman" w:hAnsi="Times New Roman" w:cs="Times New Roman"/>
          <w:sz w:val="24"/>
          <w:szCs w:val="24"/>
        </w:rPr>
        <w:t xml:space="preserve">, </w:t>
      </w:r>
      <w:r w:rsidR="00034FDC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444C10" w:rsidRPr="00CD03DF">
        <w:rPr>
          <w:rFonts w:ascii="Times New Roman" w:hAnsi="Times New Roman" w:cs="Times New Roman"/>
          <w:sz w:val="24"/>
          <w:szCs w:val="24"/>
        </w:rPr>
        <w:t xml:space="preserve">Ф — </w:t>
      </w:r>
      <w:r w:rsidR="00034FDC">
        <w:rPr>
          <w:rFonts w:ascii="Times New Roman" w:hAnsi="Times New Roman" w:cs="Times New Roman"/>
          <w:sz w:val="24"/>
          <w:szCs w:val="24"/>
          <w:lang w:val="uk-UA"/>
        </w:rPr>
        <w:t>лужна</w:t>
      </w:r>
      <w:r w:rsidR="00444C10" w:rsidRPr="00CD03DF">
        <w:rPr>
          <w:rFonts w:ascii="Times New Roman" w:hAnsi="Times New Roman" w:cs="Times New Roman"/>
          <w:sz w:val="24"/>
          <w:szCs w:val="24"/>
        </w:rPr>
        <w:t xml:space="preserve"> фосфатаза</w:t>
      </w:r>
    </w:p>
    <w:p w:rsidR="00490A6B" w:rsidRDefault="00490A6B" w:rsidP="00490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0A6B" w:rsidRPr="00490A6B" w:rsidRDefault="00490A6B" w:rsidP="00490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2C1D">
        <w:rPr>
          <w:rFonts w:ascii="Times New Roman" w:hAnsi="Times New Roman" w:cs="Times New Roman"/>
          <w:sz w:val="24"/>
          <w:szCs w:val="24"/>
          <w:lang w:val="uk-UA"/>
        </w:rPr>
        <w:t>Цитолітичним</w:t>
      </w:r>
      <w:proofErr w:type="spellEnd"/>
      <w:r w:rsidRPr="009D2C1D">
        <w:rPr>
          <w:rFonts w:ascii="Times New Roman" w:hAnsi="Times New Roman" w:cs="Times New Roman"/>
          <w:sz w:val="24"/>
          <w:szCs w:val="24"/>
          <w:lang w:val="uk-UA"/>
        </w:rPr>
        <w:t xml:space="preserve"> ефектом володіють нестероїдні протизапальні препарати (НПЗП), </w:t>
      </w:r>
      <w:proofErr w:type="spellStart"/>
      <w:r w:rsidRPr="009D2C1D">
        <w:rPr>
          <w:rFonts w:ascii="Times New Roman" w:hAnsi="Times New Roman" w:cs="Times New Roman"/>
          <w:sz w:val="24"/>
          <w:szCs w:val="24"/>
          <w:lang w:val="uk-UA"/>
        </w:rPr>
        <w:t>протиаритмічні</w:t>
      </w:r>
      <w:proofErr w:type="spellEnd"/>
      <w:r w:rsidRPr="009D2C1D">
        <w:rPr>
          <w:rFonts w:ascii="Times New Roman" w:hAnsi="Times New Roman" w:cs="Times New Roman"/>
          <w:sz w:val="24"/>
          <w:szCs w:val="24"/>
          <w:lang w:val="uk-UA"/>
        </w:rPr>
        <w:t xml:space="preserve"> засоби, </w:t>
      </w:r>
      <w:proofErr w:type="spellStart"/>
      <w:r w:rsidRPr="009D2C1D">
        <w:rPr>
          <w:rFonts w:ascii="Times New Roman" w:hAnsi="Times New Roman" w:cs="Times New Roman"/>
          <w:sz w:val="24"/>
          <w:szCs w:val="24"/>
          <w:lang w:val="uk-UA"/>
        </w:rPr>
        <w:t>статини</w:t>
      </w:r>
      <w:proofErr w:type="spellEnd"/>
      <w:r w:rsidRPr="009D2C1D">
        <w:rPr>
          <w:rFonts w:ascii="Times New Roman" w:hAnsi="Times New Roman" w:cs="Times New Roman"/>
          <w:sz w:val="24"/>
          <w:szCs w:val="24"/>
          <w:lang w:val="uk-UA"/>
        </w:rPr>
        <w:t xml:space="preserve">, цитостатики, антибактеріальні препарати (особливо слід виділити протитуберкульозні засоби). </w:t>
      </w:r>
      <w:proofErr w:type="spellStart"/>
      <w:r w:rsidRPr="009D2C1D">
        <w:rPr>
          <w:rFonts w:ascii="Times New Roman" w:hAnsi="Times New Roman" w:cs="Times New Roman"/>
          <w:sz w:val="24"/>
          <w:szCs w:val="24"/>
          <w:lang w:val="uk-UA"/>
        </w:rPr>
        <w:t>Холестатичний</w:t>
      </w:r>
      <w:proofErr w:type="spellEnd"/>
      <w:r w:rsidRPr="009D2C1D">
        <w:rPr>
          <w:rFonts w:ascii="Times New Roman" w:hAnsi="Times New Roman" w:cs="Times New Roman"/>
          <w:sz w:val="24"/>
          <w:szCs w:val="24"/>
          <w:lang w:val="uk-UA"/>
        </w:rPr>
        <w:t xml:space="preserve"> ефект чинять оральні контрацептиви,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анаболічні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стероїди,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цефтриаксон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фібрати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протисудомні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препарати, антидепресанти. Змішані варіанти прямих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гепатотоксичних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реакцій спостерігаються при застосуванні НПЗП, аспірину, нікотинової кислоти,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аміносаліц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>лат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, сульфаніламідів,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хінідину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алопуринолу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вальпроєвої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>кислоти і протипухлинних засобів [5].</w:t>
      </w:r>
    </w:p>
    <w:p w:rsidR="00490A6B" w:rsidRPr="00490A6B" w:rsidRDefault="00490A6B" w:rsidP="00490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A6B">
        <w:rPr>
          <w:rFonts w:ascii="Times New Roman" w:hAnsi="Times New Roman" w:cs="Times New Roman"/>
          <w:sz w:val="24"/>
          <w:szCs w:val="24"/>
          <w:lang w:val="uk-UA"/>
        </w:rPr>
        <w:t>Найчаст</w:t>
      </w:r>
      <w:r>
        <w:rPr>
          <w:rFonts w:ascii="Times New Roman" w:hAnsi="Times New Roman" w:cs="Times New Roman"/>
          <w:sz w:val="24"/>
          <w:szCs w:val="24"/>
          <w:lang w:val="uk-UA"/>
        </w:rPr>
        <w:t>ішим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діагност</w:t>
      </w:r>
      <w:r>
        <w:rPr>
          <w:rFonts w:ascii="Times New Roman" w:hAnsi="Times New Roman" w:cs="Times New Roman"/>
          <w:sz w:val="24"/>
          <w:szCs w:val="24"/>
          <w:lang w:val="uk-UA"/>
        </w:rPr>
        <w:t>ованим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клінічним варіантом </w:t>
      </w:r>
      <w:r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є лікарський гепатит. Виділяють п'ять форм гепатиту, індукованого прийомом фармакологічних засобів [5]:</w:t>
      </w:r>
    </w:p>
    <w:p w:rsidR="00490A6B" w:rsidRPr="00490A6B" w:rsidRDefault="00490A6B" w:rsidP="00490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- лікарський гепатит з ізольованим підвищенням трансаміназ (протитуберкульозні препарати,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метилдопа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аміодарон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статини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490A6B" w:rsidRPr="00490A6B" w:rsidRDefault="00490A6B" w:rsidP="00490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A6B">
        <w:rPr>
          <w:rFonts w:ascii="Times New Roman" w:hAnsi="Times New Roman" w:cs="Times New Roman"/>
          <w:sz w:val="24"/>
          <w:szCs w:val="24"/>
          <w:lang w:val="uk-UA"/>
        </w:rPr>
        <w:t>- гострий гепатит з жовтяницею;</w:t>
      </w:r>
    </w:p>
    <w:p w:rsidR="00490A6B" w:rsidRPr="00490A6B" w:rsidRDefault="00490A6B" w:rsidP="00490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псевдохірургіч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форма гострого гепатиту: б</w:t>
      </w:r>
      <w:r>
        <w:rPr>
          <w:rFonts w:ascii="Times New Roman" w:hAnsi="Times New Roman" w:cs="Times New Roman"/>
          <w:sz w:val="24"/>
          <w:szCs w:val="24"/>
          <w:lang w:val="uk-UA"/>
        </w:rPr>
        <w:t>іль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в животі, лихоманка, жовтяниця, збільшений жовчний міхур (цитостатики, антидепресанти,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антиаритмічні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препарати);</w:t>
      </w:r>
    </w:p>
    <w:p w:rsidR="00490A6B" w:rsidRPr="00490A6B" w:rsidRDefault="00490A6B" w:rsidP="00490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A6B">
        <w:rPr>
          <w:rFonts w:ascii="Times New Roman" w:hAnsi="Times New Roman" w:cs="Times New Roman"/>
          <w:sz w:val="24"/>
          <w:szCs w:val="24"/>
          <w:lang w:val="uk-UA"/>
        </w:rPr>
        <w:t>- важкі форми гострого гепатиту з печінковою недостатністю;</w:t>
      </w:r>
    </w:p>
    <w:p w:rsidR="00490A6B" w:rsidRPr="00490A6B" w:rsidRDefault="00490A6B" w:rsidP="00490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A6B">
        <w:rPr>
          <w:rFonts w:ascii="Times New Roman" w:hAnsi="Times New Roman" w:cs="Times New Roman"/>
          <w:sz w:val="24"/>
          <w:szCs w:val="24"/>
          <w:lang w:val="uk-UA"/>
        </w:rPr>
        <w:t>- хронічний медикаментозний гепатит.</w:t>
      </w:r>
    </w:p>
    <w:p w:rsidR="00490A6B" w:rsidRPr="00490A6B" w:rsidRDefault="00490A6B" w:rsidP="00490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Клінічна картина </w:t>
      </w:r>
      <w:r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неспецифічна: пацієнтів турбують загальна слабкість, зниження або відсутність апетиту, нудота, блювота, свербіж шкіри, діарея,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субфебрилітет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>, рідше б</w:t>
      </w:r>
      <w:r>
        <w:rPr>
          <w:rFonts w:ascii="Times New Roman" w:hAnsi="Times New Roman" w:cs="Times New Roman"/>
          <w:sz w:val="24"/>
          <w:szCs w:val="24"/>
          <w:lang w:val="uk-UA"/>
        </w:rPr>
        <w:t>іль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в животі, б</w:t>
      </w:r>
      <w:r>
        <w:rPr>
          <w:rFonts w:ascii="Times New Roman" w:hAnsi="Times New Roman" w:cs="Times New Roman"/>
          <w:sz w:val="24"/>
          <w:szCs w:val="24"/>
          <w:lang w:val="uk-UA"/>
        </w:rPr>
        <w:t>іль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в суглобах і / або м'язах, висип, лімфаденопатія та ін. [19]. В даний час для діагностики </w:t>
      </w:r>
      <w:r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рекомендується користуватися таким практичним алгоритмом (табл. 2).</w:t>
      </w:r>
    </w:p>
    <w:p w:rsidR="00490A6B" w:rsidRPr="00490A6B" w:rsidRDefault="00490A6B" w:rsidP="00490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A6B">
        <w:rPr>
          <w:rFonts w:ascii="Times New Roman" w:hAnsi="Times New Roman" w:cs="Times New Roman"/>
          <w:sz w:val="24"/>
          <w:szCs w:val="24"/>
          <w:lang w:val="uk-UA"/>
        </w:rPr>
        <w:t>Необхідність точного етіологічного діагнозу пояснюється великим діапазоном взаємовиключних заходів при жовтяниці різного походження. Інтенсивн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жовтяничне забарвлення шкіри і слизових оболонок є симптомом, що вимагає термінової госпіталізації хворого для з'ясування причини жовтяниці.</w:t>
      </w:r>
    </w:p>
    <w:p w:rsidR="00490A6B" w:rsidRPr="00490A6B" w:rsidRDefault="00490A6B" w:rsidP="00490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A6B">
        <w:rPr>
          <w:rFonts w:ascii="Times New Roman" w:hAnsi="Times New Roman" w:cs="Times New Roman"/>
          <w:sz w:val="24"/>
          <w:szCs w:val="24"/>
          <w:lang w:val="uk-UA"/>
        </w:rPr>
        <w:lastRenderedPageBreak/>
        <w:t>Таблиця 2</w:t>
      </w:r>
    </w:p>
    <w:p w:rsidR="00490A6B" w:rsidRPr="00490A6B" w:rsidRDefault="00490A6B" w:rsidP="00490A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Практичний алгоритм розпізнавання і запобігання </w:t>
      </w:r>
      <w:r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V. J.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Navarro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90A6B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490A6B">
        <w:rPr>
          <w:rFonts w:ascii="Times New Roman" w:hAnsi="Times New Roman" w:cs="Times New Roman"/>
          <w:sz w:val="24"/>
          <w:szCs w:val="24"/>
          <w:lang w:val="uk-UA"/>
        </w:rPr>
        <w:t>. 2017 [24])</w:t>
      </w:r>
    </w:p>
    <w:p w:rsidR="00067186" w:rsidRPr="00490A6B" w:rsidRDefault="00067186" w:rsidP="007858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3032" w:rsidRPr="00B323CD" w:rsidRDefault="009B3032" w:rsidP="00B633C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37ED8" w:rsidRPr="00921F71" w:rsidTr="00490A6B">
        <w:tc>
          <w:tcPr>
            <w:tcW w:w="9345" w:type="dxa"/>
          </w:tcPr>
          <w:p w:rsidR="00490A6B" w:rsidRPr="003F0FE0" w:rsidRDefault="00490A6B" w:rsidP="003F0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 1. Не ігнорувати симптоми</w:t>
            </w:r>
          </w:p>
          <w:p w:rsidR="00A37ED8" w:rsidRPr="003F0FE0" w:rsidRDefault="00490A6B" w:rsidP="003F0FE0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використання лікарських препаратів не ігнорувати навіть незначні симптоми, які можуть навести на думку про можливу гепатотоксичність: нудота, анорексія, втома, нездужання і дискомфорт в правому квадранті живота, також свербіж і жовтяниця.</w:t>
            </w:r>
          </w:p>
        </w:tc>
      </w:tr>
      <w:tr w:rsidR="00A37ED8" w:rsidRPr="00CD03DF" w:rsidTr="00490A6B">
        <w:tc>
          <w:tcPr>
            <w:tcW w:w="9345" w:type="dxa"/>
          </w:tcPr>
          <w:p w:rsidR="00490A6B" w:rsidRPr="003F0FE0" w:rsidRDefault="00490A6B" w:rsidP="003F0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 2. Ретельно вивчити анамнез</w:t>
            </w:r>
          </w:p>
          <w:p w:rsidR="00A37ED8" w:rsidRPr="003F0FE0" w:rsidRDefault="00490A6B" w:rsidP="003F0FE0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Встановити детальний анамнез використання призначених і непризначених (продаються без рецепта) фіто- та інших лікарських препаратів із зазначенням часу початку прийому і використаної дози.</w:t>
            </w:r>
          </w:p>
        </w:tc>
      </w:tr>
      <w:tr w:rsidR="00A37ED8" w:rsidRPr="00921F71" w:rsidTr="00490A6B">
        <w:tc>
          <w:tcPr>
            <w:tcW w:w="9345" w:type="dxa"/>
          </w:tcPr>
          <w:p w:rsidR="00490A6B" w:rsidRPr="003F0FE0" w:rsidRDefault="00490A6B" w:rsidP="003F0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 3. Скасувати прийом препарату, що нібито є причиною гепатотоксичності</w:t>
            </w:r>
          </w:p>
          <w:p w:rsidR="00A37ED8" w:rsidRPr="003F0FE0" w:rsidRDefault="00490A6B" w:rsidP="003F0FE0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Припинити прийом препарату, який можливо спровокував реакцію гепатотоксичності, особливо у випадках виникнення клінічних симптомів або появи відхилень у функціональних тестах (наприклад, збільшення рівня білірубіну або зростання </w:t>
            </w:r>
            <w:proofErr w:type="spellStart"/>
            <w:r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протромбінового</w:t>
            </w:r>
            <w:proofErr w:type="spellEnd"/>
            <w:r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часу).</w:t>
            </w:r>
          </w:p>
        </w:tc>
      </w:tr>
      <w:tr w:rsidR="00A37ED8" w:rsidRPr="00921F71" w:rsidTr="00490A6B">
        <w:tc>
          <w:tcPr>
            <w:tcW w:w="9345" w:type="dxa"/>
          </w:tcPr>
          <w:p w:rsidR="00490A6B" w:rsidRPr="003F0FE0" w:rsidRDefault="00490A6B" w:rsidP="003F0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 4. Звернути увагу на таку закономірність</w:t>
            </w:r>
          </w:p>
          <w:p w:rsidR="00A37ED8" w:rsidRPr="003F0FE0" w:rsidRDefault="00490A6B" w:rsidP="003F0FE0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Жовтяниця як прояв ЛУП свідчить про серйозне і потенційно фатальн</w:t>
            </w:r>
            <w:r w:rsidR="003F0FE0"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ураженн</w:t>
            </w:r>
            <w:r w:rsidR="003F0FE0"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3F0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печінки, що вимагає негайної консультації фахівця в цій галузі.</w:t>
            </w:r>
          </w:p>
        </w:tc>
      </w:tr>
    </w:tbl>
    <w:p w:rsidR="003F0FE0" w:rsidRPr="00B323CD" w:rsidRDefault="003F0FE0" w:rsidP="0078580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:rsidR="003F0FE0" w:rsidRP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>Лікарсько індукований а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тоімунний гепатит зазвичай розвивається через 2-4 тижні лікування НПЗП,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антитиреоїдними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протисудомними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препаратами,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хінідином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. Прояви варіюють від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3F0FE0">
        <w:rPr>
          <w:rFonts w:ascii="Times New Roman" w:hAnsi="Times New Roman" w:cs="Times New Roman"/>
          <w:sz w:val="24"/>
          <w:szCs w:val="24"/>
          <w:lang w:val="uk-UA"/>
        </w:rPr>
        <w:t>омірно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активного до високоактивного гострого гепатиту з жовтяницею, артритом, васкулітом,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еозинофілією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, гемолізом. Клінічним варіантом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F0FE0">
        <w:rPr>
          <w:rFonts w:ascii="Times New Roman" w:hAnsi="Times New Roman" w:cs="Times New Roman"/>
          <w:sz w:val="24"/>
          <w:szCs w:val="24"/>
          <w:lang w:val="uk-UA"/>
        </w:rPr>
        <w:t>муноалерг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D2C1D">
        <w:rPr>
          <w:rFonts w:ascii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hAnsi="Times New Roman" w:cs="Times New Roman"/>
          <w:sz w:val="24"/>
          <w:szCs w:val="24"/>
          <w:lang w:val="uk-UA"/>
        </w:rPr>
        <w:t>ного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ураження печінки є DRESS-синдром (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Drug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Reaction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with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Eosinophil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Systemic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Symptoms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), який проявляється лихоманкою, висипом,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еозинофілією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, наявністю атипових лейкоцитів,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F0FE0">
        <w:rPr>
          <w:rFonts w:ascii="Times New Roman" w:hAnsi="Times New Roman" w:cs="Times New Roman"/>
          <w:sz w:val="24"/>
          <w:szCs w:val="24"/>
          <w:lang w:val="uk-UA"/>
        </w:rPr>
        <w:t>мфоаденопат</w:t>
      </w:r>
      <w:r>
        <w:rPr>
          <w:rFonts w:ascii="Times New Roman" w:hAnsi="Times New Roman" w:cs="Times New Roman"/>
          <w:sz w:val="24"/>
          <w:szCs w:val="24"/>
          <w:lang w:val="uk-UA"/>
        </w:rPr>
        <w:t>ією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і гепатитом. DRESS-синдром частіше розвивається при прийомі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алопуринолу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протисудомних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засобів, що містять в структурі молекули ароматичне кільце (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фенітоїн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, фенобарбітал,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карбамазепін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>) [4].</w:t>
      </w:r>
    </w:p>
    <w:p w:rsidR="003F0FE0" w:rsidRP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Важливо проаналізувати анамнез і встановити зв'язок захворювання печінки з прийомом лікарського препарату. Для цього використовують критерії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Roussel-Uclaf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(RUCAM) (табл. 3).</w:t>
      </w:r>
    </w:p>
    <w:p w:rsidR="003F0FE0" w:rsidRP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>Таблиця 3</w:t>
      </w:r>
    </w:p>
    <w:p w:rsid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Критерії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Roussel-Uclaf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(RUCAM) визначення зв'язку лікарського препарату / біологічно активної добавки з пошкодженням печінки</w:t>
      </w:r>
    </w:p>
    <w:p w:rsidR="003F0FE0" w:rsidRP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44729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E0" w:rsidRP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>Біохімічні критерії діагностики ЛУП (рівень доказовості 2b) [19]:</w:t>
      </w:r>
    </w:p>
    <w:p w:rsidR="003F0FE0" w:rsidRP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>- АЛТ ≥5 норм (верхньої межі норми);</w:t>
      </w:r>
    </w:p>
    <w:p w:rsidR="003F0FE0" w:rsidRP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>- АЛТ ≥5 норм при одночасному підвищенні рівня білірубіну ≥2 верхніх меж норми;</w:t>
      </w:r>
    </w:p>
    <w:p w:rsidR="003F0FE0" w:rsidRP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>- ЛФ ≥2 норм (особливо при паралельному зростанні концентрації гамма-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глутамілтранспептидази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і відсутності патології кісток, здатної спровокувати підвищення ЛФ).</w:t>
      </w:r>
    </w:p>
    <w:p w:rsidR="003F0FE0" w:rsidRP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>При наявності супутнього захворювання печінки, яке може супроводжуватися зміною біохімічних показників, верхню межу норми замінюють середнім значенням показника до початку прийому препарату, що викликав ЛУП.</w:t>
      </w:r>
      <w:r w:rsidR="00175B4A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цього рівня і визначають ступінь приросту АЛТ, ЛФ, білірубіну. Виняток становлять ураження печінки, пов'язані з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метотрексатом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(фіброз і вузлова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гіперрегенераторна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гіперплазія).</w:t>
      </w:r>
    </w:p>
    <w:p w:rsidR="003F0FE0" w:rsidRP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Гістологічні зміни печінки при </w:t>
      </w:r>
      <w:r w:rsidR="00175B4A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різноманітні і залежать від клініко-морфологічного варіанту </w:t>
      </w:r>
      <w:r w:rsidR="00175B4A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[15].</w:t>
      </w:r>
    </w:p>
    <w:p w:rsidR="003F0FE0" w:rsidRP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Основні принципи лікування </w:t>
      </w:r>
      <w:r w:rsidR="009D2C1D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представлені в табл. 4.</w:t>
      </w:r>
    </w:p>
    <w:p w:rsidR="003F0FE0" w:rsidRPr="003F0FE0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>Таблиця 4</w:t>
      </w:r>
    </w:p>
    <w:p w:rsidR="00B633C8" w:rsidRDefault="003F0FE0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Основні принципи лікування </w:t>
      </w:r>
      <w:r w:rsidR="00175B4A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175B4A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В. Т. Івашкін</w:t>
      </w:r>
      <w:r w:rsidR="00175B4A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175B4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F0F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0FE0">
        <w:rPr>
          <w:rFonts w:ascii="Times New Roman" w:hAnsi="Times New Roman" w:cs="Times New Roman"/>
          <w:sz w:val="24"/>
          <w:szCs w:val="24"/>
          <w:lang w:val="uk-UA"/>
        </w:rPr>
        <w:t>співавт</w:t>
      </w:r>
      <w:proofErr w:type="spellEnd"/>
      <w:r w:rsidRPr="003F0FE0">
        <w:rPr>
          <w:rFonts w:ascii="Times New Roman" w:hAnsi="Times New Roman" w:cs="Times New Roman"/>
          <w:sz w:val="24"/>
          <w:szCs w:val="24"/>
          <w:lang w:val="uk-UA"/>
        </w:rPr>
        <w:t>., 2016 [6]).</w:t>
      </w:r>
    </w:p>
    <w:p w:rsidR="009D2C1D" w:rsidRPr="003F0FE0" w:rsidRDefault="009D2C1D" w:rsidP="003F0F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9B4116" w:rsidRPr="00CD03DF" w:rsidTr="00175B4A">
        <w:tc>
          <w:tcPr>
            <w:tcW w:w="4674" w:type="dxa"/>
          </w:tcPr>
          <w:p w:rsidR="009B4116" w:rsidRPr="00CD03DF" w:rsidRDefault="009B4116" w:rsidP="0078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</w:t>
            </w:r>
            <w:proofErr w:type="spellEnd"/>
            <w:r w:rsidR="00175B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принцип</w:t>
            </w:r>
            <w:r w:rsidR="00175B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</w:t>
            </w:r>
            <w:r w:rsidRPr="00CD0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0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терап</w:t>
            </w:r>
            <w:r w:rsidR="00175B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ії</w:t>
            </w:r>
            <w:proofErr w:type="spellEnd"/>
            <w:r w:rsidRPr="00CD0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</w:tcPr>
          <w:p w:rsidR="009B4116" w:rsidRPr="00175B4A" w:rsidRDefault="009B4116" w:rsidP="00785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0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Коментар</w:t>
            </w:r>
            <w:proofErr w:type="spellEnd"/>
            <w:r w:rsidR="00175B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</w:p>
        </w:tc>
      </w:tr>
      <w:tr w:rsidR="009B4116" w:rsidRPr="00CD03DF" w:rsidTr="00175B4A">
        <w:tc>
          <w:tcPr>
            <w:tcW w:w="4674" w:type="dxa"/>
          </w:tcPr>
          <w:p w:rsidR="009B4116" w:rsidRPr="00175B4A" w:rsidRDefault="00175B4A" w:rsidP="00B6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Скасування призначення</w:t>
            </w:r>
            <w:r w:rsidR="00B633C8"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="00B633C8" w:rsidRPr="00CD03DF">
              <w:rPr>
                <w:rFonts w:ascii="Times New Roman" w:hAnsi="Times New Roman" w:cs="Times New Roman"/>
                <w:sz w:val="24"/>
                <w:szCs w:val="24"/>
              </w:rPr>
              <w:t>карс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</w:t>
            </w:r>
            <w:proofErr w:type="spellEnd"/>
            <w:r w:rsidR="00B633C8" w:rsidRPr="00CD03DF">
              <w:rPr>
                <w:rFonts w:ascii="Times New Roman" w:hAnsi="Times New Roman" w:cs="Times New Roman"/>
                <w:sz w:val="24"/>
                <w:szCs w:val="24"/>
              </w:rPr>
              <w:t>ого препа</w:t>
            </w:r>
            <w:r w:rsidR="009B4116"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рата,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викликав ураження</w:t>
            </w:r>
            <w:r w:rsidR="009B4116"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печінки</w:t>
            </w:r>
          </w:p>
        </w:tc>
        <w:tc>
          <w:tcPr>
            <w:tcW w:w="4671" w:type="dxa"/>
          </w:tcPr>
          <w:p w:rsidR="009B4116" w:rsidRPr="00175B4A" w:rsidRDefault="00175B4A" w:rsidP="00175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правило, веде до зникнення клінічних симптомів, нормалізації біохімічних показників крові і до відновлення морфологічної структури печінки</w:t>
            </w:r>
          </w:p>
        </w:tc>
      </w:tr>
      <w:tr w:rsidR="009B4116" w:rsidRPr="00CD03DF" w:rsidTr="00175B4A">
        <w:tc>
          <w:tcPr>
            <w:tcW w:w="4674" w:type="dxa"/>
          </w:tcPr>
          <w:p w:rsidR="009B4116" w:rsidRPr="00CD03DF" w:rsidRDefault="00175B4A" w:rsidP="00B6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</w:t>
            </w:r>
            <w:r w:rsidR="009B4116" w:rsidRPr="00CD03DF">
              <w:rPr>
                <w:rFonts w:ascii="Times New Roman" w:hAnsi="Times New Roman" w:cs="Times New Roman"/>
                <w:sz w:val="24"/>
                <w:szCs w:val="24"/>
              </w:rPr>
              <w:t xml:space="preserve"> антидот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9B4116" w:rsidRPr="00CD03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1" w:type="dxa"/>
          </w:tcPr>
          <w:p w:rsidR="009B4116" w:rsidRPr="00175B4A" w:rsidRDefault="00175B4A" w:rsidP="00B6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Можливо тільки в деяких випадках: наприклад, антидотом </w:t>
            </w:r>
            <w:proofErr w:type="spellStart"/>
            <w:r w:rsidRPr="00175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парацетамолу</w:t>
            </w:r>
            <w:proofErr w:type="spellEnd"/>
            <w:r w:rsidRPr="00175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 N-</w:t>
            </w:r>
            <w:proofErr w:type="spellStart"/>
            <w:r w:rsidRPr="00175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ацетилцистеїн</w:t>
            </w:r>
            <w:proofErr w:type="spellEnd"/>
            <w:r w:rsidRPr="00175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 при отруєнні блідою поганкою використовується </w:t>
            </w:r>
            <w:proofErr w:type="spellStart"/>
            <w:r w:rsidRPr="00175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силімарин</w:t>
            </w:r>
            <w:proofErr w:type="spellEnd"/>
            <w:r w:rsidRPr="00175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пеніцилін </w:t>
            </w:r>
          </w:p>
        </w:tc>
      </w:tr>
      <w:tr w:rsidR="009B4116" w:rsidRPr="00CD03DF" w:rsidTr="00175B4A">
        <w:tc>
          <w:tcPr>
            <w:tcW w:w="4674" w:type="dxa"/>
          </w:tcPr>
          <w:p w:rsidR="009B4116" w:rsidRPr="00AD5A64" w:rsidRDefault="00175B4A" w:rsidP="00B6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Призначення</w:t>
            </w:r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глюкокортикосте</w:t>
            </w:r>
            <w:r w:rsidR="009B4116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їдів</w:t>
            </w:r>
            <w:proofErr w:type="spellEnd"/>
          </w:p>
        </w:tc>
        <w:tc>
          <w:tcPr>
            <w:tcW w:w="4671" w:type="dxa"/>
          </w:tcPr>
          <w:p w:rsidR="009B4116" w:rsidRPr="00AD5A64" w:rsidRDefault="009B4116" w:rsidP="00B6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</w:t>
            </w:r>
            <w:r w:rsidR="00175B4A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ґрунтовано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 реакц</w:t>
            </w:r>
            <w:r w:rsidR="00175B4A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175B4A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перчу</w:t>
            </w:r>
            <w:r w:rsidR="00175B4A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8A0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</w:t>
            </w:r>
            <w:r w:rsidR="00175B4A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вості</w:t>
            </w:r>
            <w:proofErr w:type="spellEnd"/>
          </w:p>
        </w:tc>
      </w:tr>
      <w:tr w:rsidR="009B4116" w:rsidRPr="00CD03DF" w:rsidTr="00175B4A">
        <w:tc>
          <w:tcPr>
            <w:tcW w:w="4674" w:type="dxa"/>
          </w:tcPr>
          <w:p w:rsidR="009B4116" w:rsidRPr="00AD5A64" w:rsidRDefault="009B4116" w:rsidP="00B6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</w:t>
            </w:r>
            <w:r w:rsidR="00175B4A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лактика </w:t>
            </w:r>
            <w:r w:rsidR="00175B4A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виснаження</w:t>
            </w:r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глутат</w:t>
            </w:r>
            <w:r w:rsidR="00175B4A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</w:t>
            </w:r>
            <w:r w:rsidR="00175B4A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End"/>
          </w:p>
        </w:tc>
        <w:tc>
          <w:tcPr>
            <w:tcW w:w="4671" w:type="dxa"/>
          </w:tcPr>
          <w:p w:rsidR="009B4116" w:rsidRPr="00AD5A64" w:rsidRDefault="009B4116" w:rsidP="00B633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Адемет</w:t>
            </w:r>
            <w:r w:rsidR="00AD5A64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</w:t>
            </w:r>
            <w:r w:rsidR="00AD5A64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End"/>
          </w:p>
        </w:tc>
      </w:tr>
      <w:tr w:rsidR="009B4116" w:rsidRPr="00CD03DF" w:rsidTr="00175B4A">
        <w:tc>
          <w:tcPr>
            <w:tcW w:w="4674" w:type="dxa"/>
          </w:tcPr>
          <w:p w:rsidR="009B4116" w:rsidRPr="00AD5A64" w:rsidRDefault="00175B4A" w:rsidP="00B6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Діє</w:t>
            </w:r>
            <w:r w:rsidR="009B4116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цитохром Р450,</w:t>
            </w:r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B4116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тохондр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альну дисфунк</w:t>
            </w:r>
            <w:r w:rsidR="009B4116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9B4116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ю, циток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іни</w:t>
            </w:r>
            <w:r w:rsidR="009B4116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(TNF-</w:t>
            </w:r>
            <w:r w:rsidR="00B633C8" w:rsidRPr="00AD5A64">
              <w:rPr>
                <w:rFonts w:ascii="Times New Roman" w:eastAsia="SymbolMT" w:hAnsi="Times New Roman" w:cs="Times New Roman"/>
                <w:sz w:val="24"/>
                <w:szCs w:val="24"/>
                <w:lang w:val="uk-UA"/>
              </w:rPr>
              <w:t>α</w:t>
            </w:r>
            <w:r w:rsidR="009B4116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671" w:type="dxa"/>
          </w:tcPr>
          <w:p w:rsidR="009B4116" w:rsidRPr="00AD5A64" w:rsidRDefault="009B4116" w:rsidP="00B633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ДХК, </w:t>
            </w:r>
            <w:proofErr w:type="spellStart"/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</w:t>
            </w:r>
            <w:r w:rsidR="00AD5A64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</w:t>
            </w:r>
            <w:proofErr w:type="spellEnd"/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</w:t>
            </w:r>
            <w:r w:rsidR="00AD5A64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цирризинова</w:t>
            </w:r>
            <w:proofErr w:type="spellEnd"/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кислота</w:t>
            </w:r>
          </w:p>
        </w:tc>
      </w:tr>
      <w:tr w:rsidR="009B4116" w:rsidRPr="00CD03DF" w:rsidTr="00175B4A">
        <w:tc>
          <w:tcPr>
            <w:tcW w:w="4674" w:type="dxa"/>
          </w:tcPr>
          <w:p w:rsidR="009B4116" w:rsidRPr="00AD5A64" w:rsidRDefault="009B4116" w:rsidP="00B633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Трансплантац</w:t>
            </w:r>
            <w:r w:rsidR="00175B4A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печ</w:t>
            </w:r>
            <w:r w:rsidR="00175B4A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4671" w:type="dxa"/>
          </w:tcPr>
          <w:p w:rsidR="009B4116" w:rsidRPr="00AD5A64" w:rsidRDefault="009B4116" w:rsidP="00B6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тяж</w:t>
            </w:r>
            <w:r w:rsidR="00AD5A64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</w:t>
            </w:r>
            <w:r w:rsidR="00AD5A64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випадка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при прогрес</w:t>
            </w:r>
            <w:r w:rsidR="00AD5A64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ивній</w:t>
            </w:r>
            <w:r w:rsidR="00B633C8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печ</w:t>
            </w:r>
            <w:r w:rsidR="00AD5A64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інков</w:t>
            </w:r>
            <w:r w:rsidR="00394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r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недостат</w:t>
            </w:r>
            <w:r w:rsidR="00AD5A64" w:rsidRPr="00AD5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</w:p>
        </w:tc>
      </w:tr>
    </w:tbl>
    <w:p w:rsidR="00F41FA0" w:rsidRDefault="00F41FA0" w:rsidP="00B63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Принципово важливою є відміна препарату, що викликав </w:t>
      </w:r>
      <w:r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. Можливі виключення при наступних умовах: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- препарат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життєво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необхідний і немає можливості його замінити;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>- підвищення трансаміназ ≤3 норм;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>- при динамічному спостереженні не відбувається подальшого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>підвищення трансаміназ;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>- відсутність клінічних проявів 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П;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>- відсутність вагітності (при вагітності відміна препарату обов'язкова).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>Застосування антидотів можлив</w:t>
      </w:r>
      <w:r w:rsidR="008A004F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рідко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(табл. 4).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Дієта включає рекомендації щодо здорового помірного харчування з вмістом білка не менше 60-100 г / </w:t>
      </w:r>
      <w:r>
        <w:rPr>
          <w:rFonts w:ascii="Times New Roman" w:hAnsi="Times New Roman" w:cs="Times New Roman"/>
          <w:sz w:val="24"/>
          <w:szCs w:val="24"/>
          <w:lang w:val="uk-UA"/>
        </w:rPr>
        <w:t>добу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. Тільки при печінков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недостатності розглядається питання про обмеження білка.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Глюкокортикоїди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показані всім пацієнтам з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імуноопос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ред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ованих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, а також при середн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іх 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і важких </w:t>
      </w:r>
      <w:r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будь-якого патогенезу. Слід враховувати наявність цукрового діабету, супутньої інфекції, шлунково-кишкової кровотечі. При наявності цих станів в кожному конкретному випадку необхідно ретельно аналізувати співвідношення користі і ризику призначення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глюкокортикостероїдів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. При відсутності протипоказань кортикостероїди вводять спочатку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парентерально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впродовж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декількох днів, потім призначають пероральний прийом.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Патогенетично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об</w:t>
      </w:r>
      <w:r>
        <w:rPr>
          <w:rFonts w:ascii="Times New Roman" w:hAnsi="Times New Roman" w:cs="Times New Roman"/>
          <w:sz w:val="24"/>
          <w:szCs w:val="24"/>
          <w:lang w:val="uk-UA"/>
        </w:rPr>
        <w:t>ґ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рунтованим є також призначення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гепатопротекторів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урсодезоксихолева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кислота (УДХК),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силімарин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адемет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он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>, L-орнітин-L-</w:t>
      </w:r>
      <w:proofErr w:type="spellStart"/>
      <w:r w:rsidR="00B57B5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спартат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есенціальні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фосфоліпіди),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інфузійної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терапії,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тіопоет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пентоксифіліну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>, вітамінів [5].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Застосування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адемет</w:t>
      </w:r>
      <w:r w:rsidR="008A004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онін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патогенетично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об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ґ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рунтовано як засіб, що підвищує синтез і запаси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глутатіону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в печінці, він показаний при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, пов'язаних з дією токсичних метаболітів лікарського засобу, при дефіциті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глутатіону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і необхідності продовження прийому препарату, що викликав Л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П.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Доказових досліджень, які підтверджують ефективність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адеметіонін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, не проведено. Доцільність призначення цього препарату при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, що супроводжується цитол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зом і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холестазом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, визначається досвідом окремих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клінік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і фахівців. Пероральна форма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адеметіонін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має низьку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біодоступність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>, тому при прийнятті рішення про призначення даного лікарського засобу слід припускати тільки його парентеральне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введення в дозі ≥800 мг /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добу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з метою досягнення насич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еної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концентрації в тканинах з подальшим переходом на пероральний прийом в дозі 1600 мг / добу. На наш погляд, перспективною є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сублінгвальна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форма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адеметіонін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>, але її ефективність і безпек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, в т.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ри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, вимагає подальших досліджень.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Силімарин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сил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має доказову базу щодо лікування ЛУП.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Ор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гінальний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сил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високоефективний при жировій дистрофії печінки неалкогольн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етіології, індукованої впливом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гепатотоксичних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лікарських засобів. Встановлено, що активність глутамат-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піруваттрансамінази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у хворих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жиров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дистрофію печінки або лікарськи</w:t>
      </w:r>
      <w:r w:rsidR="008A004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гепатит, які отримували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сил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, нормалізувалася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впродовж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7 днів, тоді як у пацієнтів, що приймали плацебо, подібний результат досягався лише на 23-й день. Глутамат-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оксалаттрансаміназа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нормалізувалася, відповідно, на 10-й і 14-й дні [10]. Значна ефективність оригінального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силібініну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Легалону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®) при лікарських гепатитах, в т.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ов'язаних з прийомом психотропних препаратів, показана у відкритому 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контрольованому дослідженні [29], а також в подвійному сліпому плацебо-контрольованому дослідженні з паралельними групами [26].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>Призначення L-орнітин-L-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аспартату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показано при печінков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недостатності, енцефалопатії [20].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Есенціальні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фосфоліпіди не мають достатньої доказової бази при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(думка експертів). Можливий механізм їх дії заснований на стабілізації мембран і непрям</w:t>
      </w:r>
      <w:r w:rsidR="008A004F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вплив</w:t>
      </w:r>
      <w:r w:rsidR="008A004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на активність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цитолітичного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синдрому. У країнах колишнього СРСР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есенціальні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фосфоліпіди застосовуються часто, хоча в Європейському </w:t>
      </w:r>
      <w:r w:rsidR="003949E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оюзі і США вони не використовуються в клінічній практиці, оскільки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рандомізовані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плацебо-контрольовані клінічні дослідження, зокрема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Veterans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Aff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airs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Cooperative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Study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A004F">
        <w:rPr>
          <w:rFonts w:ascii="Times New Roman" w:hAnsi="Times New Roman" w:cs="Times New Roman"/>
          <w:sz w:val="24"/>
          <w:szCs w:val="24"/>
          <w:lang w:val="uk-UA"/>
        </w:rPr>
        <w:t xml:space="preserve">яке було 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проведен</w:t>
      </w:r>
      <w:r w:rsidR="008A004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в 2003 році і включал</w:t>
      </w:r>
      <w:r w:rsidR="008A004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789 хворих на гепатити алкогольної і змішаної (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алкогольно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>-вірусної) етіології, не виявил</w:t>
      </w:r>
      <w:r w:rsidR="00B66D0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ніяких позитивних впливів даних препаратів на функцію печінки в порівнянні з плацебо [23]. Більш того, було встановлено, що при гострих і хронічних вірусних гепатитах вони протипоказані, </w:t>
      </w:r>
      <w:r w:rsidR="00B66D07">
        <w:rPr>
          <w:rFonts w:ascii="Times New Roman" w:hAnsi="Times New Roman" w:cs="Times New Roman"/>
          <w:sz w:val="24"/>
          <w:szCs w:val="24"/>
          <w:lang w:val="uk-UA"/>
        </w:rPr>
        <w:t>оскільки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можуть сприяти посиленню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холестатич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синдрому і збільшенн</w:t>
      </w:r>
      <w:r w:rsidR="00B66D0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цитолізу [7]. На наш погляд, препарати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есенціальних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фосфоліпідів можуть призначатися при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стеатоз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печінки, неактивному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стеатогепатиті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>, які розвинулися внаслідок токсичного ураження печінки.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Універсальним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гепатопротектором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>, який показаний при будь-якому варіанті патогенетично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розглянутого стану, є УДХК (табл. 5).</w:t>
      </w:r>
    </w:p>
    <w:p w:rsidR="00AD5A64" w:rsidRP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>Таблиця 5</w:t>
      </w:r>
    </w:p>
    <w:p w:rsidR="00AD5A64" w:rsidRDefault="00AD5A64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Диференційована терапія 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в залежності від переважаючого механізму розвитку (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AD5A64">
        <w:rPr>
          <w:rFonts w:ascii="Times New Roman" w:hAnsi="Times New Roman" w:cs="Times New Roman"/>
          <w:sz w:val="24"/>
          <w:szCs w:val="24"/>
          <w:lang w:val="uk-UA"/>
        </w:rPr>
        <w:t xml:space="preserve"> Е. Ю. </w:t>
      </w:r>
      <w:proofErr w:type="spellStart"/>
      <w:r w:rsidRPr="00AD5A64">
        <w:rPr>
          <w:rFonts w:ascii="Times New Roman" w:hAnsi="Times New Roman" w:cs="Times New Roman"/>
          <w:sz w:val="24"/>
          <w:szCs w:val="24"/>
          <w:lang w:val="uk-UA"/>
        </w:rPr>
        <w:t>Єрьоміно</w:t>
      </w:r>
      <w:r w:rsidR="00B57B58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End"/>
      <w:r w:rsidRPr="00AD5A64">
        <w:rPr>
          <w:rFonts w:ascii="Times New Roman" w:hAnsi="Times New Roman" w:cs="Times New Roman"/>
          <w:sz w:val="24"/>
          <w:szCs w:val="24"/>
          <w:lang w:val="uk-UA"/>
        </w:rPr>
        <w:t>, 2012 [5]).</w:t>
      </w:r>
    </w:p>
    <w:p w:rsidR="00B57B58" w:rsidRPr="00AD5A64" w:rsidRDefault="00B57B58" w:rsidP="00AD5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335"/>
        <w:gridCol w:w="1335"/>
        <w:gridCol w:w="1334"/>
        <w:gridCol w:w="1336"/>
        <w:gridCol w:w="1409"/>
        <w:gridCol w:w="1262"/>
        <w:gridCol w:w="1334"/>
      </w:tblGrid>
      <w:tr w:rsidR="002F1013" w:rsidRPr="00CD03DF" w:rsidTr="00700F66">
        <w:trPr>
          <w:trHeight w:val="868"/>
        </w:trPr>
        <w:tc>
          <w:tcPr>
            <w:tcW w:w="714" w:type="pct"/>
            <w:vAlign w:val="center"/>
          </w:tcPr>
          <w:p w:rsidR="000F008D" w:rsidRPr="00B57B58" w:rsidRDefault="00B57B58" w:rsidP="002F1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Переважний</w:t>
            </w:r>
          </w:p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механ</w:t>
            </w:r>
            <w:proofErr w:type="spellEnd"/>
            <w:r w:rsidR="00AC0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</w:t>
            </w:r>
            <w:proofErr w:type="spellStart"/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зм</w:t>
            </w:r>
            <w:proofErr w:type="spellEnd"/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Л</w:t>
            </w:r>
            <w:r w:rsidR="00AC0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У</w:t>
            </w:r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</w:p>
        </w:tc>
        <w:tc>
          <w:tcPr>
            <w:tcW w:w="714" w:type="pct"/>
            <w:vAlign w:val="center"/>
          </w:tcPr>
          <w:p w:rsidR="002F1013" w:rsidRPr="00CD03DF" w:rsidRDefault="000F008D" w:rsidP="002F1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Глюкокорти</w:t>
            </w:r>
            <w:proofErr w:type="spellEnd"/>
            <w:r w:rsidR="002F1013"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0F008D" w:rsidRPr="00AC08CD" w:rsidRDefault="000F008D" w:rsidP="002F1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</w:t>
            </w:r>
            <w:r w:rsidR="002F1013"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стеро</w:t>
            </w:r>
            <w:proofErr w:type="spellEnd"/>
            <w:r w:rsidR="00AC0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їди</w:t>
            </w:r>
          </w:p>
        </w:tc>
        <w:tc>
          <w:tcPr>
            <w:tcW w:w="714" w:type="pct"/>
            <w:vAlign w:val="center"/>
          </w:tcPr>
          <w:p w:rsidR="000F008D" w:rsidRPr="00932021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УДХК</w:t>
            </w:r>
            <w:r w:rsidR="0093202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1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Сил</w:t>
            </w:r>
            <w:r w:rsidR="00AC0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="00AC0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="00AC0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</w:p>
        </w:tc>
        <w:tc>
          <w:tcPr>
            <w:tcW w:w="75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Адемет</w:t>
            </w:r>
            <w:proofErr w:type="spellEnd"/>
            <w:r w:rsidR="00AC0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</w:t>
            </w:r>
            <w:r w:rsidR="00AC0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</w:p>
        </w:tc>
        <w:tc>
          <w:tcPr>
            <w:tcW w:w="675" w:type="pct"/>
            <w:vAlign w:val="center"/>
          </w:tcPr>
          <w:p w:rsidR="002F1013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Фосфо</w:t>
            </w:r>
            <w:proofErr w:type="spellEnd"/>
            <w:r w:rsidR="002F1013"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0F008D" w:rsidRPr="00AC08CD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  <w:r w:rsidR="00AC0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r w:rsidR="00AC0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="00AC0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и</w:t>
            </w:r>
          </w:p>
        </w:tc>
        <w:tc>
          <w:tcPr>
            <w:tcW w:w="714" w:type="pct"/>
            <w:vAlign w:val="center"/>
          </w:tcPr>
          <w:p w:rsidR="002F1013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Пентокси</w:t>
            </w:r>
            <w:proofErr w:type="spellEnd"/>
            <w:r w:rsidR="002F1013"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proofErr w:type="spellStart"/>
            <w:r w:rsidR="00AC08C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ілі</w:t>
            </w:r>
            <w:proofErr w:type="spellEnd"/>
            <w:r w:rsidRPr="00CD03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</w:p>
        </w:tc>
      </w:tr>
      <w:tr w:rsidR="002F1013" w:rsidRPr="00CD03DF" w:rsidTr="00700F66">
        <w:trPr>
          <w:trHeight w:val="839"/>
        </w:trPr>
        <w:tc>
          <w:tcPr>
            <w:tcW w:w="714" w:type="pct"/>
            <w:vAlign w:val="center"/>
          </w:tcPr>
          <w:p w:rsidR="000F008D" w:rsidRPr="00CD03DF" w:rsidRDefault="000F008D" w:rsidP="002F1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Прям</w:t>
            </w:r>
            <w:r w:rsidR="00AC08C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</w:t>
            </w: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:rsidR="002F1013" w:rsidRPr="00CD03DF" w:rsidRDefault="002F1013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0F008D" w:rsidRPr="00CD03DF">
              <w:rPr>
                <w:rFonts w:ascii="Times New Roman" w:hAnsi="Times New Roman" w:cs="Times New Roman"/>
                <w:sz w:val="18"/>
                <w:szCs w:val="18"/>
              </w:rPr>
              <w:t>итол</w:t>
            </w:r>
            <w:proofErr w:type="spellEnd"/>
            <w:r w:rsidR="00AC08C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proofErr w:type="spellStart"/>
            <w:r w:rsidR="000F008D" w:rsidRPr="00CD03DF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spellEnd"/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AC08C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</w:t>
            </w:r>
            <w:proofErr w:type="spellStart"/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proofErr w:type="spellEnd"/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</w:tc>
        <w:tc>
          <w:tcPr>
            <w:tcW w:w="75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F1013" w:rsidRPr="00CD03DF" w:rsidTr="00700F66">
        <w:trPr>
          <w:trHeight w:val="694"/>
        </w:trPr>
        <w:tc>
          <w:tcPr>
            <w:tcW w:w="714" w:type="pct"/>
            <w:vAlign w:val="center"/>
          </w:tcPr>
          <w:p w:rsidR="000F008D" w:rsidRPr="00CD03DF" w:rsidRDefault="000F008D" w:rsidP="002F1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Прям</w:t>
            </w:r>
            <w:r w:rsidR="00AC08C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</w:t>
            </w: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:rsidR="002F1013" w:rsidRPr="00CD03DF" w:rsidRDefault="002F1013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0F008D" w:rsidRPr="00CD03DF">
              <w:rPr>
                <w:rFonts w:ascii="Times New Roman" w:hAnsi="Times New Roman" w:cs="Times New Roman"/>
                <w:sz w:val="18"/>
                <w:szCs w:val="18"/>
              </w:rPr>
              <w:t>олестати</w:t>
            </w:r>
            <w:proofErr w:type="spellEnd"/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AC08C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</w:t>
            </w:r>
            <w:proofErr w:type="spellStart"/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proofErr w:type="spellEnd"/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</w:tc>
        <w:tc>
          <w:tcPr>
            <w:tcW w:w="67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1013" w:rsidRPr="00CD03DF" w:rsidTr="00700F66">
        <w:trPr>
          <w:trHeight w:val="691"/>
        </w:trPr>
        <w:tc>
          <w:tcPr>
            <w:tcW w:w="714" w:type="pct"/>
            <w:vAlign w:val="center"/>
          </w:tcPr>
          <w:p w:rsidR="000F008D" w:rsidRPr="00CD03DF" w:rsidRDefault="000F008D" w:rsidP="002F1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Прям</w:t>
            </w:r>
            <w:r w:rsidR="00AC08C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</w:t>
            </w: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:rsidR="000F008D" w:rsidRPr="00CD03DF" w:rsidRDefault="00AC08C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змішани</w:t>
            </w:r>
            <w:proofErr w:type="spellEnd"/>
            <w:r w:rsidR="000F008D" w:rsidRPr="00CD03DF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</w:tc>
        <w:tc>
          <w:tcPr>
            <w:tcW w:w="75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</w:tc>
        <w:tc>
          <w:tcPr>
            <w:tcW w:w="67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</w:tc>
      </w:tr>
      <w:tr w:rsidR="002F1013" w:rsidRPr="00CD03DF" w:rsidTr="002F1013">
        <w:trPr>
          <w:trHeight w:val="1092"/>
        </w:trPr>
        <w:tc>
          <w:tcPr>
            <w:tcW w:w="714" w:type="pct"/>
            <w:vAlign w:val="center"/>
          </w:tcPr>
          <w:p w:rsidR="000F008D" w:rsidRPr="00CD03DF" w:rsidRDefault="000F008D" w:rsidP="002F1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Токсич</w:t>
            </w:r>
            <w:proofErr w:type="spellEnd"/>
            <w:r w:rsidR="00AC08C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</w:t>
            </w:r>
          </w:p>
          <w:p w:rsidR="000F008D" w:rsidRPr="00CD03DF" w:rsidRDefault="000F008D" w:rsidP="002F10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Start"/>
            <w:r w:rsidR="00AC08C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ія</w:t>
            </w:r>
            <w:proofErr w:type="spellEnd"/>
            <w:r w:rsidRPr="00CD03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метабол</w:t>
            </w:r>
            <w:proofErr w:type="spellEnd"/>
            <w:r w:rsidR="00AC08C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іті</w:t>
            </w: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:rsidR="000F008D" w:rsidRPr="00CD03DF" w:rsidRDefault="000F008D" w:rsidP="00AC08C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3949E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proofErr w:type="spellStart"/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карс</w:t>
            </w:r>
            <w:r w:rsidR="00AC08C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ьких</w:t>
            </w:r>
            <w:proofErr w:type="spellEnd"/>
            <w:r w:rsidR="00AC08C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засобів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</w:tc>
        <w:tc>
          <w:tcPr>
            <w:tcW w:w="75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7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1013" w:rsidRPr="00CD03DF" w:rsidTr="00700F66">
        <w:trPr>
          <w:trHeight w:val="589"/>
        </w:trPr>
        <w:tc>
          <w:tcPr>
            <w:tcW w:w="714" w:type="pct"/>
            <w:vAlign w:val="center"/>
          </w:tcPr>
          <w:p w:rsidR="002F1013" w:rsidRPr="00CD03DF" w:rsidRDefault="00700F66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Іді</w:t>
            </w:r>
            <w:r w:rsidR="000F008D" w:rsidRPr="00CD03DF">
              <w:rPr>
                <w:rFonts w:ascii="Times New Roman" w:hAnsi="Times New Roman" w:cs="Times New Roman"/>
                <w:sz w:val="18"/>
                <w:szCs w:val="18"/>
              </w:rPr>
              <w:t>осин</w:t>
            </w:r>
            <w:r w:rsidR="002F1013"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краз</w:t>
            </w:r>
            <w:proofErr w:type="spellEnd"/>
            <w:r w:rsidR="00700F6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</w:tc>
        <w:tc>
          <w:tcPr>
            <w:tcW w:w="75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</w:tc>
      </w:tr>
      <w:tr w:rsidR="002F1013" w:rsidRPr="00CD03DF" w:rsidTr="00700F66">
        <w:trPr>
          <w:trHeight w:val="697"/>
        </w:trPr>
        <w:tc>
          <w:tcPr>
            <w:tcW w:w="714" w:type="pct"/>
            <w:vAlign w:val="center"/>
          </w:tcPr>
          <w:p w:rsidR="002F1013" w:rsidRPr="00CD03DF" w:rsidRDefault="00700F66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proofErr w:type="spellStart"/>
            <w:r w:rsidR="000F008D" w:rsidRPr="00CD03DF">
              <w:rPr>
                <w:rFonts w:ascii="Times New Roman" w:hAnsi="Times New Roman" w:cs="Times New Roman"/>
                <w:sz w:val="18"/>
                <w:szCs w:val="18"/>
              </w:rPr>
              <w:t>муноалер</w:t>
            </w:r>
            <w:proofErr w:type="spellEnd"/>
            <w:r w:rsidR="002F1013"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spellStart"/>
            <w:r w:rsidR="00700F6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="00B66D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й</w:t>
            </w:r>
            <w:r w:rsidR="00700F6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</w:t>
            </w:r>
            <w:proofErr w:type="spellEnd"/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е Л</w:t>
            </w:r>
            <w:r w:rsidR="00700F6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1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5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:rsidR="000F008D" w:rsidRPr="00CD03DF" w:rsidRDefault="000F008D" w:rsidP="002F101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3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</w:tbl>
    <w:p w:rsidR="002F1013" w:rsidRDefault="002F1013" w:rsidP="000C6A2F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00F66" w:rsidRPr="00700F66" w:rsidRDefault="00700F66" w:rsidP="00700F66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F66">
        <w:rPr>
          <w:rFonts w:ascii="Times New Roman" w:hAnsi="Times New Roman" w:cs="Times New Roman"/>
          <w:sz w:val="24"/>
          <w:szCs w:val="24"/>
          <w:lang w:val="uk-UA"/>
        </w:rPr>
        <w:t xml:space="preserve">Виділена понад сто років тому УДХК стала застосовуватися в практичній медицині з середини 70-х років минулого століття після опису її здатності </w:t>
      </w:r>
      <w:proofErr w:type="spellStart"/>
      <w:r w:rsidRPr="00700F66">
        <w:rPr>
          <w:rFonts w:ascii="Times New Roman" w:hAnsi="Times New Roman" w:cs="Times New Roman"/>
          <w:sz w:val="24"/>
          <w:szCs w:val="24"/>
          <w:lang w:val="uk-UA"/>
        </w:rPr>
        <w:t>десатурац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proofErr w:type="spellEnd"/>
      <w:r w:rsidRPr="00700F66">
        <w:rPr>
          <w:rFonts w:ascii="Times New Roman" w:hAnsi="Times New Roman" w:cs="Times New Roman"/>
          <w:sz w:val="24"/>
          <w:szCs w:val="24"/>
          <w:lang w:val="uk-UA"/>
        </w:rPr>
        <w:t xml:space="preserve"> жовчі і розчинення холестеринових каменів. У міру накопичення клінічного досвіду доведені інші позитивні ефекти УДХК на </w:t>
      </w:r>
      <w:proofErr w:type="spellStart"/>
      <w:r w:rsidRPr="00700F66">
        <w:rPr>
          <w:rFonts w:ascii="Times New Roman" w:hAnsi="Times New Roman" w:cs="Times New Roman"/>
          <w:sz w:val="24"/>
          <w:szCs w:val="24"/>
          <w:lang w:val="uk-UA"/>
        </w:rPr>
        <w:t>внутрішньопечінкову</w:t>
      </w:r>
      <w:proofErr w:type="spellEnd"/>
      <w:r w:rsidRPr="00700F66">
        <w:rPr>
          <w:rFonts w:ascii="Times New Roman" w:hAnsi="Times New Roman" w:cs="Times New Roman"/>
          <w:sz w:val="24"/>
          <w:szCs w:val="24"/>
          <w:lang w:val="uk-UA"/>
        </w:rPr>
        <w:t xml:space="preserve"> циркуляцію жовчі, метаболізм гепатоцитів і слизову оболонку верхньої половини травного тракту, що значно розширило показання до її застосування (табл. 6).</w:t>
      </w:r>
    </w:p>
    <w:p w:rsidR="00700F66" w:rsidRPr="00700F66" w:rsidRDefault="00700F66" w:rsidP="00700F66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F66">
        <w:rPr>
          <w:rFonts w:ascii="Times New Roman" w:hAnsi="Times New Roman" w:cs="Times New Roman"/>
          <w:sz w:val="24"/>
          <w:szCs w:val="24"/>
          <w:lang w:val="uk-UA"/>
        </w:rPr>
        <w:t>Таблиця 6</w:t>
      </w:r>
    </w:p>
    <w:p w:rsidR="00700F66" w:rsidRPr="00700F66" w:rsidRDefault="00700F66" w:rsidP="00700F66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F66">
        <w:rPr>
          <w:rFonts w:ascii="Times New Roman" w:hAnsi="Times New Roman" w:cs="Times New Roman"/>
          <w:sz w:val="24"/>
          <w:szCs w:val="24"/>
          <w:lang w:val="uk-UA"/>
        </w:rPr>
        <w:t>Механізми дії УДХК (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700F66">
        <w:rPr>
          <w:rFonts w:ascii="Times New Roman" w:hAnsi="Times New Roman" w:cs="Times New Roman"/>
          <w:sz w:val="24"/>
          <w:szCs w:val="24"/>
          <w:lang w:val="uk-UA"/>
        </w:rPr>
        <w:t xml:space="preserve"> І. Н. </w:t>
      </w:r>
      <w:proofErr w:type="spellStart"/>
      <w:r w:rsidRPr="00700F66">
        <w:rPr>
          <w:rFonts w:ascii="Times New Roman" w:hAnsi="Times New Roman" w:cs="Times New Roman"/>
          <w:sz w:val="24"/>
          <w:szCs w:val="24"/>
          <w:lang w:val="uk-UA"/>
        </w:rPr>
        <w:t>Григор'єво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End"/>
      <w:r w:rsidRPr="00700F66">
        <w:rPr>
          <w:rFonts w:ascii="Times New Roman" w:hAnsi="Times New Roman" w:cs="Times New Roman"/>
          <w:sz w:val="24"/>
          <w:szCs w:val="24"/>
          <w:lang w:val="uk-UA"/>
        </w:rPr>
        <w:t>, 2012 [3]).</w:t>
      </w:r>
    </w:p>
    <w:p w:rsidR="00700F66" w:rsidRPr="00CD03DF" w:rsidRDefault="00700F66" w:rsidP="000C6A2F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D03DF" w:rsidRPr="00B66D07" w:rsidTr="00700F66">
        <w:tc>
          <w:tcPr>
            <w:tcW w:w="9345" w:type="dxa"/>
          </w:tcPr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0F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Літолітичний</w:t>
            </w:r>
            <w:proofErr w:type="spellEnd"/>
            <w:r w:rsidRPr="00700F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ефект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0C6A2F" w:rsidRPr="00D9445A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зниження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66D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тогенност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жовчі внаслідок формування рідких кристалів з молекулами холестерину, попередження утворення і розчинення холестеринових каменів.</w:t>
            </w:r>
          </w:p>
        </w:tc>
      </w:tr>
      <w:tr w:rsidR="00CD03DF" w:rsidRPr="00921F71" w:rsidTr="00700F66">
        <w:tc>
          <w:tcPr>
            <w:tcW w:w="9345" w:type="dxa"/>
          </w:tcPr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01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Антихолестатичний</w:t>
            </w:r>
            <w:proofErr w:type="spellEnd"/>
            <w:r w:rsidRPr="008C01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ефект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при</w:t>
            </w:r>
            <w:r w:rsidR="00DA2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гніч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 секреції токсичних жовчних кислот в жовч за рахунок конкурентного захоплення рецепторами в клубов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кишці;</w:t>
            </w:r>
          </w:p>
          <w:p w:rsidR="000C6A2F" w:rsidRPr="00B323CD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стимуляція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екзоцитозу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гепатоцитах шляхом активації Са</w:t>
            </w:r>
            <w:r w:rsidRPr="008C01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2+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залежної α-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протеїнкінази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викликає зменшення концентрації гідрофобних жовчних кислот.</w:t>
            </w:r>
          </w:p>
        </w:tc>
      </w:tr>
      <w:tr w:rsidR="00CD03DF" w:rsidRPr="00921F71" w:rsidTr="00700F66">
        <w:tc>
          <w:tcPr>
            <w:tcW w:w="9345" w:type="dxa"/>
          </w:tcPr>
          <w:p w:rsidR="00D9445A" w:rsidRPr="008C0118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C01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Холеретичний</w:t>
            </w:r>
            <w:proofErr w:type="spellEnd"/>
            <w:r w:rsidRPr="008C01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ефект:</w:t>
            </w:r>
          </w:p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індукція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карбонатного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холерез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що підсилює виведення гідрофобних жовчних кислот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</w:t>
            </w:r>
            <w:r w:rsidR="00DA2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витіснення пулу токсичних гідрофобних жовчних кислот за рахунок конкурентного захоплення рецепторами в клубової кишці;</w:t>
            </w:r>
          </w:p>
          <w:p w:rsidR="000C6A2F" w:rsidRPr="00B323CD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стимуляція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екзоцитозу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гепатоцитах шляхом активації кальцій-залежної α-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протеїнкінази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(приводить до зменшення концентрації гідрофобних жовчних кислот).</w:t>
            </w:r>
          </w:p>
        </w:tc>
      </w:tr>
      <w:tr w:rsidR="00CD03DF" w:rsidRPr="00921F71" w:rsidTr="00700F66">
        <w:tc>
          <w:tcPr>
            <w:tcW w:w="9345" w:type="dxa"/>
          </w:tcPr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55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Цитопротективний</w:t>
            </w:r>
            <w:proofErr w:type="spellEnd"/>
            <w:r w:rsidRPr="004A55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ефект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0C6A2F" w:rsidRPr="00B323CD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вбудовування УДХК в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фосфоліпідний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шар клітинної мембрани з її стабілізацією і підвищенням стійкості до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</w:t>
            </w:r>
            <w:r w:rsidR="00B66D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D03DF" w:rsidRPr="00CD03DF" w:rsidTr="00700F66">
        <w:tc>
          <w:tcPr>
            <w:tcW w:w="9345" w:type="dxa"/>
          </w:tcPr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7A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Диференційований вплив на регенерацію гепатоцитів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стимуляція мітозу і регенерації гепатоцитів після резекції печінки у експериментальних тварин;</w:t>
            </w:r>
          </w:p>
          <w:p w:rsidR="000C6A2F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гальмування проліферації клітин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гепатоми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людини.</w:t>
            </w:r>
          </w:p>
        </w:tc>
      </w:tr>
      <w:tr w:rsidR="00CD03DF" w:rsidRPr="00CD03DF" w:rsidTr="00700F66">
        <w:tc>
          <w:tcPr>
            <w:tcW w:w="9345" w:type="dxa"/>
          </w:tcPr>
          <w:p w:rsidR="00D9445A" w:rsidRPr="00F07A3F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7A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Модуляція </w:t>
            </w:r>
            <w:proofErr w:type="spellStart"/>
            <w:r w:rsidRPr="00F07A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апоптозу</w:t>
            </w:r>
            <w:proofErr w:type="spellEnd"/>
            <w:r w:rsidRPr="00F07A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зниження концентрації Са</w:t>
            </w:r>
            <w:r w:rsidRPr="00F07A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2+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клітинах, що запобігає вих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оду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цитохрому С з мітохондрій, в свою чергу, блокуючого активацію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каспаз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апоптоз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холангіоцитів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гальмування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апоптозу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гепатоцитів при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холестатичних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захворюваннях печінки;</w:t>
            </w:r>
          </w:p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антиапоптотич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ефект УДХК не обмежується тільки печінкою, але має місце і в центральній нервовій системі (ЦНС);</w:t>
            </w:r>
          </w:p>
          <w:p w:rsidR="000C6A2F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 слизовій товстої кишки УДХК впливає на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апоптоз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протилежно - стимулює його.</w:t>
            </w:r>
          </w:p>
        </w:tc>
      </w:tr>
      <w:tr w:rsidR="00CD03DF" w:rsidRPr="00CD03DF" w:rsidTr="00700F66">
        <w:tc>
          <w:tcPr>
            <w:tcW w:w="9345" w:type="dxa"/>
          </w:tcPr>
          <w:p w:rsidR="00D9445A" w:rsidRPr="00F07A3F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07A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Імуномодулюючий</w:t>
            </w:r>
            <w:proofErr w:type="spellEnd"/>
            <w:r w:rsidRPr="00F07A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ефект:</w:t>
            </w:r>
          </w:p>
          <w:p w:rsidR="000C6A2F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зменшення експресії молекул HLA 1-го класу на гепатоцитах і HLA 2-го класу на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холангіоцитах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що знижує їх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тоімунність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зниження продукції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прозапальних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цитокінів (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інтерлейкінів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6, γ-інтерферону).</w:t>
            </w:r>
          </w:p>
        </w:tc>
      </w:tr>
      <w:tr w:rsidR="00CD03DF" w:rsidRPr="00921F71" w:rsidTr="00700F66">
        <w:tc>
          <w:tcPr>
            <w:tcW w:w="9345" w:type="dxa"/>
          </w:tcPr>
          <w:p w:rsidR="00D9445A" w:rsidRPr="00F07A3F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7A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Протизапальний ефект:</w:t>
            </w:r>
          </w:p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зниження початково підвищеного рівня еозинофілів 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місту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простагландину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Е2 в крові у пацієнтів з первинним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біліарним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цирозом;</w:t>
            </w:r>
          </w:p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зменшення активності фосфоліпази А2 в крові хворих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FB3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КХ;</w:t>
            </w:r>
          </w:p>
          <w:p w:rsidR="000C6A2F" w:rsidRPr="00B323CD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гальмування вивільнення запальних медіаторів зі стовбурових клітин при запальних захворюваннях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="00B66D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шков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ика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D03DF" w:rsidRPr="00CD03DF" w:rsidTr="00700F66">
        <w:tc>
          <w:tcPr>
            <w:tcW w:w="9345" w:type="dxa"/>
          </w:tcPr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7A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Антитоксичний ефект щодо ЦНС і печінки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гальмування індукованого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ілі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ією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апоптозу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астроцитів (в експериментах на тваринах);</w:t>
            </w:r>
          </w:p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мобілізація транспортних систем нейронів ЦНС, відповідальних за елімінацію з неї токсичних жовчних кислот;</w:t>
            </w:r>
          </w:p>
          <w:p w:rsidR="00D9445A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нейропротекторну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дію;</w:t>
            </w:r>
          </w:p>
          <w:p w:rsidR="000C6A2F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індукція CYP3A4 в печінці.</w:t>
            </w:r>
          </w:p>
        </w:tc>
      </w:tr>
      <w:tr w:rsidR="00CD03DF" w:rsidRPr="00CD03DF" w:rsidTr="00700F66">
        <w:tc>
          <w:tcPr>
            <w:tcW w:w="9345" w:type="dxa"/>
          </w:tcPr>
          <w:p w:rsidR="00D9445A" w:rsidRPr="00F07A3F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07A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Гіпохолестеринемічний</w:t>
            </w:r>
            <w:proofErr w:type="spellEnd"/>
            <w:r w:rsidRPr="00F07A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ефект:</w:t>
            </w:r>
          </w:p>
          <w:p w:rsidR="000C6A2F" w:rsidRPr="00700F66" w:rsidRDefault="00D9445A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зниження всмоктування холестерину в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</w:t>
            </w:r>
            <w:r w:rsidR="00DA2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ику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синтезу холестерину в печінці і екскреції холестерину в жовч.</w:t>
            </w:r>
          </w:p>
        </w:tc>
      </w:tr>
      <w:tr w:rsidR="00CD03DF" w:rsidRPr="00CD03DF" w:rsidTr="00700F66">
        <w:tc>
          <w:tcPr>
            <w:tcW w:w="9345" w:type="dxa"/>
          </w:tcPr>
          <w:p w:rsidR="00FB348E" w:rsidRPr="00D9445A" w:rsidRDefault="00FB348E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44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Протипухлинний ефект:</w:t>
            </w:r>
          </w:p>
          <w:p w:rsidR="00FB348E" w:rsidRPr="00700F66" w:rsidRDefault="00FB348E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запобігання специфічних для раку товстої кишки клітинних (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Ras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мутаці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348E" w:rsidRPr="00700F66" w:rsidRDefault="00FB348E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 блокування активації «диких» типів </w:t>
            </w:r>
            <w:proofErr w:type="spellStart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Ras</w:t>
            </w:r>
            <w:proofErr w:type="spellEnd"/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348E" w:rsidRPr="00700F66" w:rsidRDefault="00FB348E" w:rsidP="00FB348E">
            <w:pPr>
              <w:pStyle w:val="a3"/>
              <w:autoSpaceDE w:val="0"/>
              <w:autoSpaceDN w:val="0"/>
              <w:adjustRightInd w:val="0"/>
              <w:ind w:left="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придушення експресії на ракових клітинах циклооксигенази-2;</w:t>
            </w:r>
          </w:p>
          <w:p w:rsidR="000C6A2F" w:rsidRPr="00700F66" w:rsidRDefault="00B66D07" w:rsidP="00FB3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FB348E"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стимуляція </w:t>
            </w:r>
            <w:proofErr w:type="spellStart"/>
            <w:r w:rsidR="00FB348E"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апоптозу</w:t>
            </w:r>
            <w:proofErr w:type="spellEnd"/>
            <w:r w:rsidR="00FB348E" w:rsidRPr="00700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слизовій товстої кишки.</w:t>
            </w:r>
          </w:p>
        </w:tc>
      </w:tr>
    </w:tbl>
    <w:p w:rsidR="00FB348E" w:rsidRDefault="00FB348E" w:rsidP="00936692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B348E" w:rsidRPr="00FB348E" w:rsidRDefault="00FB348E" w:rsidP="00FB348E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В даний час УДХК використовується при жовчнокам'яній хворобі (ЖКХ),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холестатичних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захворюваннях печінки, вірусних, алкогольних, лікарських гепатитах, неалкогольн</w:t>
      </w:r>
      <w:r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стеатогепатит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холестероз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жовчного міхура,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рефлюкс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-гастритах і інших станах. У печінці з холестерину синтезуються первинні жовчні кислоти: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холева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хенодезоксихолева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кислоти (ХДХК). З них </w:t>
      </w:r>
      <w:r w:rsidR="00DA2B0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киш</w:t>
      </w:r>
      <w:r>
        <w:rPr>
          <w:rFonts w:ascii="Times New Roman" w:hAnsi="Times New Roman" w:cs="Times New Roman"/>
          <w:sz w:val="24"/>
          <w:szCs w:val="24"/>
          <w:lang w:val="uk-UA"/>
        </w:rPr>
        <w:t>ков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>ику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в результаті реакцій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декон'югації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дегідрокс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B66D07"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sz w:val="24"/>
          <w:szCs w:val="24"/>
          <w:lang w:val="uk-UA"/>
        </w:rPr>
        <w:t>вання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під впливом кишкової флори утворюються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деокс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>холева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літохолева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кислоти (вторинні жовчні кислоти). УДХК - третинна г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>дроф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льна жовчна кислота, яка утворюється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з ХДХК. УДХК становить не більше 5% від загального пулу жовчних кислот, що містяться в жовчі. Гідрофобні властивості жовчних кислот і пов'язана з ними токсичність наростають в наступному порядку: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холева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кислота → УДХК →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хенодеоксихолева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кислота →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деокс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>холева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кислота →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літохолева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кислота. Такий зв'язок г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>дрофобност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і токсичності жовчних кислот обумовлен</w:t>
      </w:r>
      <w:r w:rsidR="00B66D0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​​тим, що гідрофобні кислоти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ліпофільн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>. Ц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властивість дозволяє їм проникати в ліпідні шари, в тому числі в клітинні мембрани і мембрани мітохондрій, провокуючи порушення їх функції і загибель [3]. Більш висока полярність УДХК корелює з меншою тенденцією до утворення міцел, </w:t>
      </w:r>
      <w:r w:rsidR="00C219AD">
        <w:rPr>
          <w:rFonts w:ascii="Times New Roman" w:hAnsi="Times New Roman" w:cs="Times New Roman"/>
          <w:sz w:val="24"/>
          <w:szCs w:val="24"/>
          <w:lang w:val="uk-UA"/>
        </w:rPr>
        <w:t>чим і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пояснюють відсутність токсичності цієї кислоти. При призначенні в дозі 13-15 мг / кг / </w:t>
      </w:r>
      <w:r>
        <w:rPr>
          <w:rFonts w:ascii="Times New Roman" w:hAnsi="Times New Roman" w:cs="Times New Roman"/>
          <w:sz w:val="24"/>
          <w:szCs w:val="24"/>
          <w:lang w:val="uk-UA"/>
        </w:rPr>
        <w:t>добу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УДХК заміщає токсичні жовчні кислоти і становить близько половини пулу жовчних кислот в жовчі. Особливе значення при лікуванні </w:t>
      </w:r>
      <w:r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має не тільки антитоксичний, але і антиоксидантний ефект УДХК. У численних експериментальних дослідженнях встановлено, що УДХК здатна пов'язувати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супероксид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-аніон і гідроксильний радикал - найактивніші форми гідроксильних радикалів, тобто є антиоксидантом прямої дії. УДХК також сприяє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підвищ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енню концентрації в клітинах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глутатіону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, що є компонентом внутрішньоклітинної антиоксидантної системи. Крім того, УДХК пригнічує активність мітохондріальних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оксидазни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ферментів, відповідальних за продукцію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супероксид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>-аніону. Таким чином, УДХК гальмує перекисне окислення ліпідів і зменшує окислювальний стрес, тобто відновлює баланс окис</w:t>
      </w:r>
      <w:r w:rsidR="00DA2B0B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ювачів і антиоксидантів в цитоплазмі гепатоцитів [15]. При хронічних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важливи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м є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антифібротичний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ефект УДХК. Він залежить від його дози і обумовлений зменшенням кількості рецепторів до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трансформуюч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фактор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росту-β1 (TGF-β1), причому за рахунок зниження їх синтезу. На тлі прийому УДХК зареєстровано зниження вмісту матричної РНК, що визначає синтез цього рецептора в зірчастих клітинах. Як відомо, TGF-β1 вивільняється пошкодженими гепатоцитами і є основним активатором зірчастих клітин - ключових клітин в процесі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>брогенез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. Їх активація здійснюється шляхом зв'язування TGF-β1 рецепторами, що знаходяться на поверхні зірчастих клітин. Крім того, під дією УДХК посилюється синтез і наростає концентрація в цитоплазмі внутрішньоклітинних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кіназ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- інгібіторів процесу активації клітин. Все це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призводить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до істотного уповільнення процесу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>брогенез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в печінці [15]. Різноманітні механізми дії УДХК дозволяють використовувати її при всіх формах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, особливо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при тих, що перебігають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холестазом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348E" w:rsidRPr="00FB348E" w:rsidRDefault="00FB348E" w:rsidP="00FB348E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Ефективність УДХК при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продемонстрована в ряді доказових досліджень. Призначення препарату хворим на цукровий діабет, які отримували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флуклоксацил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з приводу інфікованих виразок діабетичної стопи, сприяло нормалізації рівня білірубіну сироватки крові на 16-21-й день [27]. Показана ефективність УДХК при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холестазі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, пов'язаному з прийомом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аміодарону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[28]. За допомогою УДХК вдається досягти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розрішення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холестазу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, викликаного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фенотіазином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прохлорперазином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[25],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імунодепресантами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, призначеними після трансплантації серця [22],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анаболічними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стероїдами [21].</w:t>
      </w:r>
    </w:p>
    <w:p w:rsidR="00FB348E" w:rsidRPr="00FB348E" w:rsidRDefault="00FB348E" w:rsidP="00FB348E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УДХК може застосовуватися для профілактики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при призначенні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гепатотоксичних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препаратів, зокрема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метотрексату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348E" w:rsidRPr="00FB348E" w:rsidRDefault="00FB348E" w:rsidP="00FB348E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348E">
        <w:rPr>
          <w:rFonts w:ascii="Times New Roman" w:hAnsi="Times New Roman" w:cs="Times New Roman"/>
          <w:sz w:val="24"/>
          <w:szCs w:val="24"/>
          <w:lang w:val="uk-UA"/>
        </w:rPr>
        <w:t>Показано, що УДХК запобігає некроз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гепатоцитів і запаленн</w:t>
      </w:r>
      <w:r w:rsidR="0072231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[30].</w:t>
      </w:r>
    </w:p>
    <w:p w:rsidR="00FB348E" w:rsidRPr="00FB348E" w:rsidRDefault="00FB348E" w:rsidP="00FB348E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348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Для дезінтоксикації проводять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інфузії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5%-ного розчину глюкози, розчинів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Рінгера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Рінгера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>-лактату, гідролізату крохмалю, бурштинової кислоти, L-орнітин-L-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аспартату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>, 5-10% -ного альбуміну (володіє високою зв'язу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вальною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здатністю)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ін. У важких випадках показан</w:t>
      </w:r>
      <w:r w:rsidR="00722311">
        <w:rPr>
          <w:rFonts w:ascii="Times New Roman" w:hAnsi="Times New Roman" w:cs="Times New Roman"/>
          <w:sz w:val="24"/>
          <w:szCs w:val="24"/>
          <w:lang w:val="uk-UA"/>
        </w:rPr>
        <w:t>им є</w:t>
      </w:r>
      <w:bookmarkStart w:id="0" w:name="_GoBack"/>
      <w:bookmarkEnd w:id="0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плазмаферез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348E" w:rsidRPr="00FB348E" w:rsidRDefault="00FB348E" w:rsidP="00FB348E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348E">
        <w:rPr>
          <w:rFonts w:ascii="Times New Roman" w:hAnsi="Times New Roman" w:cs="Times New Roman"/>
          <w:sz w:val="24"/>
          <w:szCs w:val="24"/>
          <w:lang w:val="uk-UA"/>
        </w:rPr>
        <w:t>При оцінці прогнозу для життя використовують правило «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Hy's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Law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»: поєднання вираженого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гепатоцелюлярного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ураження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(АЛТ&gt; 3 норм) і жовтяниці (білірубін&gt; 3 норм) асоційоване з поганим прогнозом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летальність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&gt; 10% [6]. Гостра печінкова недостатність при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частіше розвивається у жінок. При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фульмінантн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>й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печінков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недостатності внаслідок </w:t>
      </w:r>
      <w:r w:rsidR="00F637AE">
        <w:rPr>
          <w:rFonts w:ascii="Times New Roman" w:hAnsi="Times New Roman" w:cs="Times New Roman"/>
          <w:sz w:val="24"/>
          <w:szCs w:val="24"/>
          <w:lang w:val="uk-UA"/>
        </w:rPr>
        <w:t>ЛУП</w:t>
      </w: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 летальність досягає 30-50%.</w:t>
      </w:r>
    </w:p>
    <w:p w:rsidR="00FB348E" w:rsidRPr="00FB348E" w:rsidRDefault="00FB348E" w:rsidP="00FB348E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348E">
        <w:rPr>
          <w:rFonts w:ascii="Times New Roman" w:hAnsi="Times New Roman" w:cs="Times New Roman"/>
          <w:sz w:val="24"/>
          <w:szCs w:val="24"/>
          <w:lang w:val="uk-UA"/>
        </w:rPr>
        <w:t>У загальній популяції у осіб, що приймають лікарські препарати, летальність або потреба в трансплантації печінки при підвищенні рівня АЛТ і білірубіну ≥2 норм за умови відсутності обструкції становить 2,4-14,3% залежно від лікарського препарату [5].</w:t>
      </w:r>
    </w:p>
    <w:p w:rsidR="00F637AE" w:rsidRPr="004E71B6" w:rsidRDefault="00FB348E" w:rsidP="00F637AE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На закінчення наводимо висловлювання видатного терапевта і клінічного фармаколога Б.Є. </w:t>
      </w:r>
      <w:proofErr w:type="spellStart"/>
      <w:r w:rsidRPr="00FB348E">
        <w:rPr>
          <w:rFonts w:ascii="Times New Roman" w:hAnsi="Times New Roman" w:cs="Times New Roman"/>
          <w:sz w:val="24"/>
          <w:szCs w:val="24"/>
          <w:lang w:val="uk-UA"/>
        </w:rPr>
        <w:t>Вотчала</w:t>
      </w:r>
      <w:proofErr w:type="spellEnd"/>
      <w:r w:rsidRPr="00FB348E">
        <w:rPr>
          <w:rFonts w:ascii="Times New Roman" w:hAnsi="Times New Roman" w:cs="Times New Roman"/>
          <w:sz w:val="24"/>
          <w:szCs w:val="24"/>
          <w:lang w:val="uk-UA"/>
        </w:rPr>
        <w:t xml:space="preserve">: «Гаслом </w:t>
      </w:r>
      <w:r w:rsidRPr="004E71B6">
        <w:rPr>
          <w:rFonts w:ascii="Times New Roman" w:hAnsi="Times New Roman" w:cs="Times New Roman"/>
          <w:sz w:val="24"/>
          <w:szCs w:val="24"/>
          <w:lang w:val="uk-UA"/>
        </w:rPr>
        <w:t>клінічної фармакології має бути</w:t>
      </w:r>
      <w:r w:rsidR="00F637AE" w:rsidRPr="004E71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71B6">
        <w:rPr>
          <w:rFonts w:ascii="Times New Roman" w:hAnsi="Times New Roman" w:cs="Times New Roman"/>
          <w:sz w:val="24"/>
          <w:szCs w:val="24"/>
          <w:lang w:val="uk-UA"/>
        </w:rPr>
        <w:t xml:space="preserve">«Менше ліків </w:t>
      </w:r>
      <w:r w:rsidR="00F637AE" w:rsidRPr="004E71B6">
        <w:rPr>
          <w:rFonts w:ascii="Times New Roman" w:hAnsi="Times New Roman" w:cs="Times New Roman"/>
          <w:sz w:val="24"/>
          <w:szCs w:val="24"/>
          <w:lang w:val="uk-UA"/>
        </w:rPr>
        <w:t>– лише най</w:t>
      </w:r>
      <w:r w:rsidRPr="004E71B6">
        <w:rPr>
          <w:rFonts w:ascii="Times New Roman" w:hAnsi="Times New Roman" w:cs="Times New Roman"/>
          <w:sz w:val="24"/>
          <w:szCs w:val="24"/>
          <w:lang w:val="uk-UA"/>
        </w:rPr>
        <w:t>необхідн</w:t>
      </w:r>
      <w:r w:rsidR="00F637AE" w:rsidRPr="004E71B6">
        <w:rPr>
          <w:rFonts w:ascii="Times New Roman" w:hAnsi="Times New Roman" w:cs="Times New Roman"/>
          <w:sz w:val="24"/>
          <w:szCs w:val="24"/>
          <w:lang w:val="uk-UA"/>
        </w:rPr>
        <w:t>іші», а не «</w:t>
      </w:r>
      <w:r w:rsidR="004E71B6" w:rsidRPr="004E71B6">
        <w:rPr>
          <w:rFonts w:ascii="Times New Roman" w:hAnsi="Times New Roman" w:cs="Times New Roman"/>
          <w:sz w:val="24"/>
          <w:szCs w:val="24"/>
          <w:lang w:val="uk-UA"/>
        </w:rPr>
        <w:t>Щоб іще дати хворому</w:t>
      </w:r>
      <w:r w:rsidR="00F637AE" w:rsidRPr="004E71B6">
        <w:rPr>
          <w:rFonts w:ascii="Times New Roman" w:hAnsi="Times New Roman" w:cs="Times New Roman"/>
          <w:sz w:val="24"/>
          <w:szCs w:val="24"/>
          <w:lang w:val="uk-UA"/>
        </w:rPr>
        <w:t xml:space="preserve">?» </w:t>
      </w:r>
      <w:r w:rsidR="00F637AE" w:rsidRPr="004E71B6">
        <w:rPr>
          <w:rFonts w:ascii="Times New Roman" w:hAnsi="Times New Roman" w:cs="Times New Roman"/>
          <w:sz w:val="24"/>
          <w:szCs w:val="24"/>
        </w:rPr>
        <w:t>… Л</w:t>
      </w:r>
      <w:proofErr w:type="spellStart"/>
      <w:r w:rsidR="004E71B6" w:rsidRPr="004E71B6">
        <w:rPr>
          <w:rFonts w:ascii="Times New Roman" w:hAnsi="Times New Roman" w:cs="Times New Roman"/>
          <w:sz w:val="24"/>
          <w:szCs w:val="24"/>
          <w:lang w:val="uk-UA"/>
        </w:rPr>
        <w:t>ікувати</w:t>
      </w:r>
      <w:proofErr w:type="spellEnd"/>
      <w:r w:rsidR="004E71B6" w:rsidRPr="004E71B6">
        <w:rPr>
          <w:rFonts w:ascii="Times New Roman" w:hAnsi="Times New Roman" w:cs="Times New Roman"/>
          <w:sz w:val="24"/>
          <w:szCs w:val="24"/>
          <w:lang w:val="uk-UA"/>
        </w:rPr>
        <w:t xml:space="preserve"> треба тоді, коли не можна не лікувати</w:t>
      </w:r>
      <w:r w:rsidR="00F637AE" w:rsidRPr="004E71B6">
        <w:rPr>
          <w:rFonts w:ascii="Times New Roman" w:hAnsi="Times New Roman" w:cs="Times New Roman"/>
          <w:sz w:val="24"/>
          <w:szCs w:val="24"/>
        </w:rPr>
        <w:t>» [</w:t>
      </w:r>
      <w:r w:rsidR="00F637AE" w:rsidRPr="004E71B6">
        <w:rPr>
          <w:rFonts w:ascii="Times New Roman" w:hAnsi="Times New Roman" w:cs="Times New Roman"/>
          <w:sz w:val="24"/>
          <w:szCs w:val="24"/>
        </w:rPr>
        <w:fldChar w:fldCharType="begin"/>
      </w:r>
      <w:r w:rsidR="00F637AE" w:rsidRPr="004E71B6">
        <w:rPr>
          <w:rFonts w:ascii="Times New Roman" w:hAnsi="Times New Roman" w:cs="Times New Roman"/>
          <w:sz w:val="24"/>
          <w:szCs w:val="24"/>
        </w:rPr>
        <w:instrText xml:space="preserve"> REF _Ref24058050 \r \h </w:instrText>
      </w:r>
      <w:r w:rsidR="00F637AE" w:rsidRPr="004E71B6">
        <w:rPr>
          <w:rFonts w:ascii="Times New Roman" w:hAnsi="Times New Roman" w:cs="Times New Roman"/>
          <w:sz w:val="24"/>
          <w:szCs w:val="24"/>
        </w:rPr>
      </w:r>
      <w:r w:rsidR="00F637AE" w:rsidRPr="004E71B6">
        <w:rPr>
          <w:rFonts w:ascii="Times New Roman" w:hAnsi="Times New Roman" w:cs="Times New Roman"/>
          <w:sz w:val="24"/>
          <w:szCs w:val="24"/>
        </w:rPr>
        <w:fldChar w:fldCharType="separate"/>
      </w:r>
      <w:r w:rsidR="00F637AE" w:rsidRPr="004E71B6">
        <w:rPr>
          <w:rFonts w:ascii="Times New Roman" w:hAnsi="Times New Roman" w:cs="Times New Roman"/>
          <w:sz w:val="24"/>
          <w:szCs w:val="24"/>
        </w:rPr>
        <w:t>8</w:t>
      </w:r>
      <w:r w:rsidR="00F637AE" w:rsidRPr="004E71B6">
        <w:rPr>
          <w:rFonts w:ascii="Times New Roman" w:hAnsi="Times New Roman" w:cs="Times New Roman"/>
          <w:sz w:val="24"/>
          <w:szCs w:val="24"/>
        </w:rPr>
        <w:fldChar w:fldCharType="end"/>
      </w:r>
      <w:r w:rsidR="00F637AE" w:rsidRPr="004E71B6">
        <w:rPr>
          <w:rFonts w:ascii="Times New Roman" w:hAnsi="Times New Roman" w:cs="Times New Roman"/>
          <w:sz w:val="24"/>
          <w:szCs w:val="24"/>
        </w:rPr>
        <w:t>].</w:t>
      </w:r>
    </w:p>
    <w:p w:rsidR="00FB348E" w:rsidRPr="00FB348E" w:rsidRDefault="00FB348E" w:rsidP="00FB348E">
      <w:pPr>
        <w:pStyle w:val="a3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62EA" w:rsidRPr="00CD03DF" w:rsidRDefault="008D25F9" w:rsidP="0078580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03DF">
        <w:rPr>
          <w:rFonts w:ascii="Times New Roman" w:hAnsi="Times New Roman" w:cs="Times New Roman"/>
          <w:b/>
          <w:sz w:val="24"/>
          <w:szCs w:val="24"/>
        </w:rPr>
        <w:t>Л</w:t>
      </w:r>
      <w:r w:rsidR="004E71B6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CD03DF">
        <w:rPr>
          <w:rFonts w:ascii="Times New Roman" w:hAnsi="Times New Roman" w:cs="Times New Roman"/>
          <w:b/>
          <w:sz w:val="24"/>
          <w:szCs w:val="24"/>
        </w:rPr>
        <w:t>тература</w:t>
      </w:r>
      <w:r w:rsidRPr="00CD03DF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24057775"/>
      <w:proofErr w:type="spellStart"/>
      <w:r w:rsidRPr="00CD03DF">
        <w:rPr>
          <w:rFonts w:ascii="Times New Roman" w:hAnsi="Times New Roman" w:cs="Times New Roman"/>
          <w:sz w:val="24"/>
          <w:szCs w:val="24"/>
        </w:rPr>
        <w:t>Бабак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О. Я. Лекарственно-индуцированные поражения печени: особенности выявления, постановки диагноза и ведения пациентов.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</w:rPr>
        <w:t>Здоров</w:t>
      </w:r>
      <w:r w:rsidR="008F13B1">
        <w:rPr>
          <w:rFonts w:ascii="Times New Roman" w:hAnsi="Times New Roman" w:cs="Times New Roman"/>
          <w:i/>
          <w:sz w:val="24"/>
          <w:szCs w:val="24"/>
        </w:rPr>
        <w:t>’</w:t>
      </w:r>
      <w:r w:rsidRPr="00CD03DF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Pr="00CD03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>. 2012. № 2. С. 32–35.</w:t>
      </w:r>
      <w:bookmarkEnd w:id="1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24057766"/>
      <w:proofErr w:type="spellStart"/>
      <w:r w:rsidRPr="00CD03DF">
        <w:rPr>
          <w:rFonts w:ascii="Times New Roman" w:hAnsi="Times New Roman" w:cs="Times New Roman"/>
          <w:sz w:val="24"/>
          <w:szCs w:val="24"/>
        </w:rPr>
        <w:t>Бабак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О. Я., Колесникова Е. В. Цирроз печени и его осложнения. Киев: Здоровье Украины, 2011. 576 с.</w:t>
      </w:r>
      <w:bookmarkEnd w:id="2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24057979"/>
      <w:r w:rsidRPr="00CD03DF">
        <w:rPr>
          <w:rFonts w:ascii="Times New Roman" w:hAnsi="Times New Roman" w:cs="Times New Roman"/>
          <w:sz w:val="24"/>
          <w:szCs w:val="24"/>
        </w:rPr>
        <w:t xml:space="preserve">Григорьева И. Н.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Урсодезоксихолевая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кислота во внутренней медицине. Москва: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Медпрактика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>-М, 2012. 152 с.</w:t>
      </w:r>
      <w:bookmarkEnd w:id="3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24057904"/>
      <w:proofErr w:type="spellStart"/>
      <w:r w:rsidRPr="00CD03DF">
        <w:rPr>
          <w:rFonts w:ascii="Times New Roman" w:hAnsi="Times New Roman" w:cs="Times New Roman"/>
          <w:sz w:val="24"/>
          <w:szCs w:val="24"/>
        </w:rPr>
        <w:t>Джоши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Кин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Бринд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Э. Наглядная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гепатология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. Пер. с англ. Ю.О.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Шульпековой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под ред. Ч. С. Павлова. Москва: ГЭОТАР-Медиа, 2018. 168 с.</w:t>
      </w:r>
      <w:bookmarkEnd w:id="4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24057793"/>
      <w:r w:rsidRPr="00CD03DF">
        <w:rPr>
          <w:rFonts w:ascii="Times New Roman" w:hAnsi="Times New Roman" w:cs="Times New Roman"/>
          <w:sz w:val="24"/>
          <w:szCs w:val="24"/>
        </w:rPr>
        <w:t xml:space="preserve">Еремина Е. Ю. Лекарственные поражения печени. </w:t>
      </w:r>
      <w:r w:rsidRPr="00CD03DF">
        <w:rPr>
          <w:rFonts w:ascii="Times New Roman" w:hAnsi="Times New Roman" w:cs="Times New Roman"/>
          <w:i/>
          <w:sz w:val="24"/>
          <w:szCs w:val="24"/>
        </w:rPr>
        <w:t>Гастроэнтерология Санкт-Петербурга</w:t>
      </w:r>
      <w:r w:rsidRPr="00CD03DF">
        <w:rPr>
          <w:rFonts w:ascii="Times New Roman" w:hAnsi="Times New Roman" w:cs="Times New Roman"/>
          <w:sz w:val="24"/>
          <w:szCs w:val="24"/>
        </w:rPr>
        <w:t>. 2012. №1. С. 16–23.</w:t>
      </w:r>
      <w:bookmarkEnd w:id="5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24057869"/>
      <w:r w:rsidRPr="00CD03DF">
        <w:rPr>
          <w:rFonts w:ascii="Times New Roman" w:hAnsi="Times New Roman" w:cs="Times New Roman"/>
          <w:sz w:val="24"/>
          <w:szCs w:val="24"/>
        </w:rPr>
        <w:t xml:space="preserve">Ивашкин В. Т., Маевская М. В.,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М. С. Алгоритмы диагностики и лечения в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гепатологии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. Москва: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Медпресс-информ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>, 2016. 176 с.</w:t>
      </w:r>
      <w:bookmarkEnd w:id="6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24057966"/>
      <w:r w:rsidRPr="00CD03DF">
        <w:rPr>
          <w:rFonts w:ascii="Times New Roman" w:hAnsi="Times New Roman" w:cs="Times New Roman"/>
          <w:sz w:val="24"/>
          <w:szCs w:val="24"/>
        </w:rPr>
        <w:t>Кучерявый Ю. А., Морозов С. В. Гепатопротекторы: рациональные аспекты применения: учеб. пособие для врачей. Москва: Форте Принт, 2012. 36 с.</w:t>
      </w:r>
      <w:bookmarkEnd w:id="7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24058050"/>
      <w:r w:rsidRPr="00CD03DF">
        <w:rPr>
          <w:rFonts w:ascii="Times New Roman" w:hAnsi="Times New Roman" w:cs="Times New Roman"/>
          <w:sz w:val="24"/>
          <w:szCs w:val="24"/>
        </w:rPr>
        <w:t xml:space="preserve">Мудрые мысли о медицине и врачевании. Автор композиции Я. С.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Циммерман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>. Москва: ГЭОТАР-Медиа, 2015. 256 с.</w:t>
      </w:r>
      <w:bookmarkEnd w:id="8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24057789"/>
      <w:r w:rsidRPr="00CD03DF">
        <w:rPr>
          <w:rFonts w:ascii="Times New Roman" w:hAnsi="Times New Roman" w:cs="Times New Roman"/>
          <w:sz w:val="24"/>
          <w:szCs w:val="24"/>
        </w:rPr>
        <w:t xml:space="preserve">Полунина Т. Е.,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Маев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И. В., Полунина Е. В.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Гепатология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для практического врача. Москва: Авторская Академия, 2009. 354 с.</w:t>
      </w:r>
      <w:bookmarkEnd w:id="9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Ref24057943"/>
      <w:r w:rsidRPr="00CD03DF">
        <w:rPr>
          <w:rFonts w:ascii="Times New Roman" w:hAnsi="Times New Roman" w:cs="Times New Roman"/>
          <w:sz w:val="24"/>
          <w:szCs w:val="24"/>
        </w:rPr>
        <w:t xml:space="preserve">Скакун Н. П.,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Шманько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В. В.,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Охримович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Л. М. Клиническая фармакология гепатопротекторов. Тернополь: Збруч, 1995. 272 с.</w:t>
      </w:r>
      <w:bookmarkEnd w:id="10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Ref24057822"/>
      <w:r w:rsidRPr="00CD03DF">
        <w:rPr>
          <w:rFonts w:ascii="Times New Roman" w:hAnsi="Times New Roman" w:cs="Times New Roman"/>
          <w:sz w:val="24"/>
          <w:szCs w:val="24"/>
        </w:rPr>
        <w:t xml:space="preserve">Скрипник І. М., Мельник Т. В.,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Потяженко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М. М.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Клінічна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гепатологія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посібн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. Полтава: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Дивосвіт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>, 2007. 424 с.</w:t>
      </w:r>
      <w:bookmarkEnd w:id="11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24057827"/>
      <w:proofErr w:type="spellStart"/>
      <w:r w:rsidRPr="00CD03DF">
        <w:rPr>
          <w:rFonts w:ascii="Times New Roman" w:hAnsi="Times New Roman" w:cs="Times New Roman"/>
          <w:sz w:val="24"/>
          <w:szCs w:val="24"/>
        </w:rPr>
        <w:t>Скрыпник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И. Н. Проблема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гепатотоксичности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антибактериальных препаратов с точки зрения современной медицины.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</w:rPr>
        <w:t>Здоров</w:t>
      </w:r>
      <w:r w:rsidR="008F13B1">
        <w:rPr>
          <w:rFonts w:ascii="Times New Roman" w:hAnsi="Times New Roman" w:cs="Times New Roman"/>
          <w:i/>
          <w:sz w:val="24"/>
          <w:szCs w:val="24"/>
        </w:rPr>
        <w:t>’</w:t>
      </w:r>
      <w:r w:rsidRPr="00CD03DF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Pr="00CD03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>. 2009. № 7. С. 36–37.</w:t>
      </w:r>
      <w:bookmarkEnd w:id="12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Ref24057771"/>
      <w:r w:rsidRPr="00CD03DF">
        <w:rPr>
          <w:rFonts w:ascii="Times New Roman" w:hAnsi="Times New Roman" w:cs="Times New Roman"/>
          <w:sz w:val="24"/>
          <w:szCs w:val="24"/>
        </w:rPr>
        <w:t xml:space="preserve">Ушкалова Е. А.,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Коровякова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Э. А. Лекарственные поражения печени при применении антибактериальных средств.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</w:rPr>
        <w:t>Леч</w:t>
      </w:r>
      <w:proofErr w:type="spellEnd"/>
      <w:r w:rsidRPr="00CD03DF">
        <w:rPr>
          <w:rFonts w:ascii="Times New Roman" w:hAnsi="Times New Roman" w:cs="Times New Roman"/>
          <w:i/>
          <w:sz w:val="24"/>
          <w:szCs w:val="24"/>
        </w:rPr>
        <w:t>. врач</w:t>
      </w:r>
      <w:r w:rsidRPr="00CD03DF">
        <w:rPr>
          <w:rFonts w:ascii="Times New Roman" w:hAnsi="Times New Roman" w:cs="Times New Roman"/>
          <w:sz w:val="24"/>
          <w:szCs w:val="24"/>
        </w:rPr>
        <w:t>. 2012. № 2. С. 84–88.</w:t>
      </w:r>
      <w:bookmarkEnd w:id="13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24057848"/>
      <w:r w:rsidRPr="00CD03DF">
        <w:rPr>
          <w:rFonts w:ascii="Times New Roman" w:hAnsi="Times New Roman" w:cs="Times New Roman"/>
          <w:sz w:val="24"/>
          <w:szCs w:val="24"/>
        </w:rPr>
        <w:t xml:space="preserve">Фролов В. М., Романюк Б. П.,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Петруня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А. М. Токсические и медикаментозные поражения печени и их лечение. Луганск: Изд-во ЛГМУ, 1994. 106 с.</w:t>
      </w:r>
      <w:bookmarkEnd w:id="14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Ref24057751"/>
      <w:proofErr w:type="spellStart"/>
      <w:r w:rsidRPr="00CD03DF">
        <w:rPr>
          <w:rFonts w:ascii="Times New Roman" w:hAnsi="Times New Roman" w:cs="Times New Roman"/>
          <w:sz w:val="24"/>
          <w:szCs w:val="24"/>
        </w:rPr>
        <w:t>Хомерики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С. Г.,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Хомерики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Н. М. Лекарственные поражения печени: учеб. пособие для врачей. Москва: Форте Принт, 2012. 40 с.</w:t>
      </w:r>
      <w:bookmarkEnd w:id="15"/>
    </w:p>
    <w:p w:rsidR="00FF3578" w:rsidRPr="00CD03DF" w:rsidRDefault="00FF3578" w:rsidP="00C124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Ref24057740"/>
      <w:proofErr w:type="spellStart"/>
      <w:r w:rsidRPr="00CD03DF">
        <w:rPr>
          <w:rFonts w:ascii="Times New Roman" w:hAnsi="Times New Roman" w:cs="Times New Roman"/>
          <w:sz w:val="24"/>
          <w:szCs w:val="24"/>
        </w:rPr>
        <w:t>Шифф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Ю. Р.,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Соррел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М. Ф.,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Мэддрей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У. С. Болезни печени по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Шиффу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. Алкогольные, лекарственные, генетические и метаболические заболевания. Пер. </w:t>
      </w:r>
      <w:r w:rsidRPr="00CD03DF">
        <w:rPr>
          <w:rFonts w:ascii="Times New Roman" w:hAnsi="Times New Roman" w:cs="Times New Roman"/>
          <w:sz w:val="24"/>
          <w:szCs w:val="24"/>
        </w:rPr>
        <w:lastRenderedPageBreak/>
        <w:t xml:space="preserve">с англ. под ред. Н. А. Мухина, Д. Т. Абдурахмановой, Э. З.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Бурневича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>. Москва: ГЭОТАР-Медиа, 2011. 480 с.</w:t>
      </w:r>
      <w:bookmarkEnd w:id="16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7" w:name="_Ref24057755"/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Biour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Jaillon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P. Drug-induced hepatic diseases.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Pathol</w:t>
      </w:r>
      <w:proofErr w:type="spellEnd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. Biol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>. 1999. Vol. 47. P. 928–937.</w:t>
      </w:r>
      <w:bookmarkEnd w:id="17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8" w:name="_Ref24057760"/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Denk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H. Drug-induced liver injury.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Verh</w:t>
      </w:r>
      <w:proofErr w:type="spellEnd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Dtsch</w:t>
      </w:r>
      <w:proofErr w:type="spellEnd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Ges</w:t>
      </w:r>
      <w:proofErr w:type="spellEnd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Pathol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>. 2002. Vol. 86. P. 120–125.</w:t>
      </w:r>
      <w:bookmarkEnd w:id="18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9" w:name="_Ref24057745"/>
      <w:r w:rsidRPr="00CD03DF">
        <w:rPr>
          <w:rFonts w:ascii="Times New Roman" w:hAnsi="Times New Roman" w:cs="Times New Roman"/>
          <w:sz w:val="24"/>
          <w:szCs w:val="24"/>
          <w:lang w:val="en-US"/>
        </w:rPr>
        <w:t>Dooley J. S., Lok A. S. F., Burroughs A. K., Heathcote E. J. Sherlock</w:t>
      </w:r>
      <w:r w:rsidR="008F13B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>s Diseases of the liver and biliary system. 12th ed. New Delhi: WILEY-BLACKWELL, 2011. 771 p.</w:t>
      </w:r>
      <w:bookmarkEnd w:id="19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0" w:name="_Ref24057955"/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Grüngreiff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K., Lambert-Baumann J.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Wirksamkeit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von L-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Ornithin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>-L-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Aspartat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Granulat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chronischen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Lebererkrankungen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Ergebnisse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Anwendungsbeobachtung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1167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Patienten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Med. Welt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>. 2001. Vol. 52. P. 219−226.</w:t>
      </w:r>
      <w:bookmarkEnd w:id="20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1" w:name="_Ref24058024"/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Habscheid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W., Abele U.,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Dahm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H. H. Severe cholestasis with kidney failure from anabolic steroids in a body builder.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Dtsch</w:t>
      </w:r>
      <w:proofErr w:type="spellEnd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Med.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Wochenschr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>. 1999. Vol. 124, No 36. P. 1029–1032.</w:t>
      </w:r>
      <w:bookmarkEnd w:id="21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2" w:name="_Ref24058020"/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Kallinowski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Theilmann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L., Zimmermann R. Effective treatment of cyclosporine-induced cholestasis in heart-transplanted patients treated with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acid. </w:t>
      </w:r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Transplantation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>. 1991. Vol. 51, No 5. P. 1128–1129.</w:t>
      </w:r>
      <w:bookmarkEnd w:id="22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3" w:name="_Ref24057961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Lieber C. S., Weiss D. G.,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Groszmann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R. Veterans Affairs Cooperative Study of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polyenylphosphatidylcholine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in alcoholic liver disease. </w:t>
      </w:r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Alcohol. Clin. Exp. Res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>. 2003. Vol. 27, No 11. P. 1765–1772.</w:t>
      </w:r>
      <w:bookmarkEnd w:id="23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4" w:name="_Ref24057893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Navarro V. J., Khan I.,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Björnsson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E. Liver injury from herbal and dietary supplements. </w:t>
      </w:r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Hepatology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>. 2017. Vol. 65, No 1. P. 363–373.</w:t>
      </w:r>
      <w:bookmarkEnd w:id="24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5" w:name="_Ref24058016"/>
      <w:r w:rsidRPr="00CD03D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F13B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Brien C. B., Shields D. S., Saul S. H., Reddy K. R. Drug-induced vanishing bile duct syndrome: response to ursodiol. </w:t>
      </w:r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Am. J. Gastroenterol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>. 1996. Vol. 91, No 7. P. 1456–1457.</w:t>
      </w:r>
      <w:bookmarkEnd w:id="25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6" w:name="_Ref24057951"/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Palasciano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Portincasa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P., Palmieri V. The effect of silymarin on plasma levels of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malon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-dialdehyde in patients receiving long-term treatment with psychotropic drugs. </w:t>
      </w:r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Current Therapeutic Research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>. 1994. Vol. 55, No 5. P. 537–545.</w:t>
      </w:r>
      <w:bookmarkEnd w:id="26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7" w:name="_Ref24058008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Piotrowicz A.,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Polkey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M., Wilkinson M.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acid for the treatment of flucloxacillin-associated cholestasis. </w:t>
      </w:r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Hepatol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>. 1995. Vol. 22, No 1. P. 119–120.</w:t>
      </w:r>
      <w:bookmarkEnd w:id="27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8" w:name="_Ref24058013"/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Reshef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R., Cohen I., Shiller M. Does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acid have a place in the treatment of amiodarone-induced cholestasis? </w:t>
      </w:r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J. Clin. Gastroenterol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>. 1994. Vol. 18, No 2. P. 177–178.</w:t>
      </w:r>
      <w:bookmarkEnd w:id="28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9" w:name="_Ref24057947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Saba P.,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Galeon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Salvadorini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F. Therapeutic action of silymarin on chronic hepatopathies caused by psychopharmaceuticals. </w:t>
      </w:r>
      <w:proofErr w:type="spellStart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Gazz</w:t>
      </w:r>
      <w:proofErr w:type="spellEnd"/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. Med. Ital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>. 1976. No 135. P. 236–251.</w:t>
      </w:r>
      <w:bookmarkEnd w:id="29"/>
    </w:p>
    <w:p w:rsidR="00FF3578" w:rsidRPr="00CD03DF" w:rsidRDefault="00FF3578" w:rsidP="00FF357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0" w:name="_Ref24058032"/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Uraz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Tahan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Aygun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C. Role of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acid in prevention of </w:t>
      </w:r>
      <w:proofErr w:type="spellStart"/>
      <w:r w:rsidRPr="00CD03DF">
        <w:rPr>
          <w:rFonts w:ascii="Times New Roman" w:hAnsi="Times New Roman" w:cs="Times New Roman"/>
          <w:sz w:val="24"/>
          <w:szCs w:val="24"/>
          <w:lang w:val="en-US"/>
        </w:rPr>
        <w:t>methotrexateinduced</w:t>
      </w:r>
      <w:proofErr w:type="spellEnd"/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liver toxicity. </w:t>
      </w:r>
      <w:r w:rsidRPr="00CD03DF">
        <w:rPr>
          <w:rFonts w:ascii="Times New Roman" w:hAnsi="Times New Roman" w:cs="Times New Roman"/>
          <w:i/>
          <w:sz w:val="24"/>
          <w:szCs w:val="24"/>
          <w:lang w:val="en-US"/>
        </w:rPr>
        <w:t>Dig. Dis. Sci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>. 2008. Vol. 53, No 4. P. 1071–1077.</w:t>
      </w:r>
      <w:bookmarkEnd w:id="30"/>
    </w:p>
    <w:p w:rsidR="00FF3578" w:rsidRPr="00CD03DF" w:rsidRDefault="00FF3578" w:rsidP="00FF3578">
      <w:pPr>
        <w:pStyle w:val="a3"/>
        <w:spacing w:after="0" w:line="240" w:lineRule="auto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483BD9" w:rsidRPr="00CD03DF" w:rsidRDefault="00483B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03DF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483BD9" w:rsidRPr="00CD03DF" w:rsidRDefault="00483BD9" w:rsidP="00483B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3DF">
        <w:rPr>
          <w:rFonts w:ascii="Times New Roman" w:hAnsi="Times New Roman" w:cs="Times New Roman"/>
          <w:sz w:val="24"/>
          <w:szCs w:val="24"/>
        </w:rPr>
        <w:lastRenderedPageBreak/>
        <w:t>УДК</w:t>
      </w:r>
      <w:r w:rsidRPr="00CD03DF">
        <w:rPr>
          <w:rFonts w:ascii="Times New Roman" w:hAnsi="Times New Roman" w:cs="Times New Roman"/>
          <w:sz w:val="24"/>
          <w:szCs w:val="24"/>
          <w:lang w:val="en-US"/>
        </w:rPr>
        <w:t xml:space="preserve"> 615.065:616.36-008-03-07-08</w:t>
      </w:r>
    </w:p>
    <w:p w:rsidR="00C12494" w:rsidRPr="008F13B1" w:rsidRDefault="00C12494" w:rsidP="00C1249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3DF">
        <w:rPr>
          <w:rFonts w:ascii="Times New Roman" w:hAnsi="Times New Roman" w:cs="Times New Roman"/>
          <w:b/>
          <w:sz w:val="24"/>
          <w:szCs w:val="24"/>
        </w:rPr>
        <w:t>Лекарственные</w:t>
      </w:r>
      <w:r w:rsidRPr="008F1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3DF">
        <w:rPr>
          <w:rFonts w:ascii="Times New Roman" w:hAnsi="Times New Roman" w:cs="Times New Roman"/>
          <w:b/>
          <w:sz w:val="24"/>
          <w:szCs w:val="24"/>
        </w:rPr>
        <w:t>поражения</w:t>
      </w:r>
      <w:r w:rsidRPr="008F1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3DF">
        <w:rPr>
          <w:rFonts w:ascii="Times New Roman" w:hAnsi="Times New Roman" w:cs="Times New Roman"/>
          <w:b/>
          <w:sz w:val="24"/>
          <w:szCs w:val="24"/>
        </w:rPr>
        <w:t>печени</w:t>
      </w:r>
      <w:r w:rsidRPr="008F13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D03DF">
        <w:rPr>
          <w:rFonts w:ascii="Times New Roman" w:hAnsi="Times New Roman" w:cs="Times New Roman"/>
          <w:b/>
          <w:sz w:val="24"/>
          <w:szCs w:val="24"/>
        </w:rPr>
        <w:t>от</w:t>
      </w:r>
      <w:r w:rsidRPr="008F1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3DF">
        <w:rPr>
          <w:rFonts w:ascii="Times New Roman" w:hAnsi="Times New Roman" w:cs="Times New Roman"/>
          <w:b/>
          <w:sz w:val="24"/>
          <w:szCs w:val="24"/>
        </w:rPr>
        <w:t>патогенеза</w:t>
      </w:r>
      <w:r w:rsidRPr="008F1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3DF">
        <w:rPr>
          <w:rFonts w:ascii="Times New Roman" w:hAnsi="Times New Roman" w:cs="Times New Roman"/>
          <w:b/>
          <w:sz w:val="24"/>
          <w:szCs w:val="24"/>
        </w:rPr>
        <w:t>к</w:t>
      </w:r>
      <w:r w:rsidRPr="008F1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3DF">
        <w:rPr>
          <w:rFonts w:ascii="Times New Roman" w:hAnsi="Times New Roman" w:cs="Times New Roman"/>
          <w:b/>
          <w:sz w:val="24"/>
          <w:szCs w:val="24"/>
        </w:rPr>
        <w:t>лечению</w:t>
      </w:r>
    </w:p>
    <w:p w:rsidR="00C12494" w:rsidRPr="00CD03DF" w:rsidRDefault="00C12494" w:rsidP="00C124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3DF">
        <w:rPr>
          <w:rFonts w:ascii="Times New Roman" w:hAnsi="Times New Roman" w:cs="Times New Roman"/>
          <w:sz w:val="24"/>
          <w:szCs w:val="24"/>
        </w:rPr>
        <w:t>Н</w:t>
      </w:r>
      <w:r w:rsidRPr="008F13B1">
        <w:rPr>
          <w:rFonts w:ascii="Times New Roman" w:hAnsi="Times New Roman" w:cs="Times New Roman"/>
          <w:sz w:val="24"/>
          <w:szCs w:val="24"/>
        </w:rPr>
        <w:t>.</w:t>
      </w:r>
      <w:r w:rsidRPr="00CD0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03DF">
        <w:rPr>
          <w:rFonts w:ascii="Times New Roman" w:hAnsi="Times New Roman" w:cs="Times New Roman"/>
          <w:sz w:val="24"/>
          <w:szCs w:val="24"/>
        </w:rPr>
        <w:t>Б</w:t>
      </w:r>
      <w:r w:rsidRPr="008F13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Губергриц</w:t>
      </w:r>
      <w:proofErr w:type="spellEnd"/>
      <w:r w:rsidRPr="008F13B1">
        <w:rPr>
          <w:rFonts w:ascii="Times New Roman" w:hAnsi="Times New Roman" w:cs="Times New Roman"/>
          <w:sz w:val="24"/>
          <w:szCs w:val="24"/>
        </w:rPr>
        <w:t xml:space="preserve">, </w:t>
      </w:r>
      <w:r w:rsidRPr="00CD03DF">
        <w:rPr>
          <w:rFonts w:ascii="Times New Roman" w:hAnsi="Times New Roman" w:cs="Times New Roman"/>
          <w:sz w:val="24"/>
          <w:szCs w:val="24"/>
        </w:rPr>
        <w:t>Н</w:t>
      </w:r>
      <w:r w:rsidRPr="008F13B1">
        <w:rPr>
          <w:rFonts w:ascii="Times New Roman" w:hAnsi="Times New Roman" w:cs="Times New Roman"/>
          <w:sz w:val="24"/>
          <w:szCs w:val="24"/>
        </w:rPr>
        <w:t>.</w:t>
      </w:r>
      <w:r w:rsidRPr="00CD0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03DF">
        <w:rPr>
          <w:rFonts w:ascii="Times New Roman" w:hAnsi="Times New Roman" w:cs="Times New Roman"/>
          <w:sz w:val="24"/>
          <w:szCs w:val="24"/>
        </w:rPr>
        <w:t>В</w:t>
      </w:r>
      <w:r w:rsidRPr="008F13B1">
        <w:rPr>
          <w:rFonts w:ascii="Times New Roman" w:hAnsi="Times New Roman" w:cs="Times New Roman"/>
          <w:sz w:val="24"/>
          <w:szCs w:val="24"/>
        </w:rPr>
        <w:t xml:space="preserve">. </w:t>
      </w:r>
      <w:r w:rsidRPr="00CD03DF">
        <w:rPr>
          <w:rFonts w:ascii="Times New Roman" w:hAnsi="Times New Roman" w:cs="Times New Roman"/>
          <w:sz w:val="24"/>
          <w:szCs w:val="24"/>
        </w:rPr>
        <w:t>Беляева</w:t>
      </w:r>
      <w:r w:rsidRPr="008F13B1">
        <w:rPr>
          <w:rFonts w:ascii="Times New Roman" w:hAnsi="Times New Roman" w:cs="Times New Roman"/>
          <w:sz w:val="24"/>
          <w:szCs w:val="24"/>
        </w:rPr>
        <w:t xml:space="preserve">, </w:t>
      </w:r>
      <w:r w:rsidRPr="00CD03DF">
        <w:rPr>
          <w:rFonts w:ascii="Times New Roman" w:hAnsi="Times New Roman" w:cs="Times New Roman"/>
          <w:sz w:val="24"/>
          <w:szCs w:val="24"/>
        </w:rPr>
        <w:t>А</w:t>
      </w:r>
      <w:r w:rsidRPr="008F13B1">
        <w:rPr>
          <w:rFonts w:ascii="Times New Roman" w:hAnsi="Times New Roman" w:cs="Times New Roman"/>
          <w:sz w:val="24"/>
          <w:szCs w:val="24"/>
        </w:rPr>
        <w:t>.</w:t>
      </w:r>
      <w:r w:rsidRPr="00CD0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03DF">
        <w:rPr>
          <w:rFonts w:ascii="Times New Roman" w:hAnsi="Times New Roman" w:cs="Times New Roman"/>
          <w:sz w:val="24"/>
          <w:szCs w:val="24"/>
        </w:rPr>
        <w:t>Е. Клочков, Г.</w:t>
      </w:r>
      <w:r w:rsidRPr="00CD0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03DF">
        <w:rPr>
          <w:rFonts w:ascii="Times New Roman" w:hAnsi="Times New Roman" w:cs="Times New Roman"/>
          <w:sz w:val="24"/>
          <w:szCs w:val="24"/>
        </w:rPr>
        <w:t>М. Лукашевич, П.</w:t>
      </w:r>
      <w:r w:rsidRPr="00CD03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03DF">
        <w:rPr>
          <w:rFonts w:ascii="Times New Roman" w:hAnsi="Times New Roman" w:cs="Times New Roman"/>
          <w:sz w:val="24"/>
          <w:szCs w:val="24"/>
        </w:rPr>
        <w:t>Г. Фоменко</w:t>
      </w:r>
    </w:p>
    <w:p w:rsidR="00C12494" w:rsidRPr="00CD03DF" w:rsidRDefault="00C12494" w:rsidP="00C124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3DF">
        <w:rPr>
          <w:rFonts w:ascii="Times New Roman" w:hAnsi="Times New Roman" w:cs="Times New Roman"/>
          <w:sz w:val="24"/>
          <w:szCs w:val="24"/>
        </w:rPr>
        <w:t>Донецкий национальный медицинский университет, Украина</w:t>
      </w:r>
    </w:p>
    <w:p w:rsidR="00C12494" w:rsidRPr="00CD03DF" w:rsidRDefault="00C12494" w:rsidP="00C124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2494" w:rsidRPr="00CD03DF" w:rsidRDefault="00C12494" w:rsidP="00C124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3DF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CD03DF">
        <w:rPr>
          <w:rFonts w:ascii="Times New Roman" w:hAnsi="Times New Roman" w:cs="Times New Roman"/>
          <w:sz w:val="24"/>
          <w:szCs w:val="24"/>
        </w:rPr>
        <w:t xml:space="preserve"> лекарственны</w:t>
      </w:r>
      <w:r w:rsidR="008F13B1">
        <w:rPr>
          <w:rFonts w:ascii="Times New Roman" w:hAnsi="Times New Roman" w:cs="Times New Roman"/>
          <w:sz w:val="24"/>
          <w:szCs w:val="24"/>
        </w:rPr>
        <w:t>е</w:t>
      </w:r>
      <w:r w:rsidRPr="00CD03DF">
        <w:rPr>
          <w:rFonts w:ascii="Times New Roman" w:hAnsi="Times New Roman" w:cs="Times New Roman"/>
          <w:sz w:val="24"/>
          <w:szCs w:val="24"/>
        </w:rPr>
        <w:t xml:space="preserve"> поражения печени, частота, классификация, патогенез, лечение,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урсодезоксихолевая</w:t>
      </w:r>
      <w:proofErr w:type="spellEnd"/>
      <w:r w:rsidRPr="00CD03DF">
        <w:rPr>
          <w:rFonts w:ascii="Times New Roman" w:hAnsi="Times New Roman" w:cs="Times New Roman"/>
          <w:sz w:val="24"/>
          <w:szCs w:val="24"/>
        </w:rPr>
        <w:t xml:space="preserve"> кислота</w:t>
      </w:r>
    </w:p>
    <w:p w:rsidR="00483BD9" w:rsidRPr="008F13B1" w:rsidRDefault="00483BD9" w:rsidP="00F979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3DF">
        <w:rPr>
          <w:rFonts w:ascii="Times New Roman" w:hAnsi="Times New Roman" w:cs="Times New Roman"/>
          <w:sz w:val="24"/>
          <w:szCs w:val="24"/>
        </w:rPr>
        <w:t>В статье приведены данные о клас</w:t>
      </w:r>
      <w:r w:rsidR="00B11567" w:rsidRPr="00CD03DF">
        <w:rPr>
          <w:rFonts w:ascii="Times New Roman" w:hAnsi="Times New Roman" w:cs="Times New Roman"/>
          <w:sz w:val="24"/>
          <w:szCs w:val="24"/>
        </w:rPr>
        <w:t xml:space="preserve">сификации, патогенезе, клинике, </w:t>
      </w:r>
      <w:r w:rsidRPr="00CD03DF">
        <w:rPr>
          <w:rFonts w:ascii="Times New Roman" w:hAnsi="Times New Roman" w:cs="Times New Roman"/>
          <w:sz w:val="24"/>
          <w:szCs w:val="24"/>
        </w:rPr>
        <w:t>диагностике и дифференцированной тактике лечения, практический алгоритм распознавания и предотвращения развития лекарственных поражений печени. Проанализирован патогенез лекарственных поражений печени, для понимания которого объяснены механизмы метаболизма лекарственных средств, описаны фазы этого метаболизма. Выделены 4 основных механизма патологического действия лекарственных средств на печень: прямое ток</w:t>
      </w:r>
      <w:r w:rsidR="008F13B1">
        <w:rPr>
          <w:rFonts w:ascii="Times New Roman" w:hAnsi="Times New Roman" w:cs="Times New Roman"/>
          <w:sz w:val="24"/>
          <w:szCs w:val="24"/>
        </w:rPr>
        <w:t xml:space="preserve">сическое действие на </w:t>
      </w:r>
      <w:proofErr w:type="spellStart"/>
      <w:r w:rsidR="008F13B1">
        <w:rPr>
          <w:rFonts w:ascii="Times New Roman" w:hAnsi="Times New Roman" w:cs="Times New Roman"/>
          <w:sz w:val="24"/>
          <w:szCs w:val="24"/>
        </w:rPr>
        <w:t>гепатоциты</w:t>
      </w:r>
      <w:proofErr w:type="spellEnd"/>
      <w:r w:rsidR="008F13B1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CD03DF">
        <w:rPr>
          <w:rFonts w:ascii="Times New Roman" w:hAnsi="Times New Roman" w:cs="Times New Roman"/>
          <w:sz w:val="24"/>
          <w:szCs w:val="24"/>
        </w:rPr>
        <w:t xml:space="preserve"> токсическое действие ме</w:t>
      </w:r>
      <w:r w:rsidR="008F13B1">
        <w:rPr>
          <w:rFonts w:ascii="Times New Roman" w:hAnsi="Times New Roman" w:cs="Times New Roman"/>
          <w:sz w:val="24"/>
          <w:szCs w:val="24"/>
        </w:rPr>
        <w:t>таболитов лекарственных средств</w:t>
      </w:r>
      <w:r w:rsidR="008F13B1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F13B1">
        <w:rPr>
          <w:rFonts w:ascii="Times New Roman" w:hAnsi="Times New Roman" w:cs="Times New Roman"/>
          <w:sz w:val="24"/>
          <w:szCs w:val="24"/>
        </w:rPr>
        <w:t xml:space="preserve"> иммуноаллерг</w:t>
      </w:r>
      <w:r w:rsidRPr="00CD03DF">
        <w:rPr>
          <w:rFonts w:ascii="Times New Roman" w:hAnsi="Times New Roman" w:cs="Times New Roman"/>
          <w:sz w:val="24"/>
          <w:szCs w:val="24"/>
        </w:rPr>
        <w:t>ические поражения печени; идиосинкразия.</w:t>
      </w:r>
      <w:r w:rsidR="00B11567" w:rsidRPr="00CD03DF">
        <w:rPr>
          <w:rFonts w:ascii="Times New Roman" w:hAnsi="Times New Roman" w:cs="Times New Roman"/>
          <w:sz w:val="24"/>
          <w:szCs w:val="24"/>
        </w:rPr>
        <w:t xml:space="preserve"> Особое внимание уделено патогенезу лекарственно-индуцированного холестаза. Прямые </w:t>
      </w:r>
      <w:proofErr w:type="spellStart"/>
      <w:r w:rsidR="00B11567" w:rsidRPr="00CD03DF">
        <w:rPr>
          <w:rFonts w:ascii="Times New Roman" w:hAnsi="Times New Roman" w:cs="Times New Roman"/>
          <w:sz w:val="24"/>
          <w:szCs w:val="24"/>
        </w:rPr>
        <w:t>гепатотоксические</w:t>
      </w:r>
      <w:proofErr w:type="spellEnd"/>
      <w:r w:rsidR="00B11567" w:rsidRPr="00CD03DF">
        <w:rPr>
          <w:rFonts w:ascii="Times New Roman" w:hAnsi="Times New Roman" w:cs="Times New Roman"/>
          <w:sz w:val="24"/>
          <w:szCs w:val="24"/>
        </w:rPr>
        <w:t xml:space="preserve"> реакции развиваются по </w:t>
      </w:r>
      <w:proofErr w:type="spellStart"/>
      <w:r w:rsidR="00B11567" w:rsidRPr="00CD03DF">
        <w:rPr>
          <w:rFonts w:ascii="Times New Roman" w:hAnsi="Times New Roman" w:cs="Times New Roman"/>
          <w:sz w:val="24"/>
          <w:szCs w:val="24"/>
        </w:rPr>
        <w:t>цитолитическому</w:t>
      </w:r>
      <w:proofErr w:type="spellEnd"/>
      <w:r w:rsidR="00B11567" w:rsidRPr="00CD03DF">
        <w:rPr>
          <w:rFonts w:ascii="Times New Roman" w:hAnsi="Times New Roman" w:cs="Times New Roman"/>
          <w:sz w:val="24"/>
          <w:szCs w:val="24"/>
        </w:rPr>
        <w:t xml:space="preserve"> (гепатоцеллюлярному, паренхиматозному), холестатическому или смешанному варианту</w:t>
      </w:r>
      <w:r w:rsidR="00F9793D" w:rsidRPr="00CD03DF">
        <w:rPr>
          <w:rFonts w:ascii="Times New Roman" w:hAnsi="Times New Roman" w:cs="Times New Roman"/>
          <w:sz w:val="24"/>
          <w:szCs w:val="24"/>
        </w:rPr>
        <w:t xml:space="preserve">. Наиболее часто диагностируемым клиническим вариантом лекарственных поражений печени является лекарственный гепатит. Выделяют пять форм гепатита, индуцированного приемом фармакологических средств: лекарственный гепатит с изолированным повышением трансаминаз (противотуберкулезные препараты, </w:t>
      </w:r>
      <w:proofErr w:type="spellStart"/>
      <w:r w:rsidR="00F9793D" w:rsidRPr="00CD03DF">
        <w:rPr>
          <w:rFonts w:ascii="Times New Roman" w:hAnsi="Times New Roman" w:cs="Times New Roman"/>
          <w:sz w:val="24"/>
          <w:szCs w:val="24"/>
        </w:rPr>
        <w:t>метилдопа</w:t>
      </w:r>
      <w:proofErr w:type="spellEnd"/>
      <w:r w:rsidR="00F9793D" w:rsidRPr="00CD03DF">
        <w:rPr>
          <w:rFonts w:ascii="Times New Roman" w:hAnsi="Times New Roman" w:cs="Times New Roman"/>
          <w:sz w:val="24"/>
          <w:szCs w:val="24"/>
        </w:rPr>
        <w:t xml:space="preserve">, амиодарон, </w:t>
      </w:r>
      <w:proofErr w:type="spellStart"/>
      <w:r w:rsidR="00F9793D" w:rsidRPr="00CD03DF">
        <w:rPr>
          <w:rFonts w:ascii="Times New Roman" w:hAnsi="Times New Roman" w:cs="Times New Roman"/>
          <w:sz w:val="24"/>
          <w:szCs w:val="24"/>
        </w:rPr>
        <w:t>статины</w:t>
      </w:r>
      <w:proofErr w:type="spellEnd"/>
      <w:r w:rsidR="00F9793D" w:rsidRPr="00CD03DF">
        <w:rPr>
          <w:rFonts w:ascii="Times New Roman" w:hAnsi="Times New Roman" w:cs="Times New Roman"/>
          <w:sz w:val="24"/>
          <w:szCs w:val="24"/>
        </w:rPr>
        <w:t xml:space="preserve">); острый гепатит с желтухой; </w:t>
      </w:r>
      <w:proofErr w:type="spellStart"/>
      <w:r w:rsidR="00F9793D" w:rsidRPr="00CD03DF">
        <w:rPr>
          <w:rFonts w:ascii="Times New Roman" w:hAnsi="Times New Roman" w:cs="Times New Roman"/>
          <w:sz w:val="24"/>
          <w:szCs w:val="24"/>
        </w:rPr>
        <w:t>псевдохирургическая</w:t>
      </w:r>
      <w:proofErr w:type="spellEnd"/>
      <w:r w:rsidR="00F9793D" w:rsidRPr="00CD03DF">
        <w:rPr>
          <w:rFonts w:ascii="Times New Roman" w:hAnsi="Times New Roman" w:cs="Times New Roman"/>
          <w:sz w:val="24"/>
          <w:szCs w:val="24"/>
        </w:rPr>
        <w:t xml:space="preserve"> форма острого гепатита: боли в животе, лихорадка, желтуха, увеличенный желчный пузырь (</w:t>
      </w:r>
      <w:proofErr w:type="spellStart"/>
      <w:r w:rsidR="00F9793D" w:rsidRPr="00CD03DF">
        <w:rPr>
          <w:rFonts w:ascii="Times New Roman" w:hAnsi="Times New Roman" w:cs="Times New Roman"/>
          <w:sz w:val="24"/>
          <w:szCs w:val="24"/>
        </w:rPr>
        <w:t>цитостатики</w:t>
      </w:r>
      <w:proofErr w:type="spellEnd"/>
      <w:r w:rsidR="00F9793D" w:rsidRPr="00CD03DF">
        <w:rPr>
          <w:rFonts w:ascii="Times New Roman" w:hAnsi="Times New Roman" w:cs="Times New Roman"/>
          <w:sz w:val="24"/>
          <w:szCs w:val="24"/>
        </w:rPr>
        <w:t>, антидепрессанты, антиаритмические препараты); тяжелые формы острого гепатита с печеночной недостаточностью; хронический лекарственный гепатит.</w:t>
      </w:r>
      <w:r w:rsidRPr="00CD03DF">
        <w:rPr>
          <w:rFonts w:ascii="Times New Roman" w:hAnsi="Times New Roman" w:cs="Times New Roman"/>
          <w:sz w:val="24"/>
          <w:szCs w:val="24"/>
        </w:rPr>
        <w:t xml:space="preserve"> Представлены международные критерии диагностики, основные данные о морфологических изменениях печени. Изложено объяснение действия </w:t>
      </w:r>
      <w:proofErr w:type="spellStart"/>
      <w:r w:rsidRPr="00CD03DF">
        <w:rPr>
          <w:rFonts w:ascii="Times New Roman" w:hAnsi="Times New Roman" w:cs="Times New Roman"/>
          <w:sz w:val="24"/>
          <w:szCs w:val="24"/>
        </w:rPr>
        <w:t>урсодезокси</w:t>
      </w:r>
      <w:r w:rsidR="00F9793D" w:rsidRPr="00CD03DF">
        <w:rPr>
          <w:rFonts w:ascii="Times New Roman" w:hAnsi="Times New Roman" w:cs="Times New Roman"/>
          <w:sz w:val="24"/>
          <w:szCs w:val="24"/>
        </w:rPr>
        <w:t>холево</w:t>
      </w:r>
      <w:r w:rsidR="00D46634" w:rsidRPr="00CD03D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D46634" w:rsidRPr="00CD03DF">
        <w:rPr>
          <w:rFonts w:ascii="Times New Roman" w:hAnsi="Times New Roman" w:cs="Times New Roman"/>
          <w:sz w:val="24"/>
          <w:szCs w:val="24"/>
        </w:rPr>
        <w:t xml:space="preserve"> кислоты, которая обладает </w:t>
      </w:r>
      <w:proofErr w:type="spellStart"/>
      <w:r w:rsidR="00D46634" w:rsidRPr="00CD03DF">
        <w:rPr>
          <w:rFonts w:ascii="Times New Roman" w:hAnsi="Times New Roman" w:cs="Times New Roman"/>
          <w:sz w:val="24"/>
          <w:szCs w:val="24"/>
        </w:rPr>
        <w:t>литолитическим</w:t>
      </w:r>
      <w:proofErr w:type="spellEnd"/>
      <w:r w:rsidR="00D46634" w:rsidRPr="00CD0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6634" w:rsidRPr="00CD03DF">
        <w:rPr>
          <w:rFonts w:ascii="Times New Roman" w:hAnsi="Times New Roman" w:cs="Times New Roman"/>
          <w:sz w:val="24"/>
          <w:szCs w:val="24"/>
        </w:rPr>
        <w:t>антихолестатическим</w:t>
      </w:r>
      <w:proofErr w:type="spellEnd"/>
      <w:r w:rsidR="00D46634" w:rsidRPr="00CD0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6634" w:rsidRPr="00CD03DF">
        <w:rPr>
          <w:rFonts w:ascii="Times New Roman" w:hAnsi="Times New Roman" w:cs="Times New Roman"/>
          <w:sz w:val="24"/>
          <w:szCs w:val="24"/>
        </w:rPr>
        <w:t>цитопротективным</w:t>
      </w:r>
      <w:proofErr w:type="spellEnd"/>
      <w:r w:rsidR="00D46634" w:rsidRPr="00CD03DF">
        <w:rPr>
          <w:rFonts w:ascii="Times New Roman" w:hAnsi="Times New Roman" w:cs="Times New Roman"/>
          <w:sz w:val="24"/>
          <w:szCs w:val="24"/>
        </w:rPr>
        <w:t xml:space="preserve">, иммуномодулирующим, противовоспалительным, антитоксическим, гипохолестеринемическим действием, а также модулирует апоптоз, оказывает дифференцированное влияние на регенерацию </w:t>
      </w:r>
      <w:proofErr w:type="spellStart"/>
      <w:r w:rsidR="00D46634" w:rsidRPr="00CD03DF">
        <w:rPr>
          <w:rFonts w:ascii="Times New Roman" w:hAnsi="Times New Roman" w:cs="Times New Roman"/>
          <w:sz w:val="24"/>
          <w:szCs w:val="24"/>
        </w:rPr>
        <w:t>гепатоцитов</w:t>
      </w:r>
      <w:proofErr w:type="spellEnd"/>
      <w:r w:rsidR="00D46634" w:rsidRPr="00CD03DF">
        <w:rPr>
          <w:rFonts w:ascii="Times New Roman" w:hAnsi="Times New Roman" w:cs="Times New Roman"/>
          <w:sz w:val="24"/>
          <w:szCs w:val="24"/>
        </w:rPr>
        <w:t>.</w:t>
      </w:r>
    </w:p>
    <w:p w:rsidR="008F13B1" w:rsidRPr="00932021" w:rsidRDefault="008F13B1" w:rsidP="00F979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F13B1" w:rsidRPr="008F13B1" w:rsidRDefault="008F13B1" w:rsidP="008F13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3DF">
        <w:rPr>
          <w:rFonts w:ascii="Times New Roman" w:hAnsi="Times New Roman" w:cs="Times New Roman"/>
          <w:sz w:val="24"/>
          <w:szCs w:val="24"/>
        </w:rPr>
        <w:t>УДК</w:t>
      </w:r>
      <w:r w:rsidRPr="008F13B1">
        <w:rPr>
          <w:rFonts w:ascii="Times New Roman" w:hAnsi="Times New Roman" w:cs="Times New Roman"/>
          <w:sz w:val="24"/>
          <w:szCs w:val="24"/>
        </w:rPr>
        <w:t xml:space="preserve"> 615.065:616.36-008-03-07-08</w:t>
      </w:r>
    </w:p>
    <w:p w:rsidR="008F13B1" w:rsidRPr="008F13B1" w:rsidRDefault="008F13B1" w:rsidP="008F13B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13B1">
        <w:rPr>
          <w:rFonts w:ascii="Times New Roman" w:hAnsi="Times New Roman" w:cs="Times New Roman"/>
          <w:b/>
          <w:sz w:val="24"/>
          <w:szCs w:val="24"/>
          <w:lang w:val="uk-UA"/>
        </w:rPr>
        <w:t>Лікарські ураження печінки: від патогенезу до лікування</w:t>
      </w:r>
    </w:p>
    <w:p w:rsidR="008F13B1" w:rsidRPr="008F13B1" w:rsidRDefault="008F13B1" w:rsidP="008F13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Н. Б. Губергріц, Н. В. Бєляєва, О. Є.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Клочков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>, Г. М. Лукашевич, П. Г. Фоменко</w:t>
      </w:r>
    </w:p>
    <w:p w:rsidR="008F13B1" w:rsidRPr="008F13B1" w:rsidRDefault="008F13B1" w:rsidP="008F13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3B1">
        <w:rPr>
          <w:rFonts w:ascii="Times New Roman" w:hAnsi="Times New Roman" w:cs="Times New Roman"/>
          <w:sz w:val="24"/>
          <w:szCs w:val="24"/>
          <w:lang w:val="uk-UA"/>
        </w:rPr>
        <w:t>Донецький національний медичний університет, Україна</w:t>
      </w:r>
    </w:p>
    <w:p w:rsidR="008F13B1" w:rsidRPr="008F13B1" w:rsidRDefault="008F13B1" w:rsidP="008F13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13B1" w:rsidRPr="008F13B1" w:rsidRDefault="008F13B1" w:rsidP="008F13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3B1">
        <w:rPr>
          <w:rFonts w:ascii="Times New Roman" w:hAnsi="Times New Roman" w:cs="Times New Roman"/>
          <w:b/>
          <w:sz w:val="24"/>
          <w:szCs w:val="24"/>
          <w:lang w:val="uk-UA"/>
        </w:rPr>
        <w:t>Ключові слова: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лікарські ураження печінки, частота, класифікація, патогенез, лікування,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урсодезоксихолева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кислота</w:t>
      </w:r>
    </w:p>
    <w:p w:rsidR="008F13B1" w:rsidRPr="008F13B1" w:rsidRDefault="008F13B1" w:rsidP="008F13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13B1">
        <w:rPr>
          <w:rFonts w:ascii="Times New Roman" w:hAnsi="Times New Roman" w:cs="Times New Roman"/>
          <w:sz w:val="24"/>
          <w:szCs w:val="24"/>
          <w:lang w:val="uk-UA"/>
        </w:rPr>
        <w:t>У статті наведені дані про класифікацію, патогенез, клініку, діагностику та диференційован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тактик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лікування, практичний алгоритм розпізнавання і запобігання розвитку лікарських уражень печінки. Проаналізовано патогенез лікарських уражень печінки, для розуміння якого пояснені механізми метаболізму лікарських засобів, описані фази цього метаболізму. Виділено 4 основних механізми патологічно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 впливу 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>лікарських засобів на печінку: прям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токсичн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вплив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на гепатоцити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токсичн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вплив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метаболітів лікарських засобів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імуноалергічні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ураження печінки; ідіосинкразія. Особливу увагу приділено патогенезу лікарсько-індукованого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холестазу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. Прямі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гепатотоксичні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реакції розвиваються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цитолітичним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гепатоцелюлярний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>, паренхіматозни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холестатичн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або змішан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варіант</w:t>
      </w:r>
      <w:r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>лінічним варіантом лікарських уражень печінки</w:t>
      </w:r>
      <w:r>
        <w:rPr>
          <w:rFonts w:ascii="Times New Roman" w:hAnsi="Times New Roman" w:cs="Times New Roman"/>
          <w:sz w:val="24"/>
          <w:szCs w:val="24"/>
          <w:lang w:val="uk-UA"/>
        </w:rPr>
        <w:t>, який н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>ай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частіше 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>діагност</w:t>
      </w:r>
      <w:r>
        <w:rPr>
          <w:rFonts w:ascii="Times New Roman" w:hAnsi="Times New Roman" w:cs="Times New Roman"/>
          <w:sz w:val="24"/>
          <w:szCs w:val="24"/>
          <w:lang w:val="uk-UA"/>
        </w:rPr>
        <w:t>ують,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є лікарський гепатит. Виділяють п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ять форм гепатиту, індукованого прийомом фармакологічних засобів: лікарський гепатит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з ізольованим підвищенням 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трансаміназ (протитуберкульозні препарати,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метилдопа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аміодарон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статини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); гострий гепатит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з жовтяницею;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псевдохірургіч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форма гострого гепатиту: болі в животі, лихоманка, жовтяниця, збільшений жовчний міхур (цитостатики, антидепресанти,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антиаритмічні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препарати); важкі форми гострого гепатиту з печінковою недостатністю; хронічний медикаментозний гепатит. </w:t>
      </w:r>
      <w:r>
        <w:rPr>
          <w:rFonts w:ascii="Times New Roman" w:hAnsi="Times New Roman" w:cs="Times New Roman"/>
          <w:sz w:val="24"/>
          <w:szCs w:val="24"/>
          <w:lang w:val="uk-UA"/>
        </w:rPr>
        <w:t>Наведені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міжнародні критерії діагностики, основні дані про морфологічні зміни печінки. </w:t>
      </w:r>
      <w:proofErr w:type="spellStart"/>
      <w:r w:rsidR="00CB6CB6">
        <w:rPr>
          <w:rFonts w:ascii="Times New Roman" w:hAnsi="Times New Roman" w:cs="Times New Roman"/>
          <w:sz w:val="24"/>
          <w:szCs w:val="24"/>
          <w:lang w:val="uk-UA"/>
        </w:rPr>
        <w:t>Пояснено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6CB6">
        <w:rPr>
          <w:rFonts w:ascii="Times New Roman" w:hAnsi="Times New Roman" w:cs="Times New Roman"/>
          <w:sz w:val="24"/>
          <w:szCs w:val="24"/>
          <w:lang w:val="uk-UA"/>
        </w:rPr>
        <w:t>ефект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урсодезоксихолевої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кислоти, яка </w:t>
      </w:r>
      <w:r w:rsidR="00CB6CB6">
        <w:rPr>
          <w:rFonts w:ascii="Times New Roman" w:hAnsi="Times New Roman" w:cs="Times New Roman"/>
          <w:sz w:val="24"/>
          <w:szCs w:val="24"/>
          <w:lang w:val="uk-UA"/>
        </w:rPr>
        <w:t>справляє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літолітичну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ант</w:t>
      </w:r>
      <w:r w:rsidR="00CB6CB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>холестат</w:t>
      </w:r>
      <w:r w:rsidR="00CB6CB6">
        <w:rPr>
          <w:rFonts w:ascii="Times New Roman" w:hAnsi="Times New Roman" w:cs="Times New Roman"/>
          <w:sz w:val="24"/>
          <w:szCs w:val="24"/>
          <w:lang w:val="uk-UA"/>
        </w:rPr>
        <w:t>ичну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цитопротекторн</w:t>
      </w:r>
      <w:r w:rsidR="00CB6CB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імуномодулююч</w:t>
      </w:r>
      <w:r w:rsidR="00CB6CB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>, протизапальн</w:t>
      </w:r>
      <w:r w:rsidR="00CB6CB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>, антитоксич</w:t>
      </w:r>
      <w:r w:rsidR="00CB6CB6"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гіпохолестеринемічн</w:t>
      </w:r>
      <w:r w:rsidR="00CB6CB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дію, а також модулює </w:t>
      </w:r>
      <w:proofErr w:type="spellStart"/>
      <w:r w:rsidRPr="008F13B1">
        <w:rPr>
          <w:rFonts w:ascii="Times New Roman" w:hAnsi="Times New Roman" w:cs="Times New Roman"/>
          <w:sz w:val="24"/>
          <w:szCs w:val="24"/>
          <w:lang w:val="uk-UA"/>
        </w:rPr>
        <w:t>апоптоз</w:t>
      </w:r>
      <w:proofErr w:type="spellEnd"/>
      <w:r w:rsidRPr="008F13B1">
        <w:rPr>
          <w:rFonts w:ascii="Times New Roman" w:hAnsi="Times New Roman" w:cs="Times New Roman"/>
          <w:sz w:val="24"/>
          <w:szCs w:val="24"/>
          <w:lang w:val="uk-UA"/>
        </w:rPr>
        <w:t>, спричинює диференційован</w:t>
      </w:r>
      <w:r w:rsidR="00CB6CB6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8F13B1">
        <w:rPr>
          <w:rFonts w:ascii="Times New Roman" w:hAnsi="Times New Roman" w:cs="Times New Roman"/>
          <w:sz w:val="24"/>
          <w:szCs w:val="24"/>
          <w:lang w:val="uk-UA"/>
        </w:rPr>
        <w:t xml:space="preserve"> вплив на регенерацію гепатоцитів.</w:t>
      </w:r>
    </w:p>
    <w:p w:rsidR="008F13B1" w:rsidRDefault="008F13B1" w:rsidP="00F979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5F19" w:rsidRPr="003D0A28" w:rsidRDefault="00DD5F19" w:rsidP="00DD5F1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0A28">
        <w:rPr>
          <w:rFonts w:ascii="Times New Roman" w:hAnsi="Times New Roman" w:cs="Times New Roman"/>
          <w:b/>
          <w:sz w:val="24"/>
          <w:szCs w:val="24"/>
          <w:lang w:val="en-US"/>
        </w:rPr>
        <w:t>Drug-induced liver injury: from pathogenesis to treatment</w:t>
      </w:r>
    </w:p>
    <w:p w:rsidR="00DD5F19" w:rsidRPr="003D0A28" w:rsidRDefault="00DD5F19" w:rsidP="00DD5F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N. B. </w:t>
      </w:r>
      <w:proofErr w:type="spellStart"/>
      <w:r w:rsidRPr="003D0A28">
        <w:rPr>
          <w:rFonts w:ascii="Times New Roman" w:hAnsi="Times New Roman" w:cs="Times New Roman"/>
          <w:sz w:val="24"/>
          <w:szCs w:val="24"/>
          <w:lang w:val="en-US"/>
        </w:rPr>
        <w:t>Gubergrits</w:t>
      </w:r>
      <w:proofErr w:type="spellEnd"/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, N. V. </w:t>
      </w:r>
      <w:proofErr w:type="spellStart"/>
      <w:r w:rsidRPr="003D0A28">
        <w:rPr>
          <w:rFonts w:ascii="Times New Roman" w:hAnsi="Times New Roman" w:cs="Times New Roman"/>
          <w:sz w:val="24"/>
          <w:szCs w:val="24"/>
          <w:lang w:val="en-US"/>
        </w:rPr>
        <w:t>Byelyayeva</w:t>
      </w:r>
      <w:proofErr w:type="spellEnd"/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, A. Ye. </w:t>
      </w:r>
      <w:proofErr w:type="spellStart"/>
      <w:r w:rsidRPr="003D0A28">
        <w:rPr>
          <w:rFonts w:ascii="Times New Roman" w:hAnsi="Times New Roman" w:cs="Times New Roman"/>
          <w:sz w:val="24"/>
          <w:szCs w:val="24"/>
          <w:lang w:val="en-US"/>
        </w:rPr>
        <w:t>Klochkov</w:t>
      </w:r>
      <w:proofErr w:type="spellEnd"/>
      <w:r w:rsidRPr="003D0A28">
        <w:rPr>
          <w:rFonts w:ascii="Times New Roman" w:hAnsi="Times New Roman" w:cs="Times New Roman"/>
          <w:sz w:val="24"/>
          <w:szCs w:val="24"/>
          <w:lang w:val="en-US"/>
        </w:rPr>
        <w:t>, G. M. Lukashevich, P. G. Fomenko</w:t>
      </w:r>
    </w:p>
    <w:p w:rsidR="00DD5F19" w:rsidRPr="003D0A28" w:rsidRDefault="00DD5F19" w:rsidP="00DD5F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0A28">
        <w:rPr>
          <w:rFonts w:ascii="Times New Roman" w:hAnsi="Times New Roman" w:cs="Times New Roman"/>
          <w:sz w:val="24"/>
          <w:szCs w:val="24"/>
          <w:lang w:val="en-US"/>
        </w:rPr>
        <w:t>Donetsk National Medical University, Ukraine</w:t>
      </w:r>
    </w:p>
    <w:p w:rsidR="00DD5F19" w:rsidRPr="003D0A28" w:rsidRDefault="00DD5F19" w:rsidP="00DD5F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5F19" w:rsidRPr="003D0A28" w:rsidRDefault="00DD5F19" w:rsidP="00DD5F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0A28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 drug-induced liver injury, frequency, classification, pathogenesis, treatment, </w:t>
      </w:r>
      <w:proofErr w:type="spellStart"/>
      <w:r w:rsidRPr="003D0A28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 acid</w:t>
      </w:r>
    </w:p>
    <w:p w:rsidR="00DD5F19" w:rsidRPr="003D0A28" w:rsidRDefault="003D0A28" w:rsidP="00DD5F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0A28">
        <w:rPr>
          <w:rFonts w:ascii="Times New Roman" w:hAnsi="Times New Roman" w:cs="Times New Roman"/>
          <w:sz w:val="24"/>
          <w:szCs w:val="24"/>
          <w:lang w:val="en-US"/>
        </w:rPr>
        <w:t>The article presents data on classification, pathogenesis, clinic</w:t>
      </w:r>
      <w:r>
        <w:rPr>
          <w:rFonts w:ascii="Times New Roman" w:hAnsi="Times New Roman" w:cs="Times New Roman"/>
          <w:sz w:val="24"/>
          <w:szCs w:val="24"/>
          <w:lang w:val="en-US"/>
        </w:rPr>
        <w:t>al picture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, diagnosis and differentiated treatment tactics, </w:t>
      </w:r>
      <w:r>
        <w:rPr>
          <w:rFonts w:ascii="Times New Roman" w:hAnsi="Times New Roman" w:cs="Times New Roman"/>
          <w:sz w:val="24"/>
          <w:szCs w:val="24"/>
          <w:lang w:val="en-US"/>
        </w:rPr>
        <w:t>as well as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 practical algorithm for recognizing and preventing the development of drug-induced liver injury.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>athogenesis of drug-induced liver injury is analyzed</w:t>
      </w:r>
      <w:r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echanisms of drug metabolism are explained, metabolism phases are described. </w:t>
      </w:r>
      <w:r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 main mechanisms of the pathological effect of drugs on the liver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 identified: direct toxic effect on hepatocytes; toxic effect of drug metabolites; </w:t>
      </w:r>
      <w:proofErr w:type="spellStart"/>
      <w:r w:rsidRPr="003D0A28">
        <w:rPr>
          <w:rFonts w:ascii="Times New Roman" w:hAnsi="Times New Roman" w:cs="Times New Roman"/>
          <w:sz w:val="24"/>
          <w:szCs w:val="24"/>
          <w:lang w:val="en-US"/>
        </w:rPr>
        <w:t>immunoallergic</w:t>
      </w:r>
      <w:proofErr w:type="spellEnd"/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 liver </w:t>
      </w:r>
      <w:r>
        <w:rPr>
          <w:rFonts w:ascii="Times New Roman" w:hAnsi="Times New Roman" w:cs="Times New Roman"/>
          <w:sz w:val="24"/>
          <w:szCs w:val="24"/>
          <w:lang w:val="en-US"/>
        </w:rPr>
        <w:t>injury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; idiosyncrasy. </w:t>
      </w:r>
      <w:r>
        <w:rPr>
          <w:rFonts w:ascii="Times New Roman" w:hAnsi="Times New Roman" w:cs="Times New Roman"/>
          <w:sz w:val="24"/>
          <w:szCs w:val="24"/>
          <w:lang w:val="en-US"/>
        </w:rPr>
        <w:t>Peculiar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 attention is paid to the pathogenesis of drug-induced cholestasis. Direct hepatotoxic reactions develop according to the cytolytic (hepatocellular, parenchymal), cholestatic or mixed </w:t>
      </w:r>
      <w:r>
        <w:rPr>
          <w:rFonts w:ascii="Times New Roman" w:hAnsi="Times New Roman" w:cs="Times New Roman"/>
          <w:sz w:val="24"/>
          <w:szCs w:val="24"/>
          <w:lang w:val="en-US"/>
        </w:rPr>
        <w:t>option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. The most commonly diagnosed clinical variant of </w:t>
      </w:r>
      <w:r w:rsidR="00AA67B1"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drug-induced liver injury 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A67B1"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drug-induced 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>hepatitis. Five forms of hepatitis induced by the use of pharmacological agents are distinguished: drug-induced hepatitis with an isolated increase in transaminases (anti-TB drugs, methyldopa, amiodarone, statins); acute hepatitis with jaundice; pseudo-surgical form of acute hepatitis: abdominal pain, fever, jaundice, enlarged gall bladder (</w:t>
      </w:r>
      <w:proofErr w:type="spellStart"/>
      <w:r w:rsidRPr="003D0A28">
        <w:rPr>
          <w:rFonts w:ascii="Times New Roman" w:hAnsi="Times New Roman" w:cs="Times New Roman"/>
          <w:sz w:val="24"/>
          <w:szCs w:val="24"/>
          <w:lang w:val="en-US"/>
        </w:rPr>
        <w:t>cytostatics</w:t>
      </w:r>
      <w:proofErr w:type="spellEnd"/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, antidepressants, antiarrhythmic drugs); severe forms of acute hepatitis with liver failure; chronic drug hepatitis. </w:t>
      </w:r>
      <w:r w:rsidR="00AA67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nternational diagnostic criteria, basic data on morphological </w:t>
      </w:r>
      <w:r w:rsidR="00AA67B1">
        <w:rPr>
          <w:rFonts w:ascii="Times New Roman" w:hAnsi="Times New Roman" w:cs="Times New Roman"/>
          <w:sz w:val="24"/>
          <w:szCs w:val="24"/>
          <w:lang w:val="en-US"/>
        </w:rPr>
        <w:t xml:space="preserve">liver 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changes are presented. </w:t>
      </w:r>
      <w:r w:rsidR="00AA67B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ction of </w:t>
      </w:r>
      <w:proofErr w:type="spellStart"/>
      <w:r w:rsidRPr="003D0A28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 acid</w:t>
      </w:r>
      <w:r w:rsidR="00AA67B1">
        <w:rPr>
          <w:rFonts w:ascii="Times New Roman" w:hAnsi="Times New Roman" w:cs="Times New Roman"/>
          <w:sz w:val="24"/>
          <w:szCs w:val="24"/>
          <w:lang w:val="en-US"/>
        </w:rPr>
        <w:t xml:space="preserve"> is explained.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7B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 has a </w:t>
      </w:r>
      <w:proofErr w:type="spellStart"/>
      <w:r w:rsidRPr="003D0A28">
        <w:rPr>
          <w:rFonts w:ascii="Times New Roman" w:hAnsi="Times New Roman" w:cs="Times New Roman"/>
          <w:sz w:val="24"/>
          <w:szCs w:val="24"/>
          <w:lang w:val="en-US"/>
        </w:rPr>
        <w:t>litholytic</w:t>
      </w:r>
      <w:proofErr w:type="spellEnd"/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, anticholestatic, cytoprotective, immunomodulating, anti-inflammatory, antitoxic, </w:t>
      </w:r>
      <w:proofErr w:type="spellStart"/>
      <w:r w:rsidRPr="003D0A28">
        <w:rPr>
          <w:rFonts w:ascii="Times New Roman" w:hAnsi="Times New Roman" w:cs="Times New Roman"/>
          <w:sz w:val="24"/>
          <w:szCs w:val="24"/>
          <w:lang w:val="en-US"/>
        </w:rPr>
        <w:t>hypocholesterolemic</w:t>
      </w:r>
      <w:proofErr w:type="spellEnd"/>
      <w:r w:rsidRPr="003D0A28">
        <w:rPr>
          <w:rFonts w:ascii="Times New Roman" w:hAnsi="Times New Roman" w:cs="Times New Roman"/>
          <w:sz w:val="24"/>
          <w:szCs w:val="24"/>
          <w:lang w:val="en-US"/>
        </w:rPr>
        <w:t xml:space="preserve"> effect, modulates apoptosis, has a differentiated effect on the regeneration of hepatocytes.</w:t>
      </w:r>
    </w:p>
    <w:p w:rsidR="00DD5F19" w:rsidRPr="003D0A28" w:rsidRDefault="00DD5F19" w:rsidP="00F979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5F19" w:rsidRPr="003D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1AD"/>
    <w:multiLevelType w:val="hybridMultilevel"/>
    <w:tmpl w:val="C94AB7C4"/>
    <w:lvl w:ilvl="0" w:tplc="45787ECC">
      <w:start w:val="1"/>
      <w:numFmt w:val="decimal"/>
      <w:lvlText w:val="%1."/>
      <w:lvlJc w:val="left"/>
      <w:pPr>
        <w:ind w:left="1122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924A51"/>
    <w:multiLevelType w:val="hybridMultilevel"/>
    <w:tmpl w:val="84DE97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F74603"/>
    <w:multiLevelType w:val="hybridMultilevel"/>
    <w:tmpl w:val="344A4EE6"/>
    <w:lvl w:ilvl="0" w:tplc="DC10D8C2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CD080F"/>
    <w:multiLevelType w:val="hybridMultilevel"/>
    <w:tmpl w:val="C5780CB8"/>
    <w:lvl w:ilvl="0" w:tplc="DC10D8C2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D6B21B6"/>
    <w:multiLevelType w:val="hybridMultilevel"/>
    <w:tmpl w:val="D88CF9D6"/>
    <w:lvl w:ilvl="0" w:tplc="8792654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A1929"/>
    <w:multiLevelType w:val="hybridMultilevel"/>
    <w:tmpl w:val="C4A8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C1B18"/>
    <w:multiLevelType w:val="hybridMultilevel"/>
    <w:tmpl w:val="29DC5C10"/>
    <w:lvl w:ilvl="0" w:tplc="8792654E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96521D6"/>
    <w:multiLevelType w:val="hybridMultilevel"/>
    <w:tmpl w:val="6D945CE4"/>
    <w:lvl w:ilvl="0" w:tplc="DC10D8C2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B612D5C"/>
    <w:multiLevelType w:val="hybridMultilevel"/>
    <w:tmpl w:val="B59EE3B0"/>
    <w:lvl w:ilvl="0" w:tplc="8792654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15610"/>
    <w:multiLevelType w:val="hybridMultilevel"/>
    <w:tmpl w:val="DB0AA716"/>
    <w:lvl w:ilvl="0" w:tplc="DC10D8C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FB2D29"/>
    <w:multiLevelType w:val="hybridMultilevel"/>
    <w:tmpl w:val="600636CA"/>
    <w:lvl w:ilvl="0" w:tplc="DC10D8C2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77"/>
    <w:rsid w:val="00003550"/>
    <w:rsid w:val="00034FDC"/>
    <w:rsid w:val="00067186"/>
    <w:rsid w:val="00086077"/>
    <w:rsid w:val="000C6A2F"/>
    <w:rsid w:val="000F008D"/>
    <w:rsid w:val="00175B4A"/>
    <w:rsid w:val="00273D19"/>
    <w:rsid w:val="002A3B88"/>
    <w:rsid w:val="002F1013"/>
    <w:rsid w:val="00350452"/>
    <w:rsid w:val="003949EC"/>
    <w:rsid w:val="003D0A28"/>
    <w:rsid w:val="003D1B3B"/>
    <w:rsid w:val="003F0FE0"/>
    <w:rsid w:val="004062BD"/>
    <w:rsid w:val="0043462A"/>
    <w:rsid w:val="00444C10"/>
    <w:rsid w:val="00483BD9"/>
    <w:rsid w:val="00490A6B"/>
    <w:rsid w:val="004A559A"/>
    <w:rsid w:val="004E71B6"/>
    <w:rsid w:val="005238AF"/>
    <w:rsid w:val="00534AB3"/>
    <w:rsid w:val="0053517C"/>
    <w:rsid w:val="005726CE"/>
    <w:rsid w:val="00694B5D"/>
    <w:rsid w:val="006D62EA"/>
    <w:rsid w:val="00700F66"/>
    <w:rsid w:val="00714483"/>
    <w:rsid w:val="00722311"/>
    <w:rsid w:val="007226FC"/>
    <w:rsid w:val="00724EA9"/>
    <w:rsid w:val="00730AFE"/>
    <w:rsid w:val="0074183D"/>
    <w:rsid w:val="00760A85"/>
    <w:rsid w:val="00761688"/>
    <w:rsid w:val="00785802"/>
    <w:rsid w:val="008A004F"/>
    <w:rsid w:val="008C0118"/>
    <w:rsid w:val="008D25F9"/>
    <w:rsid w:val="008F13B1"/>
    <w:rsid w:val="009031D2"/>
    <w:rsid w:val="00921F71"/>
    <w:rsid w:val="00932021"/>
    <w:rsid w:val="00936692"/>
    <w:rsid w:val="00942A48"/>
    <w:rsid w:val="00971D26"/>
    <w:rsid w:val="009B3032"/>
    <w:rsid w:val="009B4116"/>
    <w:rsid w:val="009D2C1D"/>
    <w:rsid w:val="00A37ED8"/>
    <w:rsid w:val="00AA67B1"/>
    <w:rsid w:val="00AB29FD"/>
    <w:rsid w:val="00AC08CD"/>
    <w:rsid w:val="00AD5A64"/>
    <w:rsid w:val="00B11567"/>
    <w:rsid w:val="00B323CD"/>
    <w:rsid w:val="00B57B58"/>
    <w:rsid w:val="00B633C8"/>
    <w:rsid w:val="00B66D07"/>
    <w:rsid w:val="00C12494"/>
    <w:rsid w:val="00C219AD"/>
    <w:rsid w:val="00C343D8"/>
    <w:rsid w:val="00C66EAE"/>
    <w:rsid w:val="00CA7CB3"/>
    <w:rsid w:val="00CB6CB6"/>
    <w:rsid w:val="00CD03DF"/>
    <w:rsid w:val="00CE11F5"/>
    <w:rsid w:val="00D46634"/>
    <w:rsid w:val="00D478AA"/>
    <w:rsid w:val="00D74015"/>
    <w:rsid w:val="00D9445A"/>
    <w:rsid w:val="00D96B14"/>
    <w:rsid w:val="00DA2B0B"/>
    <w:rsid w:val="00DA71C1"/>
    <w:rsid w:val="00DD5F19"/>
    <w:rsid w:val="00E13ABB"/>
    <w:rsid w:val="00E360DA"/>
    <w:rsid w:val="00E5722B"/>
    <w:rsid w:val="00EA730D"/>
    <w:rsid w:val="00EE5EAA"/>
    <w:rsid w:val="00F07A3F"/>
    <w:rsid w:val="00F41FA0"/>
    <w:rsid w:val="00F637AE"/>
    <w:rsid w:val="00F9793D"/>
    <w:rsid w:val="00FA37AD"/>
    <w:rsid w:val="00FB2C86"/>
    <w:rsid w:val="00FB348E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BA7D"/>
  <w15:docId w15:val="{0BAAD2C1-315C-48C8-B3C7-5C7F5D88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AB3"/>
    <w:pPr>
      <w:ind w:left="720"/>
      <w:contextualSpacing/>
    </w:pPr>
  </w:style>
  <w:style w:type="table" w:styleId="a4">
    <w:name w:val="Table Grid"/>
    <w:basedOn w:val="a1"/>
    <w:uiPriority w:val="59"/>
    <w:rsid w:val="00FA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61A5-B355-4752-A6A6-A14F540A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15</Pages>
  <Words>5733</Words>
  <Characters>32679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Пользователь</cp:lastModifiedBy>
  <cp:revision>10</cp:revision>
  <dcterms:created xsi:type="dcterms:W3CDTF">2020-03-27T19:52:00Z</dcterms:created>
  <dcterms:modified xsi:type="dcterms:W3CDTF">2020-04-10T18:42:00Z</dcterms:modified>
</cp:coreProperties>
</file>