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38" w:rsidRPr="00B06AA9" w:rsidRDefault="00362D38" w:rsidP="00362D38">
      <w:pPr>
        <w:spacing w:after="0" w:line="240" w:lineRule="auto"/>
        <w:rPr>
          <w:rStyle w:val="a5"/>
          <w:rFonts w:ascii="Times New Roman" w:hAnsi="Times New Roman"/>
          <w:b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Cs/>
          <w:color w:val="auto"/>
          <w:sz w:val="24"/>
          <w:szCs w:val="24"/>
        </w:rPr>
        <w:t>УДК 616.33/.342:579.835.12Helicobacter p]-035.2</w:t>
      </w:r>
    </w:p>
    <w:p w:rsidR="00A6278E" w:rsidRPr="007E3D6C" w:rsidRDefault="00A6278E" w:rsidP="00A6278E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Оцінка ризику розвитку патологічних станів, викликаних циркулюючими штамами Н. </w:t>
      </w:r>
      <w:proofErr w:type="spellStart"/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>pylori</w:t>
      </w:r>
      <w:proofErr w:type="spellEnd"/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 </w:t>
      </w:r>
    </w:p>
    <w:p w:rsidR="00A6278E" w:rsidRPr="007E3D6C" w:rsidRDefault="00A6278E" w:rsidP="00A6278E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Д. К. Каримова, Г. Н. </w:t>
      </w:r>
      <w:proofErr w:type="spellStart"/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Собірова</w:t>
      </w:r>
      <w:proofErr w:type="spellEnd"/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М. М. Каримов </w:t>
      </w:r>
    </w:p>
    <w:p w:rsidR="00A6278E" w:rsidRPr="007E3D6C" w:rsidRDefault="00A6278E" w:rsidP="00A6278E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Республіканський спеціалізований науково-практичний медичний центр терапії та медичної реабілітації, Ташкент, Узбекистан</w:t>
      </w:r>
    </w:p>
    <w:p w:rsidR="00A6278E" w:rsidRPr="007E3D6C" w:rsidRDefault="00A6278E" w:rsidP="00A6278E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A6278E" w:rsidRDefault="00A6278E" w:rsidP="00A6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b/>
          <w:color w:val="auto"/>
          <w:sz w:val="24"/>
          <w:szCs w:val="24"/>
          <w:lang w:val="uk-UA"/>
        </w:rPr>
        <w:t>Ключові слова:</w:t>
      </w: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гелікобактерна</w:t>
      </w:r>
      <w:proofErr w:type="spellEnd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 xml:space="preserve"> інфекція, EPIYA, </w:t>
      </w:r>
      <w:proofErr w:type="spellStart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-штами, канцерогенез, гастрит, виразкова хвороба</w:t>
      </w:r>
    </w:p>
    <w:p w:rsidR="00A6278E" w:rsidRDefault="00A6278E" w:rsidP="00A6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</w:p>
    <w:p w:rsidR="00A6278E" w:rsidRPr="00A6278E" w:rsidRDefault="00A6278E" w:rsidP="00A6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В останні роки ряд дослідників вказує на збільшення поширеності захворювань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гастродуоденальної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зони, а також їх ускладнення, в першу чергу це зростання числа захворювань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з деструкцією слизової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дванадцятипалої кишки.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Helicobacter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(H.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) -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мікроаерофільна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сп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рале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подібна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бактерія,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що 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колонізує шлунок людини, в даний час є основним етіологічним агентом атрофічного гастриту і виразкової хвороби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[19]. Епідеміологічні дослідження також показали, що хронічна інфекція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критично пов'язана з розвитком раку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[9]. Індивідуально виділені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підрозділяються на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-позитивні і негативні штами на підставі наявності або відсутності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-острова патогенності (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PAI),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геномної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області, що кодує бактеріальну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секреці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йну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систему IV типу (TFSS) і її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ефектора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Накопичені дані показали, що інфекція з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-позитивними штамами, які вводять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 епітеліальні клітини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через TFSS, відіграє вирішальну роль в канцерогенезі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[18].</w:t>
      </w:r>
    </w:p>
    <w:p w:rsidR="00A6278E" w:rsidRPr="000B6E2A" w:rsidRDefault="00A6278E" w:rsidP="001179EA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Вивченню біологічних властивостей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присвячена велика кількість досліджень, але, незважаючи на накопичені знання, залишається багато незрозумілих питань, особливо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які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стосуються факторів патогенності і розвитку клінічних проявів.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Сьогочасні 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і майбутні дослідження повинні допомогти розшифрувати значення інфекції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 патогенезі захворювань шлунково-кишкового тракту і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позашлунков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их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проявів. Крім того,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- це поліморфний ген, який представлений різною кількістю повторюваних послідовностей, розташованих в 3</w:t>
      </w:r>
      <w:r w:rsidR="001179EA"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'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регіоні. Кожен повторюваний регіон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містить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Glu-Pro-Ile-Tyr-Ala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(EPIYA) профілі, що включають фосфорилювання тирозину. Число EPIYA мотивів (спонукань, 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рушійних </w:t>
      </w:r>
      <w:r w:rsidR="001179EA"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сил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) залежить від рівнів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СаgA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фосфор</w:t>
      </w:r>
      <w:r w:rsidR="002A74E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лізаці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ї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цитопротективни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х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змін в епітеліальних клітинах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східно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азійських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груп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в групах європейського походження. Відповідно до гіпотези, яка намагається пояснити співвідношення між числом мотивів EPIYA і атрофією слизової оболонки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число мотивів пов'язано з виразністю атрофії слизової оболонки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хоча статистично відмінності не є значущими. Відома і протилежна точка зору: ймовірно, більшість груп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містять стільки ж мотивів [1].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</w:p>
    <w:p w:rsidR="00A6278E" w:rsidRDefault="00A6278E" w:rsidP="00A6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Згідно </w:t>
      </w:r>
      <w:r w:rsidR="002A74E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з 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розшифровани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ми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 послідовностям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профілю, розрізняють 4 сегмента: EPIYA-A, EPIYA-B, EPIYA-C, EPIYA-D, які визначаються амінокислотною послідовністю, кожен з яких містить EPIYA-A повторю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ваний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регіон.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Геномна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послідовність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, що кодує область EPIYA-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repeat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, часто рекомбіну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ється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тим самим створює структурний поліморфізм, який дозволяє класифікувати окремі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на кілька підтипів [23]. Але профілі EPIYA послідовностей мають географічні особливості, чим можна пояснити відмінності в поширеності раку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 різних країнах.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Н.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-позитивні штами, циркулюють у всьому світі, за винятком Східно-Азі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й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ських країн, таких як Японія, Китай і Корея. EPIYA-A - повторюваний регіон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гена західних ізолятів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- асоційований з EPIYA-A, EPIYA-B, EPIYA-C сегментами (А-В-С тип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). EPIYA-C сегмент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вар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абельно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повторюється (до 3 разів) в тандемі серед різних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штамів.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штами, виділені з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східно-азі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й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ських ізолятів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, також містять EPIYA-A і EPIYA-B сегменти, але без повторення EPIYA-C сегмента, замість якого вони мають EPIYA-D сегмент, унікальний для цього регіону. Відповідно, EPIYA-A повторю</w:t>
      </w:r>
      <w:r w:rsidR="001179E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ваний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регіон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гена східно-азі</w:t>
      </w:r>
      <w:r w:rsid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й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ських ізолятів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знаходиться в асоціації з EPIYA-A, 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lastRenderedPageBreak/>
        <w:t xml:space="preserve">EPIYA-B, EPIYA-D сегментами (A-B-D тип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) [20]. Західні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штами, які мають повторюваний EPIYA-C сегмент, частіше асоційовані з розвитком передракових змін і раком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[10]. Дані, отримані при вивченні ролі повторюваного регіону, дозволяють припустити, що штами H. </w:t>
      </w:r>
      <w:proofErr w:type="spellStart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</w:t>
      </w:r>
      <w:r w:rsid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які</w:t>
      </w:r>
      <w:r w:rsidRPr="00A6278E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мають ці повторювані послідовності, менш стійкі до дії соляної кислоти, на що вказує їх присутність при атрофічному гастриті, при якому знижена її секреція.</w:t>
      </w:r>
    </w:p>
    <w:p w:rsidR="00960A13" w:rsidRPr="00960A13" w:rsidRDefault="00960A13" w:rsidP="00960A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Проведено ряд досліджень по вивченню </w:t>
      </w:r>
      <w:proofErr w:type="spellStart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предикторів</w:t>
      </w:r>
      <w:proofErr w:type="spellEnd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передракових захворювань. Так, в дослідженні Y. </w:t>
      </w:r>
      <w:proofErr w:type="spellStart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Yamaoka</w:t>
      </w:r>
      <w:proofErr w:type="spellEnd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et</w:t>
      </w:r>
      <w:proofErr w:type="spellEnd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al</w:t>
      </w:r>
      <w:proofErr w:type="spellEnd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(2011) показано, що захворюваність на рак </w:t>
      </w:r>
      <w:proofErr w:type="spellStart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найбільш висока в країнах Східної Азії, але вона 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також висока і в деяких країнах Південної Америки, таких як Колумбія та Перу, де переважно циркулюють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штами. Однак при порівняльному вивченні частоти </w:t>
      </w:r>
      <w:r w:rsidR="002A74E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стрічання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повторю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ваного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EPIYA-C сегмента встановлено, що 57% ізолятів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 Колумбії мають два EPIYA-C сегмента і тільки 4% ізолятів з</w:t>
      </w:r>
      <w:r w:rsid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США, де частота раку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є однією з найнижчих [24].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</w:p>
    <w:p w:rsidR="00960A13" w:rsidRPr="00960A13" w:rsidRDefault="00960A13" w:rsidP="00960A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В іншому дослідженні вивчалося, чи сприяє наявність варіацій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 в штамах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які є позитивними, розвитку захворювання в слизовій оболонці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. У ц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е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дослідженн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я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було включено 157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-позитивних пацієнт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ів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з яких 40,8% (64/157) були інфіковані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-позитивними штамами, які були проаналізовані на наявність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EPIYA-ABC, EPIYA-ABCC і EPIYA-ABCCC. Виразки достовірно частіше зустрічалися у пацієнтів, інфікованих штамами, що містять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EPIYA-ABCC / ABCCC, ніж у пацієнтів зі штамами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EPIYA ABC (Р = 0,044). У висновку було підкреслено, що кількість повторень EPIYA-C впливає на розвиток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гастродуоденальних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уражень, підкреслюючи важливість і корисність оцінки послідовності гена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при прийнятті рішень про терапевтичн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е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втручанн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я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у пацієнтів, інфікованих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[22]. Таким чином, поширеність EPIYA-C сегмента в популяції може бути одним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з факторів, що пояснюють наявність географічних відмінностей в поширеності раку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[2].</w:t>
      </w:r>
    </w:p>
    <w:p w:rsidR="00960A13" w:rsidRPr="00960A13" w:rsidRDefault="00960A13" w:rsidP="00960A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Відзначено ряд експериментальних робіт присвячених вивченн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ю 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патогенності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Були опубліковані дослідження, де в якості моделей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in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vivo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для вивчення вірулентності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використовувалися гризуни. Однак штами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адаптовані у гризунів, часто втрачають функціональні TFSS і, таким чином, не можуть надати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[4]. Макаки також були використані в якості експериментальної моделі для інфекції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[8]. Але знову ж таки, дослідження з нелюдськими приматами віднімають багато часу,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стомлю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вальн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трудомісткі і надзвичайно дорогі за вартістю, що ускладнює оцінку ступеня вірулентності для окремих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-позитивних штамів з використанням нелюдських приматів. Останнім часом стало можливим генерувати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органоспецифічні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тривимірні культури клітин, відомі як "органели" [1]. Органели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, що утворюються з ізольовано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ї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слизової оболонки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являють собою сфери епітеліального клітинного шару з просвітом всередині, які можуть бути інфіковані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[21]. Шлункові органели також були розроблені з ембріональних стовбурових клітин [17]. Органели, отримані з ембріональних клітин</w:t>
      </w:r>
      <w:r w:rsid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,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можуть бути більш придатними, ніж органели, отримані з шлунково-кишкових крипт, для вивчення взаємодії господаря 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патогена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оскільки вони включають три різних компонента: шар епітеліальних клітин,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мезенхімальні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клітини і слизову пластинку мускулатури.</w:t>
      </w:r>
    </w:p>
    <w:p w:rsidR="00960A13" w:rsidRDefault="00960A13" w:rsidP="00960A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В роботі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Kana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Hashi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et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al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було виділено штам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(Hp_TH2099), 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який 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природно заражає шлунок макаки, ​​що вказує на зоонозну особливість інфекції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Аналіз послідовності всього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генома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показав, що Hp_TH2099 належить до кластер</w:t>
      </w:r>
      <w:r w:rsidR="002D2251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HpAsia2 і володіє ABC-типом Західного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який містить до сих пір не повідомлені варіації як в послідовності EPIYA-C, так і в послідовності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мульт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мер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заці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ї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На відміну від стандартного штаму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інфікування мишачих клітинних шлункових органоїдів Hp_TH2099 не викликало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CagА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-залежно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ї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деструкції епітелію. Таким чином, виділений з макаки H.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показав низьку вірулентність через ослаблен</w:t>
      </w:r>
      <w:r w:rsidR="00C54005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ня</w:t>
      </w:r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активності </w:t>
      </w:r>
      <w:proofErr w:type="spellStart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960A13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через множинні заміни в послідовності, що беруть участь в зв'язуванні з SHP2 і PAR1b [13].</w:t>
      </w:r>
    </w:p>
    <w:p w:rsidR="000B6E2A" w:rsidRPr="000B6E2A" w:rsidRDefault="000B6E2A" w:rsidP="000B6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lastRenderedPageBreak/>
        <w:t>У 2018 р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.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групою вчених під керівництвом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Manal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Diab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було опубліковано, що відсутність більш в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і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рулентного східно-азі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й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ського генотипу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який є найсильнішим чинником ризику канцерогенезу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може пояснити дуже низький рівень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серед населення Єгипту в порівнянні з іншими частинами світу. Однак вони підкреслили, що цей висновок вимагає подальших молекулярних досліджень з використанням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секвенування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всього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генома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більшої кількості зразків для визначення точного невластивого генотипу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для виявлення фактичного ризику розвитку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гастродуоденальних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захворювань у Єгипті [15]. Також дослідники відзначили, що їх показник був порівнянний з попередніми дослідженнями з Йорданії 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та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Ліван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у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[12, 14]. Тим не менш, він також був нижч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им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ніж попередні дослідження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в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країн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ах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Південної та Східної Азії (більше 90%) [6].</w:t>
      </w:r>
    </w:p>
    <w:p w:rsidR="000B6E2A" w:rsidRPr="000B6E2A" w:rsidRDefault="000B6E2A" w:rsidP="000B6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У популяції досить багато людей, інфікованих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Однак лише у 10-15% з них розвивається виразкова хвороба або рак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. Так, завдяки генетичній стійкості деяких людей, зокрема, постійних жителів Африки, висок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е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засіян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ня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не призводить до розвитку виразок дванадцятипалої кишки і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; серед постійних жителів Індонезії виразкова хвороба у китайців, які постійно проживають в цій країні, розвивається 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у 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8 разів частіше, ніж у корінних жителів цієї країни. Ця невідповідність відбивається на поширеності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-позитивного штам</w:t>
      </w:r>
      <w:r w:rsidR="00D2617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у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і може бути пов'язан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 відмінністю досліджуваних популяцій або генетичних різновидів досліджуваних ізолятів в різних географічних зонах. Розуміння молекулярно-генетичного механізму канцерогенезу, індукованого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має дуже велике значення для розробки нових стратегій боротьби з виникненням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Частота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причиною якого безпосередньо є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різниться в різних популяціях, найбільший відсоток (75%) таких раків відзначають в Японії, а найменший відсоток (близько 10%) відзначений у Європейських популяціях [16]. Слід зазначити, що в даний час, виявлення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 80% випадків відбувається на IV стадії, коли ймовірність успішного лікування вкрай мала, що робить розробку ранньої системи діагностики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хелікобактерної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етіології дуже важливою. Штами, які мають одночасно EPIYA-A і В-мотиви або містять один EPIYA-C-мотив, обумовлюють більш ніж семиразове збільшення ризику розвитку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в порівнянні з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СagA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-негативними штамами [5]. Штами, що містять два або більше EPIYA-C-мотивів, зумовлюють більш ніж 30-кратне підвищення ризику [11]. Більше число EPIYA-C або D</w:t>
      </w:r>
      <w:r w:rsidR="00885356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мотивів асоціюється зі збільшенням ризику кишкової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метаплазії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п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е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редзло</w:t>
      </w:r>
      <w:r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якіс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них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змін [7].</w:t>
      </w:r>
    </w:p>
    <w:p w:rsidR="000B6E2A" w:rsidRPr="007E3D6C" w:rsidRDefault="000B6E2A" w:rsidP="000B6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Таким чином, визначення типу та кількості EPIYA-мотивів в </w:t>
      </w:r>
      <w:proofErr w:type="spellStart"/>
      <w:r w:rsidR="0074364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к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арбоксильн</w:t>
      </w:r>
      <w:r w:rsidR="0074364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ому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кінці ділянки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-білк</w:t>
      </w:r>
      <w:r w:rsidR="00743642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у</w:t>
      </w:r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отриманої з клінічних ізолятів, має важливе прогностичне значення в оцінці ризику розвитку патологічних станів, пов'язаних з інфекційним процесом, викликаним циркулюючими штамами H.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pylori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. Збільшення кількості EPIYA-мотивів служить прогностичним фактором несприятливого розвитку захворювань шлунково-кишкового тракту. Кількість і тип EPIYA-мотивів можуть бути використані як додаткові критерії з метою визначення груп ризику по розвитку раку </w:t>
      </w:r>
      <w:proofErr w:type="spellStart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шлунка</w:t>
      </w:r>
      <w:proofErr w:type="spellEnd"/>
      <w:r w:rsidRPr="000B6E2A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.</w:t>
      </w:r>
    </w:p>
    <w:p w:rsidR="00743642" w:rsidRPr="002A74E2" w:rsidRDefault="00743642" w:rsidP="00261B49">
      <w:pPr>
        <w:spacing w:after="0" w:line="240" w:lineRule="auto"/>
        <w:ind w:firstLine="360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D50AB3" w:rsidRDefault="00261B49" w:rsidP="00261B49">
      <w:pPr>
        <w:spacing w:after="0" w:line="240" w:lineRule="auto"/>
        <w:ind w:firstLine="360"/>
        <w:rPr>
          <w:rStyle w:val="a5"/>
          <w:rFonts w:ascii="Times New Roman" w:hAnsi="Times New Roman"/>
          <w:b/>
          <w:b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Л</w:t>
      </w:r>
      <w:r w:rsidR="00743642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>і</w:t>
      </w:r>
      <w:proofErr w:type="spellStart"/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тература</w:t>
      </w:r>
      <w:proofErr w:type="spellEnd"/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:</w:t>
      </w:r>
    </w:p>
    <w:p w:rsidR="00885356" w:rsidRPr="00B06AA9" w:rsidRDefault="00885356" w:rsidP="00261B49">
      <w:pPr>
        <w:spacing w:after="0" w:line="240" w:lineRule="auto"/>
        <w:ind w:firstLine="360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0" w:name="_GoBack"/>
      <w:bookmarkEnd w:id="0"/>
    </w:p>
    <w:p w:rsidR="00CA45E0" w:rsidRPr="00B06AA9" w:rsidRDefault="00CA45E0" w:rsidP="00CA45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" w:name="_Ref24455303"/>
      <w:bookmarkStart w:id="2" w:name="_Ref24455348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Васильев Ю. В. Патогенетические аспекты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Helicobacter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pylori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Международный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медицинский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журнал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. 2007. </w:t>
      </w:r>
      <w:r w:rsidRPr="00B06AA9">
        <w:rPr>
          <w:rStyle w:val="a5"/>
          <w:rFonts w:ascii="Times New Roman" w:eastAsia="SimSun" w:hAnsi="Times New Roman"/>
          <w:color w:val="auto"/>
          <w:sz w:val="24"/>
          <w:szCs w:val="24"/>
          <w:lang w:val="en-US" w:eastAsia="zh-CN"/>
        </w:rPr>
        <w:t xml:space="preserve">№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1.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53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–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64.</w:t>
      </w:r>
      <w:bookmarkEnd w:id="1"/>
    </w:p>
    <w:p w:rsidR="00CA45E0" w:rsidRPr="00B06AA9" w:rsidRDefault="00CA45E0" w:rsidP="00CA45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3" w:name="_Ref24455334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Исаева Г. Ш., Валиева Р. И. Биологические свойства и вирулентность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Helicobacter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pylori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K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линическая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микробиология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и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антимикробная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химиотерапия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. 2018. № 20 (1).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14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–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23.</w:t>
      </w:r>
      <w:bookmarkEnd w:id="3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Akkerman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N.,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Defize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L. H. Dawn of the organoid era: 3D tissue and organ cultures revolutionize the study of development, disease, and regeneration.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Bioessays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. 2017. Vol. 39, No 4. </w:t>
      </w:r>
      <w:proofErr w:type="spellStart"/>
      <w:r w:rsidRPr="00B06AA9">
        <w:rPr>
          <w:rFonts w:ascii="Times New Roman" w:hAnsi="Times New Roman"/>
          <w:color w:val="auto"/>
          <w:sz w:val="24"/>
          <w:szCs w:val="24"/>
          <w:lang w:val="en-US"/>
        </w:rPr>
        <w:t>Epub</w:t>
      </w:r>
      <w:proofErr w:type="spellEnd"/>
      <w:r w:rsidRPr="00B06AA9">
        <w:rPr>
          <w:rFonts w:ascii="Times New Roman" w:hAnsi="Times New Roman"/>
          <w:color w:val="auto"/>
          <w:sz w:val="24"/>
          <w:szCs w:val="24"/>
          <w:lang w:val="en-US"/>
        </w:rPr>
        <w:t xml:space="preserve"> 2017 Feb 21.</w:t>
      </w:r>
      <w:bookmarkEnd w:id="2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4" w:name="_Ref24455337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Barrozo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R. M. Functional plasticity in the type IV secretion system of Helicobacter pylori.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PLoS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Pathog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2013. Vol. 9. P. e1003189.</w:t>
      </w:r>
      <w:bookmarkEnd w:id="4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5" w:name="_Ref24455389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lastRenderedPageBreak/>
        <w:t xml:space="preserve">Batista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Sérgio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A. Higher Number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EPIYA C Phosphorylation Sites Increases the Risk of Gastric Cancer, but Not Duodenal Ulcer.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BMC Microbiology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2011. Vol. 11. P. 61.</w:t>
      </w:r>
      <w:bookmarkEnd w:id="5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6" w:name="_Ref24455379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Chomvarin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C. Prevalence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VacA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proofErr w:type="gram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CagE,I</w:t>
      </w:r>
      <w:proofErr w:type="spellEnd"/>
      <w:proofErr w:type="gram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and BabA2 genotypes in Thai dyspeptic patients.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Int J Infect Dis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2008. Vol. 12. P. 30–36.</w:t>
      </w:r>
      <w:bookmarkEnd w:id="6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bookmarkStart w:id="7" w:name="_Ref24455395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Correa P., Houghton J. Carcinogenesis of Helicobacter pylori.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Gastroenterology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2007.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Vol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133.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. 659–672.</w:t>
      </w:r>
      <w:bookmarkEnd w:id="7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8" w:name="_Ref24455341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Dubois A. Transient and persistent experimental infection of nonhuman primates with Helicobacter pylori: implications for human disease.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Infect. Immun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1996. Vol. 64. P. 2885–2891.</w:t>
      </w:r>
      <w:bookmarkEnd w:id="8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9" w:name="_Ref24455294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Forman D. Association between infection with Helicobacter pylori and risk of gastric cancer: evidence from a prospective investigation.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BMJ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1991. Vol. 302. P. 1302–1305.</w:t>
      </w:r>
      <w:bookmarkEnd w:id="9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0" w:name="_Ref24455319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Hatakeyama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M. Helicobacter pylori and gastric carcinogenesis.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J Gastroenterol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2009. Vol. 44, No 4. P. 239–248.</w:t>
      </w:r>
      <w:bookmarkEnd w:id="10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1" w:name="_Ref24455392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Hatakeyama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M. Structure and Function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, the First-Identified Bacterial Protein Involved in Human Cancer.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Proceedings of the Japan Academy. Series B. Physical and Biological Sciences.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2017. Vol. 93, No 4. P. 196–219.</w:t>
      </w:r>
      <w:bookmarkEnd w:id="11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2" w:name="_Ref24455375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Hussein N. R. Helicobacter pylori and gastric cancer in the Middle East: a new enigma?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World J Gastroenterol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2010. Vol. 16, No 26. P. 3226–3234.</w:t>
      </w:r>
      <w:bookmarkEnd w:id="12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3" w:name="_Ref24455364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Kana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Hashi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. Evaluating the origin and virulence of a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-positive strain isolated from a non-human primate.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Scientific Reports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2018. Vol. 8, No 1. P. 15981</w:t>
      </w:r>
      <w:bookmarkEnd w:id="13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4" w:name="_Ref24455372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Khayat A. E. Prevalence and Clinical Relevance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and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VacA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genes in Lebanese patients with gastritis and peptic ulcer disease.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J Infect Dev.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Ctries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.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2007. Vol. 1. P. 55–61.</w:t>
      </w:r>
      <w:bookmarkEnd w:id="14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5" w:name="_Ref24455369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Manal Diab. Helicobacter pylori Western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genotype in Egyptian patients with upper gastrointestinal disease.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Egyptian Journal of Medical Human Genetics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2018. Vol. 19, No 4. P. 297–300.</w:t>
      </w:r>
      <w:bookmarkEnd w:id="15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6" w:name="_Ref24455385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Nagini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S. Carcinoma of the stomach: A review of epidemiology, pathogenesis, molecular genetics and chemoprevention.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World Journal of Gastrointestinal Oncology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2012. Vol. 4, No 7. P. 156–169.</w:t>
      </w:r>
      <w:bookmarkEnd w:id="16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7" w:name="_Ref24455358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Noguchi T. K. Generation of stomach tissue from mouse embryonic stem cells.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Nat. Cell Biol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2015. Vol. 17. P. 984–993.</w:t>
      </w:r>
      <w:bookmarkEnd w:id="17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8" w:name="_Ref24455298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Parsonnet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J., Friedman G. D.,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Orentreich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N.,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Vogelman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H. Risk for gastric cancer in people with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positive or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negative Helicobacter pylori infection.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Gut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1997. Vol. 40. P. 297–301.</w:t>
      </w:r>
      <w:bookmarkEnd w:id="18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9" w:name="_Ref24455282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Peek R. M., Jr. Blaser M. J. Pathophysiology of Helicobacter pylori-induced gastritis and peptic ulcer disease.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Am. J. Med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1997. Vol. 102. P. 200–207.</w:t>
      </w:r>
      <w:bookmarkEnd w:id="19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20" w:name="_Ref24455315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Ren S., Higashi H., Lu H., Azuma T.,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Hatakeyama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M. Structural basis and functional consequence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multimerization in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cel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J. Biol. Chem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2006. Vol. 281. P. 32344–32352.</w:t>
      </w:r>
      <w:bookmarkEnd w:id="20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21" w:name="_Ref24455354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Schlaermann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P. A novel human gastric primary cell culture system for modelling Helicobacter pylori infection in vitro.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Gut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2016. Vol. 65. P. 202–213.</w:t>
      </w:r>
      <w:bookmarkEnd w:id="21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22" w:name="_Ref24455330"/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Vianna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J. S. Detection of Helicobacter pylori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EPIYA in gastric biopsy specimens and its relation to gastric diseases.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Diagn Microbiol Infect Dis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2015. Vol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83,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No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2. 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P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. 89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–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92.</w:t>
      </w:r>
      <w:bookmarkEnd w:id="22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23" w:name="_Ref24455307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Xia Y. A comprehensive sequence and disease correlation analyses for the C-terminal region of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CagA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 protein of Helicobacter pylori.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PLoS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 One</w:t>
      </w:r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2009. Vol. 4. P. e7736.</w:t>
      </w:r>
      <w:bookmarkEnd w:id="23"/>
    </w:p>
    <w:p w:rsidR="00CA45E0" w:rsidRPr="00B06AA9" w:rsidRDefault="00CA45E0" w:rsidP="00C54DE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24" w:name="_Ref24455324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 xml:space="preserve">Yamaoka Y. Mechanisms of disease: Helicobacter pylori virulence factors.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 xml:space="preserve">Nat Rev Gastroenterol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  <w:lang w:val="en-US"/>
        </w:rPr>
        <w:t>Hepatol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. 2011. Vol. 7, No 11. P. 629–641.</w:t>
      </w:r>
      <w:bookmarkEnd w:id="24"/>
    </w:p>
    <w:p w:rsidR="00C54DE0" w:rsidRPr="00B06AA9" w:rsidRDefault="00C54DE0" w:rsidP="00C54DE0">
      <w:pPr>
        <w:pStyle w:val="a6"/>
        <w:spacing w:after="0" w:line="240" w:lineRule="auto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B06AA9" w:rsidRPr="00B06AA9" w:rsidRDefault="00B06AA9">
      <w:pPr>
        <w:spacing w:after="0" w:line="240" w:lineRule="auto"/>
        <w:rPr>
          <w:rStyle w:val="a5"/>
          <w:rFonts w:ascii="Times New Roman" w:hAnsi="Times New Roman"/>
          <w:b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Cs/>
          <w:color w:val="auto"/>
          <w:sz w:val="24"/>
          <w:szCs w:val="24"/>
        </w:rPr>
        <w:br w:type="page"/>
      </w:r>
    </w:p>
    <w:p w:rsidR="00B06AA9" w:rsidRPr="00B06AA9" w:rsidRDefault="00B06AA9" w:rsidP="00B06AA9">
      <w:pPr>
        <w:spacing w:after="0" w:line="240" w:lineRule="auto"/>
        <w:rPr>
          <w:rStyle w:val="a5"/>
          <w:rFonts w:ascii="Times New Roman" w:hAnsi="Times New Roman"/>
          <w:b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Cs/>
          <w:color w:val="auto"/>
          <w:sz w:val="24"/>
          <w:szCs w:val="24"/>
        </w:rPr>
        <w:lastRenderedPageBreak/>
        <w:t>УДК 616.33/.342:579.835.12Helicobacter p]-035.2</w:t>
      </w:r>
    </w:p>
    <w:p w:rsidR="00B06AA9" w:rsidRPr="00B06AA9" w:rsidRDefault="00B06AA9" w:rsidP="00B06AA9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 xml:space="preserve">Оценка риска развития патологических состояний, вызванных циркулирующими штаммами </w:t>
      </w:r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>H</w:t>
      </w:r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>p</w:t>
      </w:r>
      <w:proofErr w:type="spellStart"/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ylori</w:t>
      </w:r>
      <w:proofErr w:type="spellEnd"/>
      <w:r w:rsidRPr="00B06AA9"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:rsidR="00B06AA9" w:rsidRPr="00B06AA9" w:rsidRDefault="00B06AA9" w:rsidP="00B06AA9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Д. К. Каримова, Г. Н.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Собирова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, М. М. Каримов </w:t>
      </w:r>
    </w:p>
    <w:p w:rsidR="00B06AA9" w:rsidRPr="00B06AA9" w:rsidRDefault="00B06AA9" w:rsidP="00B06AA9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Республиканский специализированный научно-практический медицинский центр терапии и медицинской реабилитации</w:t>
      </w:r>
      <w:r w:rsidRPr="00B06AA9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Ташкент, Узбекистан</w:t>
      </w:r>
    </w:p>
    <w:p w:rsidR="00B06AA9" w:rsidRPr="00B06AA9" w:rsidRDefault="00B06AA9" w:rsidP="00B06AA9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06AA9" w:rsidRPr="00B06AA9" w:rsidRDefault="00B06AA9" w:rsidP="00B06AA9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B06AA9">
        <w:rPr>
          <w:rStyle w:val="a5"/>
          <w:rFonts w:ascii="Times New Roman" w:hAnsi="Times New Roman"/>
          <w:b/>
          <w:color w:val="auto"/>
          <w:sz w:val="24"/>
          <w:szCs w:val="24"/>
        </w:rPr>
        <w:t>Ключевые слова: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хеликоб</w:t>
      </w:r>
      <w:r>
        <w:rPr>
          <w:rStyle w:val="a5"/>
          <w:rFonts w:ascii="Times New Roman" w:hAnsi="Times New Roman"/>
          <w:color w:val="auto"/>
          <w:sz w:val="24"/>
          <w:szCs w:val="24"/>
        </w:rPr>
        <w:t>актерная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 инфекция, EPIYA,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</w:rPr>
        <w:t>CagA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</w:rPr>
        <w:t>-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штаммы, канцерогенез, гастрит, язвенная болезнь</w:t>
      </w:r>
    </w:p>
    <w:p w:rsidR="00611EEF" w:rsidRPr="00B06AA9" w:rsidRDefault="00611EEF" w:rsidP="00B06AA9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B06AA9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  <w:t>На протяжении последних лет отмечается рост распространенности воспалительно-деструктивных заболеваний гастродуоденальной зоны, что объясняют, в первую очередь</w:t>
      </w:r>
      <w:r w:rsidR="007E3D6C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</w:t>
      </w:r>
      <w:r w:rsidRPr="00B06AA9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инфицированием бактерией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Helicobacter pylori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(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H. pylori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). Одним из основных факторов патогенности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H. </w:t>
      </w:r>
      <w:proofErr w:type="spellStart"/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pylori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считается наличие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цитотоксин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-ассоциированного гена</w:t>
      </w:r>
      <w:r w:rsidR="00362D38"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—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CagА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. Известно, что инфицирование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-положительными штаммами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H. pylori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ассоциировано с развитием атрофии, опухолевой инвазией и быстрым метастазированием. В ряде недавно опубликованных исследований установлено, что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является полиморфным геном, который может содержать разное количество повторяющихся последовательностей, расположенный в 3</w:t>
      </w:r>
      <w:r w:rsidR="007E3D6C">
        <w:rPr>
          <w:rStyle w:val="a5"/>
          <w:rFonts w:ascii="Times New Roman" w:hAnsi="Times New Roman"/>
          <w:color w:val="auto"/>
          <w:sz w:val="24"/>
          <w:szCs w:val="24"/>
        </w:rPr>
        <w:t>’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регионе. Каждый повторяющийся регион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содержит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Glu-Pro-Ile-Tyr-Ala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(EPIYA) профили, включающие фосфорилирование тирозина. В зависимости от последовательности EPIYA профиля, различают четыре сегмента: EPIYA-A, EPIYA-B, EPIYA-C, EPIYA-D, каждый из которых содержит повторяющийся регион. Выявлены географические особенности распространенности штаммов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H. pylori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в зависимости от последовательности EPIYA: EPIYA-А регион западных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изолятов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этой бактерии ассоциирован </w:t>
      </w:r>
      <w:r w:rsidR="00390309" w:rsidRPr="00B06AA9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с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EPIYA-A, EPIYA-B, EPIYA-C сегментами, тогда как восточным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-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положительным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изолятам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H. pylori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свойственен А-В-D тип гена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.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 Приведены данные, иллюстрирующие сильную взаимосвязь между инфицированием западными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-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положительным штаммами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>H. pylori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, имеющими повторяющийся EPIYA-C сегмент, и развитием предраковых состояний, а также раком желудка. Инфицирование штаммами </w:t>
      </w:r>
      <w:r w:rsidRPr="00B06AA9">
        <w:rPr>
          <w:rStyle w:val="a5"/>
          <w:rFonts w:ascii="Times New Roman" w:hAnsi="Times New Roman"/>
          <w:i/>
          <w:color w:val="auto"/>
          <w:sz w:val="24"/>
          <w:szCs w:val="24"/>
        </w:rPr>
        <w:t xml:space="preserve">H. pylori, </w:t>
      </w:r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содержащими одновременно А-В мотивы EPIYA или один С-тип гена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СagА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 xml:space="preserve">, сопряжено с 7-кратным возрастанием риска рака желудка по сравнению с </w:t>
      </w:r>
      <w:proofErr w:type="spellStart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СagA</w:t>
      </w:r>
      <w:proofErr w:type="spellEnd"/>
      <w:r w:rsidRPr="00B06AA9">
        <w:rPr>
          <w:rStyle w:val="a5"/>
          <w:rFonts w:ascii="Times New Roman" w:hAnsi="Times New Roman"/>
          <w:color w:val="auto"/>
          <w:sz w:val="24"/>
          <w:szCs w:val="24"/>
        </w:rPr>
        <w:t>-негативными штаммами; наличие двух и более EPIYA-C-мотивов связывают с 30-кратным увеличением риска.</w:t>
      </w:r>
    </w:p>
    <w:p w:rsidR="00611EEF" w:rsidRPr="000577C1" w:rsidRDefault="00611EEF" w:rsidP="00611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7E3D6C" w:rsidRPr="007E3D6C" w:rsidRDefault="007E3D6C" w:rsidP="007E3D6C">
      <w:pPr>
        <w:spacing w:after="0" w:line="240" w:lineRule="auto"/>
        <w:rPr>
          <w:rStyle w:val="a5"/>
          <w:rFonts w:ascii="Times New Roman" w:hAnsi="Times New Roman"/>
          <w:bCs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bCs/>
          <w:color w:val="auto"/>
          <w:sz w:val="24"/>
          <w:szCs w:val="24"/>
          <w:lang w:val="uk-UA"/>
        </w:rPr>
        <w:t>УДК 616.33/.342:579.835.12Helicobacter p]-035.2</w:t>
      </w:r>
    </w:p>
    <w:p w:rsidR="007E3D6C" w:rsidRPr="007E3D6C" w:rsidRDefault="007E3D6C" w:rsidP="007E3D6C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Оцінка ризику розвитку патологічних станів, викликаних циркулюючими штамами Н. </w:t>
      </w:r>
      <w:proofErr w:type="spellStart"/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>pylori</w:t>
      </w:r>
      <w:proofErr w:type="spellEnd"/>
      <w:r w:rsidRPr="007E3D6C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 </w:t>
      </w:r>
    </w:p>
    <w:p w:rsidR="007E3D6C" w:rsidRPr="007E3D6C" w:rsidRDefault="007E3D6C" w:rsidP="007E3D6C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Д. К. Каримова, Г. Н. </w:t>
      </w:r>
      <w:proofErr w:type="spellStart"/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Собірова</w:t>
      </w:r>
      <w:proofErr w:type="spellEnd"/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, М. М. Каримов </w:t>
      </w:r>
    </w:p>
    <w:p w:rsidR="007E3D6C" w:rsidRPr="007E3D6C" w:rsidRDefault="007E3D6C" w:rsidP="007E3D6C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>Республіканський спеціалізований науково-практичний медичний центр терапії та медичної реабілітації, Ташкент, Узбекистан</w:t>
      </w:r>
    </w:p>
    <w:p w:rsidR="007E3D6C" w:rsidRPr="007E3D6C" w:rsidRDefault="007E3D6C" w:rsidP="007E3D6C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7E3D6C" w:rsidRPr="007E3D6C" w:rsidRDefault="007E3D6C" w:rsidP="007E3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Style w:val="a5"/>
          <w:rFonts w:ascii="Times New Roman" w:hAnsi="Times New Roman"/>
          <w:color w:val="auto"/>
          <w:sz w:val="24"/>
          <w:szCs w:val="24"/>
          <w:lang w:val="uk-UA"/>
        </w:rPr>
      </w:pPr>
      <w:r w:rsidRPr="007E3D6C">
        <w:rPr>
          <w:rStyle w:val="a5"/>
          <w:rFonts w:ascii="Times New Roman" w:hAnsi="Times New Roman"/>
          <w:b/>
          <w:color w:val="auto"/>
          <w:sz w:val="24"/>
          <w:szCs w:val="24"/>
          <w:lang w:val="uk-UA"/>
        </w:rPr>
        <w:t>Ключові слова:</w:t>
      </w:r>
      <w:r w:rsidRPr="007E3D6C">
        <w:rPr>
          <w:rStyle w:val="a5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гелікобактерна</w:t>
      </w:r>
      <w:proofErr w:type="spellEnd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 xml:space="preserve"> інфекція, EPIYA, </w:t>
      </w:r>
      <w:proofErr w:type="spellStart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CagA</w:t>
      </w:r>
      <w:proofErr w:type="spellEnd"/>
      <w:r w:rsidRPr="007E3D6C">
        <w:rPr>
          <w:rFonts w:ascii="Times New Roman" w:hAnsi="Times New Roman"/>
          <w:color w:val="auto"/>
          <w:sz w:val="24"/>
          <w:szCs w:val="24"/>
          <w:lang w:val="uk-UA"/>
        </w:rPr>
        <w:t>-штами, канцерогенез, гастрит, виразкова хвороба</w:t>
      </w:r>
    </w:p>
    <w:p w:rsidR="00611EEF" w:rsidRPr="007E3D6C" w:rsidRDefault="00611EEF" w:rsidP="007E3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</w:pP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Протягом останніх років спостерігається зростання поширеності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запально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-деструктивних захворювань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гастродуоденальної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зони, що пояснюють, в першу чергу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,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інфікуванням бактерією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Helicobacter</w:t>
      </w:r>
      <w:proofErr w:type="spellEnd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(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). Одним з основних факторів патогенності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вважається наявність цитотоксин-асоційованого ген</w:t>
      </w:r>
      <w:r w:rsidR="00DD79A0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у</w:t>
      </w:r>
      <w:r w:rsidR="00362D38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—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CagА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. Відомо, що інфікування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-позитивними штамами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асоційоване з розвитком атрофії, пухлинної інвазії і швидким метастазуванням. 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Низкою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не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що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давно опублікованих досліджень встановлено, що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є поліморфним геном, який може містити різну кількість по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слідовностей, що повторюються та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розташовані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у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3 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‘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регіоні. Кожен регіон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, що повторю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є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ться,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містить Glu-Pro-Ile-Tyr-Ala (EPIYA) профілі,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які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включають фосфорилювання тирозину. Залежно від послідовності EPIYA профілю, розрізняють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lastRenderedPageBreak/>
        <w:t xml:space="preserve">чотири сегменти: EPIYA-A, EPIYA-B, EPIYA-C, EPIYA-D, кожен з яких містить повторюваний регіон. Виявлено географічні особливості поширеності штамів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залежно від послідовності EPIYA: EPIYA-А регіон західних ізолятів цієї бактерії асоційований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з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EPIYA-A, EPIYA-B, EPIYA-C сегментами, тоді як східним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-позитивним ізолят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ам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властивий А-В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-D тип гена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. Наведено дані, що ілюструють сильний взаємозв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’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язок між інфікуванням західними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-позитивним штамами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,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які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мають повторюваний EPIYA-C сегмент, і розвитком передракових станів, а також рак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ом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шлунка. Інфікування штамами </w:t>
      </w:r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 xml:space="preserve">H. </w:t>
      </w:r>
      <w:proofErr w:type="spellStart"/>
      <w:r w:rsidRPr="007E3D6C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uk-UA"/>
        </w:rPr>
        <w:t>pylori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, 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які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одночасно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містять А-В мотиви EPIYA або один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-тип гена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, пов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’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язане з 7-кратним зростанням ризику раку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шлунка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порівнян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о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з </w:t>
      </w:r>
      <w:proofErr w:type="spellStart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СagA</w:t>
      </w:r>
      <w:proofErr w:type="spellEnd"/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-негативними штамами; наявність двох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та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 більше EPIYA-C-мотивів пов</w:t>
      </w:r>
      <w:r w:rsid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’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язують з 30-кратним збільшенням </w:t>
      </w:r>
      <w:r w:rsidR="00390309"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 xml:space="preserve">цього </w:t>
      </w:r>
      <w:r w:rsidRPr="007E3D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uk-UA"/>
        </w:rPr>
        <w:t>ризику.</w:t>
      </w:r>
    </w:p>
    <w:p w:rsidR="008B4B7E" w:rsidRPr="00B06AA9" w:rsidRDefault="008B4B7E" w:rsidP="008B4B7E">
      <w:pPr>
        <w:pStyle w:val="a6"/>
        <w:spacing w:after="0" w:line="240" w:lineRule="auto"/>
        <w:ind w:left="0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uk-UA"/>
        </w:rPr>
      </w:pPr>
    </w:p>
    <w:p w:rsidR="00390309" w:rsidRPr="00FF45E6" w:rsidRDefault="00390309" w:rsidP="0089481C">
      <w:pPr>
        <w:pStyle w:val="a6"/>
        <w:spacing w:after="0" w:line="240" w:lineRule="auto"/>
        <w:ind w:left="0"/>
        <w:jc w:val="center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r w:rsidRPr="00FF45E6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>Risk assessment of pathological conditions caused by circulating H. pylori strains</w:t>
      </w:r>
    </w:p>
    <w:p w:rsidR="00390309" w:rsidRPr="00FF45E6" w:rsidRDefault="0089481C" w:rsidP="0089481C">
      <w:pPr>
        <w:pStyle w:val="a6"/>
        <w:spacing w:after="0" w:line="240" w:lineRule="auto"/>
        <w:ind w:left="0"/>
        <w:jc w:val="center"/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D. K. </w:t>
      </w:r>
      <w:r w:rsidR="00390309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Karimova, 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G. N. </w:t>
      </w:r>
      <w:proofErr w:type="spellStart"/>
      <w:r w:rsidR="00390309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Sobirova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, M. M. </w:t>
      </w:r>
      <w:proofErr w:type="spellStart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Karimov</w:t>
      </w:r>
      <w:proofErr w:type="spellEnd"/>
    </w:p>
    <w:p w:rsidR="0089481C" w:rsidRPr="00FF45E6" w:rsidRDefault="0089481C" w:rsidP="0089481C">
      <w:pPr>
        <w:pStyle w:val="a6"/>
        <w:spacing w:after="0" w:line="240" w:lineRule="auto"/>
        <w:ind w:left="0"/>
        <w:jc w:val="center"/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Republican Specialized Scientific and Practical Medical Center for Therapy and Medical Rehabilitation, Tashkent, Uzbekistan</w:t>
      </w:r>
    </w:p>
    <w:p w:rsidR="0089481C" w:rsidRPr="00FF45E6" w:rsidRDefault="0089481C" w:rsidP="00390309">
      <w:pPr>
        <w:pStyle w:val="a6"/>
        <w:spacing w:after="0" w:line="240" w:lineRule="auto"/>
        <w:ind w:left="0"/>
        <w:jc w:val="both"/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</w:pPr>
    </w:p>
    <w:p w:rsidR="00390309" w:rsidRPr="00FF45E6" w:rsidRDefault="00390309" w:rsidP="0089481C">
      <w:pPr>
        <w:pStyle w:val="a6"/>
        <w:spacing w:after="0" w:line="240" w:lineRule="auto"/>
        <w:ind w:left="0" w:firstLine="708"/>
        <w:jc w:val="both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r w:rsidRPr="00FF45E6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>Key</w:t>
      </w:r>
      <w:r w:rsidR="0089481C" w:rsidRPr="00FF45E6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F45E6"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words: </w:t>
      </w:r>
      <w:r w:rsidR="0089481C" w:rsidRPr="00FF45E6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Helicobacter pylori infection, EPIYA, </w:t>
      </w:r>
      <w:proofErr w:type="spellStart"/>
      <w:r w:rsidR="0089481C" w:rsidRPr="00FF45E6">
        <w:rPr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="0089481C" w:rsidRPr="00FF45E6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strains, carcinogenesis, gastritis, peptic ulcer</w:t>
      </w:r>
    </w:p>
    <w:p w:rsidR="00390309" w:rsidRPr="00FF45E6" w:rsidRDefault="00390309" w:rsidP="0089481C">
      <w:pPr>
        <w:pStyle w:val="a6"/>
        <w:spacing w:after="0" w:line="240" w:lineRule="auto"/>
        <w:ind w:left="0" w:firstLine="708"/>
        <w:jc w:val="both"/>
        <w:rPr>
          <w:rStyle w:val="a5"/>
          <w:rFonts w:ascii="Times New Roman" w:hAnsi="Times New Roman"/>
          <w:b/>
          <w:bCs/>
          <w:color w:val="auto"/>
          <w:sz w:val="24"/>
          <w:szCs w:val="24"/>
          <w:lang w:val="en-US"/>
        </w:rPr>
      </w:pP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In recent years, there has been an increase in the prevalence of inflammatory and destructive diseases of the gastroduodenal zone, which is primarily explained by </w:t>
      </w:r>
      <w:r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>Helicobacter pylori (H. pylori)</w:t>
      </w:r>
      <w:r w:rsidR="0089481C"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 xml:space="preserve"> </w:t>
      </w:r>
      <w:r w:rsidR="0089481C" w:rsidRPr="00FF45E6">
        <w:rPr>
          <w:rStyle w:val="a5"/>
          <w:rFonts w:ascii="Times New Roman" w:eastAsia="SimSun" w:hAnsi="Times New Roman"/>
          <w:bCs/>
          <w:color w:val="auto"/>
          <w:sz w:val="24"/>
          <w:szCs w:val="24"/>
          <w:lang w:val="en-US" w:eastAsia="zh-CN"/>
        </w:rPr>
        <w:t>infection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. One of the main factors of </w:t>
      </w:r>
      <w:r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>H. pylori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pathogenicity is presence of cytotoxin-associated gene</w:t>
      </w:r>
      <w:r w:rsidR="00362D38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— </w:t>
      </w:r>
      <w:proofErr w:type="spellStart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. It is known that </w:t>
      </w:r>
      <w:proofErr w:type="spellStart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-positive </w:t>
      </w:r>
      <w:r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>H. pylori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strains are associated with the development of atrophy, tumor invasion and rapid metastasis. A number of recently published studies have </w:t>
      </w:r>
      <w:r w:rsidR="0089481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revealed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that </w:t>
      </w:r>
      <w:proofErr w:type="spellStart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is a polymorphic gene which contains a different number of repetitive sequences located in the 3</w:t>
      </w:r>
      <w:r w:rsidR="007E3D6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’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region. Each repetitive region of </w:t>
      </w:r>
      <w:proofErr w:type="spellStart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contains Glu-Pro-Ile-Tyr-Ala (EPIYA) profiles including tyrosine phosphorylation. Depending on the sequence of the EPIYA profile, there are </w:t>
      </w:r>
      <w:r w:rsidR="0089481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4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segments: EPIYA-A, EPIYA-B, EPIYA-C, EPIYA-D, each containing a repetitive region. Geographical features of the prevalence of </w:t>
      </w:r>
      <w:r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 xml:space="preserve">H. pylori 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strains depending on the sequence of EPIYA have been revealed: EPIYA-A region of the western isolates of this bacterium is associated with EPIYA-A, EPIYA-B, EPIYA-C segments, while the eastern </w:t>
      </w:r>
      <w:proofErr w:type="spellStart"/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ag</w:t>
      </w:r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-positive </w:t>
      </w:r>
      <w:r w:rsidR="00DD79A0"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 xml:space="preserve">H. pylori 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isolates are characterized by the A-B-D type of the </w:t>
      </w:r>
      <w:proofErr w:type="spellStart"/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gene. </w:t>
      </w:r>
      <w:r w:rsidR="00E64F3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D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ata illustrating the strong correlation between the western </w:t>
      </w:r>
      <w:proofErr w:type="spellStart"/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-positive </w:t>
      </w:r>
      <w:r w:rsidR="00DD79A0"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 xml:space="preserve">H. pylori </w:t>
      </w:r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strains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, which have a repeating EPIYA-C segment, and the development of precancerous states, as well as </w:t>
      </w:r>
      <w:r w:rsidR="00E64F3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gastric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cancer, are presented. </w:t>
      </w:r>
      <w:r w:rsidRPr="00FF45E6">
        <w:rPr>
          <w:rStyle w:val="a5"/>
          <w:rFonts w:ascii="Times New Roman" w:hAnsi="Times New Roman"/>
          <w:bCs/>
          <w:i/>
          <w:color w:val="auto"/>
          <w:sz w:val="24"/>
          <w:szCs w:val="24"/>
          <w:lang w:val="en-US"/>
        </w:rPr>
        <w:t>H. pylori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strains containing simultaneously A-B motives of EPIYA or one C-type of the </w:t>
      </w:r>
      <w:proofErr w:type="spellStart"/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gene </w:t>
      </w:r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are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 associated with a 7-fold increase </w:t>
      </w:r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of 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risk of </w:t>
      </w:r>
      <w:r w:rsidR="00E64F3C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gastric 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 xml:space="preserve">cancer compared to </w:t>
      </w:r>
      <w:proofErr w:type="spellStart"/>
      <w:r w:rsidR="00DD79A0"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C</w:t>
      </w:r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agA</w:t>
      </w:r>
      <w:proofErr w:type="spellEnd"/>
      <w:r w:rsidRPr="00FF45E6">
        <w:rPr>
          <w:rStyle w:val="a5"/>
          <w:rFonts w:ascii="Times New Roman" w:hAnsi="Times New Roman"/>
          <w:bCs/>
          <w:color w:val="auto"/>
          <w:sz w:val="24"/>
          <w:szCs w:val="24"/>
          <w:lang w:val="en-US"/>
        </w:rPr>
        <w:t>-negative strains; presence of two or more EPIYA-C motives is associated with a 30-fold increase of this risk.</w:t>
      </w:r>
    </w:p>
    <w:sectPr w:rsidR="00390309" w:rsidRPr="00FF45E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4A" w:rsidRDefault="00DC0A4A">
      <w:pPr>
        <w:spacing w:after="0" w:line="240" w:lineRule="auto"/>
      </w:pPr>
      <w:r>
        <w:separator/>
      </w:r>
    </w:p>
  </w:endnote>
  <w:endnote w:type="continuationSeparator" w:id="0">
    <w:p w:rsidR="00DC0A4A" w:rsidRDefault="00DC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09" w:rsidRDefault="0039030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4A" w:rsidRDefault="00DC0A4A">
      <w:pPr>
        <w:spacing w:after="0" w:line="240" w:lineRule="auto"/>
      </w:pPr>
      <w:r>
        <w:separator/>
      </w:r>
    </w:p>
  </w:footnote>
  <w:footnote w:type="continuationSeparator" w:id="0">
    <w:p w:rsidR="00DC0A4A" w:rsidRDefault="00DC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309" w:rsidRDefault="00390309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F1B0F"/>
    <w:multiLevelType w:val="hybridMultilevel"/>
    <w:tmpl w:val="92A6865E"/>
    <w:styleLink w:val="1"/>
    <w:lvl w:ilvl="0" w:tplc="47C232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D47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4EB2C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DE0C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C6AB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52B6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F843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E00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70A5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8ED6349"/>
    <w:multiLevelType w:val="hybridMultilevel"/>
    <w:tmpl w:val="92A6865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B3"/>
    <w:rsid w:val="00042891"/>
    <w:rsid w:val="000577C1"/>
    <w:rsid w:val="000B6E2A"/>
    <w:rsid w:val="001179EA"/>
    <w:rsid w:val="00173FF7"/>
    <w:rsid w:val="001F5084"/>
    <w:rsid w:val="00261B49"/>
    <w:rsid w:val="002A74E2"/>
    <w:rsid w:val="002D2251"/>
    <w:rsid w:val="0031715F"/>
    <w:rsid w:val="00362D38"/>
    <w:rsid w:val="00370560"/>
    <w:rsid w:val="00390309"/>
    <w:rsid w:val="00581262"/>
    <w:rsid w:val="00611EEF"/>
    <w:rsid w:val="00743642"/>
    <w:rsid w:val="00752AFC"/>
    <w:rsid w:val="007A7719"/>
    <w:rsid w:val="007E3D6C"/>
    <w:rsid w:val="008000D0"/>
    <w:rsid w:val="0086620C"/>
    <w:rsid w:val="00885356"/>
    <w:rsid w:val="0089481C"/>
    <w:rsid w:val="008B4B7E"/>
    <w:rsid w:val="00911547"/>
    <w:rsid w:val="00960A13"/>
    <w:rsid w:val="009E3750"/>
    <w:rsid w:val="00A05AF2"/>
    <w:rsid w:val="00A6278E"/>
    <w:rsid w:val="00A85481"/>
    <w:rsid w:val="00B06AA9"/>
    <w:rsid w:val="00C54005"/>
    <w:rsid w:val="00C54DE0"/>
    <w:rsid w:val="00CA45E0"/>
    <w:rsid w:val="00D26176"/>
    <w:rsid w:val="00D50AB3"/>
    <w:rsid w:val="00DA2BFE"/>
    <w:rsid w:val="00DC0A4A"/>
    <w:rsid w:val="00DD79A0"/>
    <w:rsid w:val="00E64F3C"/>
    <w:rsid w:val="00F764D0"/>
    <w:rsid w:val="00F95DBC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930E"/>
  <w15:docId w15:val="{A15919B9-637F-40FE-80B9-10288CBD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  <w:rPr>
      <w:lang w:val="ru-RU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tlid-translation">
    <w:name w:val="tlid-translation"/>
    <w:basedOn w:val="a0"/>
    <w:rsid w:val="0061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A263-356B-4437-9615-BEC95BF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2020-03-26T19:21:00Z</dcterms:created>
  <dcterms:modified xsi:type="dcterms:W3CDTF">2020-04-11T15:28:00Z</dcterms:modified>
</cp:coreProperties>
</file>