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2876" w:rsidRPr="00C75F2D" w:rsidRDefault="004A5271" w:rsidP="004A5271">
      <w:pPr>
        <w:spacing w:after="0" w:line="360" w:lineRule="auto"/>
        <w:jc w:val="both"/>
        <w:rPr>
          <w:sz w:val="28"/>
          <w:szCs w:val="28"/>
        </w:rPr>
      </w:pPr>
      <w:r w:rsidRPr="00C75F2D">
        <w:rPr>
          <w:sz w:val="28"/>
          <w:szCs w:val="28"/>
        </w:rPr>
        <w:t>УДК 616.37-002-06:616.39</w:t>
      </w:r>
    </w:p>
    <w:p w:rsidR="005C436B" w:rsidRPr="0099718D" w:rsidRDefault="005C436B" w:rsidP="005C436B">
      <w:pPr>
        <w:spacing w:after="0" w:line="360" w:lineRule="auto"/>
        <w:jc w:val="center"/>
        <w:rPr>
          <w:b/>
          <w:sz w:val="28"/>
          <w:szCs w:val="28"/>
          <w:lang w:val="uk-UA"/>
        </w:rPr>
      </w:pPr>
      <w:r w:rsidRPr="0099718D">
        <w:rPr>
          <w:b/>
          <w:sz w:val="28"/>
          <w:szCs w:val="28"/>
          <w:lang w:val="uk-UA"/>
        </w:rPr>
        <w:t xml:space="preserve">Поєднання ожиріння і </w:t>
      </w:r>
      <w:proofErr w:type="spellStart"/>
      <w:r w:rsidRPr="0099718D">
        <w:rPr>
          <w:b/>
          <w:sz w:val="28"/>
          <w:szCs w:val="28"/>
          <w:lang w:val="uk-UA"/>
        </w:rPr>
        <w:t>трофологічної</w:t>
      </w:r>
      <w:proofErr w:type="spellEnd"/>
      <w:r w:rsidRPr="0099718D">
        <w:rPr>
          <w:b/>
          <w:sz w:val="28"/>
          <w:szCs w:val="28"/>
          <w:lang w:val="uk-UA"/>
        </w:rPr>
        <w:t xml:space="preserve"> недостатності у пацієнта з хронічним алкогольним панкреатитом (клінічний випадок)</w:t>
      </w:r>
    </w:p>
    <w:p w:rsidR="005C436B" w:rsidRPr="0099718D" w:rsidRDefault="005C436B" w:rsidP="005C436B">
      <w:pPr>
        <w:spacing w:after="0" w:line="360" w:lineRule="auto"/>
        <w:jc w:val="center"/>
        <w:rPr>
          <w:sz w:val="28"/>
          <w:szCs w:val="28"/>
          <w:lang w:val="uk-UA"/>
        </w:rPr>
      </w:pPr>
      <w:r w:rsidRPr="0099718D">
        <w:rPr>
          <w:sz w:val="28"/>
          <w:szCs w:val="28"/>
          <w:lang w:val="uk-UA"/>
        </w:rPr>
        <w:t>Н. С. Гавриліна</w:t>
      </w:r>
      <w:r w:rsidRPr="0099718D">
        <w:rPr>
          <w:sz w:val="28"/>
          <w:szCs w:val="28"/>
          <w:vertAlign w:val="superscript"/>
          <w:lang w:val="uk-UA"/>
        </w:rPr>
        <w:t>1,2</w:t>
      </w:r>
      <w:r w:rsidRPr="0099718D">
        <w:rPr>
          <w:sz w:val="28"/>
          <w:szCs w:val="28"/>
          <w:lang w:val="uk-UA"/>
        </w:rPr>
        <w:t>, Л. Ю. Ільченко</w:t>
      </w:r>
      <w:r w:rsidRPr="0099718D">
        <w:rPr>
          <w:sz w:val="28"/>
          <w:szCs w:val="28"/>
          <w:vertAlign w:val="superscript"/>
          <w:lang w:val="uk-UA"/>
        </w:rPr>
        <w:t>2</w:t>
      </w:r>
      <w:r w:rsidRPr="0099718D">
        <w:rPr>
          <w:sz w:val="28"/>
          <w:szCs w:val="28"/>
          <w:lang w:val="uk-UA"/>
        </w:rPr>
        <w:t>, І. Г. Федоров</w:t>
      </w:r>
      <w:r w:rsidRPr="0099718D">
        <w:rPr>
          <w:sz w:val="28"/>
          <w:szCs w:val="28"/>
          <w:vertAlign w:val="superscript"/>
          <w:lang w:val="uk-UA"/>
        </w:rPr>
        <w:t>1,2</w:t>
      </w:r>
      <w:r w:rsidRPr="0099718D">
        <w:rPr>
          <w:sz w:val="28"/>
          <w:szCs w:val="28"/>
          <w:lang w:val="uk-UA"/>
        </w:rPr>
        <w:t>, І. Г. Нікітін</w:t>
      </w:r>
      <w:r w:rsidRPr="0099718D">
        <w:rPr>
          <w:sz w:val="28"/>
          <w:szCs w:val="28"/>
          <w:vertAlign w:val="superscript"/>
          <w:lang w:val="uk-UA"/>
        </w:rPr>
        <w:t>2,3</w:t>
      </w:r>
    </w:p>
    <w:p w:rsidR="005C436B" w:rsidRPr="0099718D" w:rsidRDefault="005C436B" w:rsidP="005C436B">
      <w:pPr>
        <w:spacing w:after="0" w:line="360" w:lineRule="auto"/>
        <w:jc w:val="center"/>
        <w:rPr>
          <w:sz w:val="28"/>
          <w:szCs w:val="28"/>
          <w:lang w:val="uk-UA"/>
        </w:rPr>
      </w:pPr>
      <w:r w:rsidRPr="0099718D">
        <w:rPr>
          <w:sz w:val="28"/>
          <w:szCs w:val="28"/>
          <w:vertAlign w:val="superscript"/>
          <w:lang w:val="uk-UA"/>
        </w:rPr>
        <w:t>1</w:t>
      </w:r>
      <w:r w:rsidRPr="0099718D">
        <w:rPr>
          <w:sz w:val="28"/>
          <w:szCs w:val="28"/>
          <w:lang w:val="uk-UA"/>
        </w:rPr>
        <w:t xml:space="preserve">Міська клінічна лікарня ім. В. М. </w:t>
      </w:r>
      <w:proofErr w:type="spellStart"/>
      <w:r w:rsidRPr="0099718D">
        <w:rPr>
          <w:sz w:val="28"/>
          <w:szCs w:val="28"/>
          <w:lang w:val="uk-UA"/>
        </w:rPr>
        <w:t>Буянова</w:t>
      </w:r>
      <w:proofErr w:type="spellEnd"/>
      <w:r w:rsidRPr="0099718D">
        <w:rPr>
          <w:sz w:val="28"/>
          <w:szCs w:val="28"/>
          <w:lang w:val="uk-UA"/>
        </w:rPr>
        <w:t>,</w:t>
      </w:r>
    </w:p>
    <w:p w:rsidR="005C436B" w:rsidRPr="0099718D" w:rsidRDefault="005C436B" w:rsidP="005C436B">
      <w:pPr>
        <w:spacing w:after="0" w:line="360" w:lineRule="auto"/>
        <w:jc w:val="center"/>
        <w:rPr>
          <w:sz w:val="28"/>
          <w:szCs w:val="28"/>
          <w:lang w:val="uk-UA"/>
        </w:rPr>
      </w:pPr>
      <w:r w:rsidRPr="0099718D">
        <w:rPr>
          <w:sz w:val="28"/>
          <w:szCs w:val="28"/>
          <w:vertAlign w:val="superscript"/>
          <w:lang w:val="uk-UA"/>
        </w:rPr>
        <w:t>2</w:t>
      </w:r>
      <w:r w:rsidRPr="0099718D">
        <w:rPr>
          <w:sz w:val="28"/>
          <w:szCs w:val="28"/>
          <w:lang w:val="uk-UA"/>
        </w:rPr>
        <w:t>Російський національний дослідницький медичний університет ім. М. І. Пирогова,</w:t>
      </w:r>
    </w:p>
    <w:p w:rsidR="005C436B" w:rsidRPr="0099718D" w:rsidRDefault="005C436B" w:rsidP="005C436B">
      <w:pPr>
        <w:spacing w:after="0" w:line="360" w:lineRule="auto"/>
        <w:jc w:val="center"/>
        <w:rPr>
          <w:sz w:val="28"/>
          <w:szCs w:val="28"/>
          <w:lang w:val="uk-UA"/>
        </w:rPr>
      </w:pPr>
      <w:r w:rsidRPr="0099718D">
        <w:rPr>
          <w:sz w:val="28"/>
          <w:szCs w:val="28"/>
          <w:vertAlign w:val="superscript"/>
          <w:lang w:val="uk-UA"/>
        </w:rPr>
        <w:t>3</w:t>
      </w:r>
      <w:r w:rsidRPr="0099718D">
        <w:rPr>
          <w:sz w:val="28"/>
          <w:szCs w:val="28"/>
          <w:lang w:val="uk-UA"/>
        </w:rPr>
        <w:t>Лікувально-реабілітаційний центр,</w:t>
      </w:r>
    </w:p>
    <w:p w:rsidR="005C436B" w:rsidRPr="0099718D" w:rsidRDefault="005C436B" w:rsidP="005C436B">
      <w:pPr>
        <w:spacing w:after="0" w:line="360" w:lineRule="auto"/>
        <w:jc w:val="center"/>
        <w:rPr>
          <w:sz w:val="28"/>
          <w:szCs w:val="28"/>
          <w:lang w:val="uk-UA"/>
        </w:rPr>
      </w:pPr>
      <w:r w:rsidRPr="0099718D">
        <w:rPr>
          <w:sz w:val="28"/>
          <w:szCs w:val="28"/>
          <w:lang w:val="uk-UA"/>
        </w:rPr>
        <w:t>Москва, Росія</w:t>
      </w:r>
    </w:p>
    <w:p w:rsidR="005C436B" w:rsidRPr="0099718D" w:rsidRDefault="005C436B" w:rsidP="005C436B">
      <w:pPr>
        <w:spacing w:after="0" w:line="360" w:lineRule="auto"/>
        <w:jc w:val="both"/>
        <w:rPr>
          <w:sz w:val="28"/>
          <w:szCs w:val="28"/>
          <w:lang w:val="uk-UA"/>
        </w:rPr>
      </w:pPr>
    </w:p>
    <w:p w:rsidR="005C436B" w:rsidRPr="0099718D" w:rsidRDefault="005C436B" w:rsidP="005C436B">
      <w:pPr>
        <w:spacing w:after="0" w:line="360" w:lineRule="auto"/>
        <w:jc w:val="center"/>
        <w:rPr>
          <w:sz w:val="28"/>
          <w:szCs w:val="28"/>
          <w:lang w:val="uk-UA"/>
        </w:rPr>
      </w:pPr>
      <w:r w:rsidRPr="0099718D">
        <w:rPr>
          <w:sz w:val="28"/>
          <w:szCs w:val="28"/>
          <w:lang w:val="uk-UA"/>
        </w:rPr>
        <w:t xml:space="preserve">Стаття опублікована у журналі </w:t>
      </w:r>
      <w:proofErr w:type="spellStart"/>
      <w:r w:rsidRPr="0099718D">
        <w:rPr>
          <w:i/>
          <w:sz w:val="28"/>
          <w:szCs w:val="28"/>
          <w:lang w:val="uk-UA"/>
        </w:rPr>
        <w:t>Архивъ</w:t>
      </w:r>
      <w:proofErr w:type="spellEnd"/>
      <w:r w:rsidRPr="0099718D">
        <w:rPr>
          <w:i/>
          <w:sz w:val="28"/>
          <w:szCs w:val="28"/>
          <w:lang w:val="uk-UA"/>
        </w:rPr>
        <w:t xml:space="preserve"> </w:t>
      </w:r>
      <w:proofErr w:type="spellStart"/>
      <w:r w:rsidRPr="0099718D">
        <w:rPr>
          <w:i/>
          <w:sz w:val="28"/>
          <w:szCs w:val="28"/>
          <w:lang w:val="uk-UA"/>
        </w:rPr>
        <w:t>внутренней</w:t>
      </w:r>
      <w:proofErr w:type="spellEnd"/>
      <w:r w:rsidRPr="0099718D">
        <w:rPr>
          <w:i/>
          <w:sz w:val="28"/>
          <w:szCs w:val="28"/>
          <w:lang w:val="uk-UA"/>
        </w:rPr>
        <w:t xml:space="preserve"> </w:t>
      </w:r>
      <w:proofErr w:type="spellStart"/>
      <w:r w:rsidRPr="0099718D">
        <w:rPr>
          <w:i/>
          <w:sz w:val="28"/>
          <w:szCs w:val="28"/>
          <w:lang w:val="uk-UA"/>
        </w:rPr>
        <w:t>медицины</w:t>
      </w:r>
      <w:proofErr w:type="spellEnd"/>
      <w:r w:rsidRPr="0099718D">
        <w:rPr>
          <w:sz w:val="28"/>
          <w:szCs w:val="28"/>
          <w:lang w:val="uk-UA"/>
        </w:rPr>
        <w:t>. 2018. № 8 (6). С. 475–479.</w:t>
      </w:r>
    </w:p>
    <w:p w:rsidR="005C436B" w:rsidRPr="0099718D" w:rsidRDefault="005C436B" w:rsidP="005C436B">
      <w:pPr>
        <w:spacing w:after="0" w:line="360" w:lineRule="auto"/>
        <w:ind w:firstLine="709"/>
        <w:jc w:val="both"/>
        <w:rPr>
          <w:sz w:val="28"/>
          <w:szCs w:val="28"/>
          <w:lang w:val="uk-UA"/>
        </w:rPr>
      </w:pPr>
    </w:p>
    <w:p w:rsidR="005C436B" w:rsidRDefault="005C436B" w:rsidP="005C436B">
      <w:pPr>
        <w:spacing w:after="0" w:line="360" w:lineRule="auto"/>
        <w:ind w:firstLine="709"/>
        <w:jc w:val="both"/>
        <w:rPr>
          <w:sz w:val="28"/>
          <w:szCs w:val="28"/>
          <w:lang w:val="uk-UA"/>
        </w:rPr>
      </w:pPr>
      <w:r w:rsidRPr="0099718D">
        <w:rPr>
          <w:b/>
          <w:sz w:val="28"/>
          <w:szCs w:val="28"/>
          <w:lang w:val="uk-UA"/>
        </w:rPr>
        <w:t>Ключові слова:</w:t>
      </w:r>
      <w:r w:rsidRPr="0099718D">
        <w:rPr>
          <w:sz w:val="28"/>
          <w:szCs w:val="28"/>
          <w:lang w:val="uk-UA"/>
        </w:rPr>
        <w:t xml:space="preserve"> хронічний панкреатит, ожиріння, </w:t>
      </w:r>
      <w:proofErr w:type="spellStart"/>
      <w:r w:rsidRPr="0099718D">
        <w:rPr>
          <w:sz w:val="28"/>
          <w:szCs w:val="28"/>
          <w:lang w:val="uk-UA"/>
        </w:rPr>
        <w:t>трофологічна</w:t>
      </w:r>
      <w:proofErr w:type="spellEnd"/>
      <w:r w:rsidRPr="0099718D">
        <w:rPr>
          <w:sz w:val="28"/>
          <w:szCs w:val="28"/>
          <w:lang w:val="uk-UA"/>
        </w:rPr>
        <w:t xml:space="preserve"> недостатність, індекс маси тіла, лімфоцити, альбумін</w:t>
      </w:r>
    </w:p>
    <w:p w:rsidR="005C436B" w:rsidRPr="005C436B" w:rsidRDefault="005C436B" w:rsidP="005C436B">
      <w:pPr>
        <w:spacing w:after="0" w:line="360" w:lineRule="auto"/>
        <w:ind w:firstLine="709"/>
        <w:jc w:val="both"/>
        <w:rPr>
          <w:sz w:val="28"/>
          <w:szCs w:val="28"/>
          <w:lang w:val="uk-UA"/>
        </w:rPr>
      </w:pPr>
      <w:r w:rsidRPr="005C436B">
        <w:rPr>
          <w:sz w:val="28"/>
          <w:szCs w:val="28"/>
          <w:lang w:val="uk-UA"/>
        </w:rPr>
        <w:t>В даний час велика увага приділяється проблемі ожиріння серед населення. Кількість осіб, які страждають на ожиріння, неухильно зростає щорічно як в Росії, так і за кордоном. За даними Всесвітньої організації охорони здоров'я (ВООЗ), в 2016 р</w:t>
      </w:r>
      <w:r>
        <w:rPr>
          <w:sz w:val="28"/>
          <w:szCs w:val="28"/>
          <w:lang w:val="uk-UA"/>
        </w:rPr>
        <w:t>.</w:t>
      </w:r>
      <w:r w:rsidRPr="005C436B">
        <w:rPr>
          <w:sz w:val="28"/>
          <w:szCs w:val="28"/>
          <w:lang w:val="uk-UA"/>
        </w:rPr>
        <w:t xml:space="preserve"> надмірн</w:t>
      </w:r>
      <w:r w:rsidR="006A7296">
        <w:rPr>
          <w:sz w:val="28"/>
          <w:szCs w:val="28"/>
          <w:lang w:val="uk-UA"/>
        </w:rPr>
        <w:t xml:space="preserve">у </w:t>
      </w:r>
      <w:r w:rsidRPr="005C436B">
        <w:rPr>
          <w:sz w:val="28"/>
          <w:szCs w:val="28"/>
          <w:lang w:val="uk-UA"/>
        </w:rPr>
        <w:t>ваг</w:t>
      </w:r>
      <w:r w:rsidR="006A7296">
        <w:rPr>
          <w:sz w:val="28"/>
          <w:szCs w:val="28"/>
          <w:lang w:val="uk-UA"/>
        </w:rPr>
        <w:t>у</w:t>
      </w:r>
      <w:r w:rsidRPr="005C436B">
        <w:rPr>
          <w:sz w:val="28"/>
          <w:szCs w:val="28"/>
          <w:lang w:val="uk-UA"/>
        </w:rPr>
        <w:t xml:space="preserve"> </w:t>
      </w:r>
      <w:r w:rsidR="006A7296">
        <w:rPr>
          <w:sz w:val="28"/>
          <w:szCs w:val="28"/>
          <w:lang w:val="uk-UA"/>
        </w:rPr>
        <w:t xml:space="preserve">було </w:t>
      </w:r>
      <w:r w:rsidRPr="005C436B">
        <w:rPr>
          <w:sz w:val="28"/>
          <w:szCs w:val="28"/>
          <w:lang w:val="uk-UA"/>
        </w:rPr>
        <w:t>зафіксован</w:t>
      </w:r>
      <w:r w:rsidR="006A7296">
        <w:rPr>
          <w:sz w:val="28"/>
          <w:szCs w:val="28"/>
          <w:lang w:val="uk-UA"/>
        </w:rPr>
        <w:t>о</w:t>
      </w:r>
      <w:r w:rsidRPr="005C436B">
        <w:rPr>
          <w:sz w:val="28"/>
          <w:szCs w:val="28"/>
          <w:lang w:val="uk-UA"/>
        </w:rPr>
        <w:t xml:space="preserve"> у 1,9 млрд. </w:t>
      </w:r>
      <w:r w:rsidR="006A7296">
        <w:rPr>
          <w:sz w:val="28"/>
          <w:szCs w:val="28"/>
          <w:lang w:val="uk-UA"/>
        </w:rPr>
        <w:t>осіб</w:t>
      </w:r>
      <w:r w:rsidRPr="005C436B">
        <w:rPr>
          <w:sz w:val="28"/>
          <w:szCs w:val="28"/>
          <w:lang w:val="uk-UA"/>
        </w:rPr>
        <w:t xml:space="preserve"> старш</w:t>
      </w:r>
      <w:r w:rsidR="006A7296">
        <w:rPr>
          <w:sz w:val="28"/>
          <w:szCs w:val="28"/>
          <w:lang w:val="uk-UA"/>
        </w:rPr>
        <w:t>их за</w:t>
      </w:r>
      <w:r w:rsidRPr="005C436B">
        <w:rPr>
          <w:sz w:val="28"/>
          <w:szCs w:val="28"/>
          <w:lang w:val="uk-UA"/>
        </w:rPr>
        <w:t xml:space="preserve"> 18 років, з них понад 650 млн. </w:t>
      </w:r>
      <w:r w:rsidR="006A7296">
        <w:rPr>
          <w:sz w:val="28"/>
          <w:szCs w:val="28"/>
          <w:lang w:val="uk-UA"/>
        </w:rPr>
        <w:t>с</w:t>
      </w:r>
      <w:r w:rsidRPr="005C436B">
        <w:rPr>
          <w:sz w:val="28"/>
          <w:szCs w:val="28"/>
          <w:lang w:val="uk-UA"/>
        </w:rPr>
        <w:t xml:space="preserve">траждали </w:t>
      </w:r>
      <w:r w:rsidR="006A7296">
        <w:rPr>
          <w:sz w:val="28"/>
          <w:szCs w:val="28"/>
          <w:lang w:val="uk-UA"/>
        </w:rPr>
        <w:t xml:space="preserve">на </w:t>
      </w:r>
      <w:r w:rsidRPr="005C436B">
        <w:rPr>
          <w:sz w:val="28"/>
          <w:szCs w:val="28"/>
          <w:lang w:val="uk-UA"/>
        </w:rPr>
        <w:t>ожиріння. З 1975 р</w:t>
      </w:r>
      <w:r w:rsidR="006A7296">
        <w:rPr>
          <w:sz w:val="28"/>
          <w:szCs w:val="28"/>
          <w:lang w:val="uk-UA"/>
        </w:rPr>
        <w:t>.</w:t>
      </w:r>
      <w:r w:rsidRPr="005C436B">
        <w:rPr>
          <w:sz w:val="28"/>
          <w:szCs w:val="28"/>
          <w:lang w:val="uk-UA"/>
        </w:rPr>
        <w:t xml:space="preserve"> по 2016 р</w:t>
      </w:r>
      <w:r w:rsidR="006A7296">
        <w:rPr>
          <w:sz w:val="28"/>
          <w:szCs w:val="28"/>
          <w:lang w:val="uk-UA"/>
        </w:rPr>
        <w:t>.</w:t>
      </w:r>
      <w:r w:rsidRPr="005C436B">
        <w:rPr>
          <w:sz w:val="28"/>
          <w:szCs w:val="28"/>
          <w:lang w:val="uk-UA"/>
        </w:rPr>
        <w:t xml:space="preserve"> число людей, які страждають </w:t>
      </w:r>
      <w:r w:rsidR="006A7296">
        <w:rPr>
          <w:sz w:val="28"/>
          <w:szCs w:val="28"/>
          <w:lang w:val="uk-UA"/>
        </w:rPr>
        <w:t xml:space="preserve">на </w:t>
      </w:r>
      <w:r w:rsidRPr="005C436B">
        <w:rPr>
          <w:sz w:val="28"/>
          <w:szCs w:val="28"/>
          <w:lang w:val="uk-UA"/>
        </w:rPr>
        <w:t>ожиріння, у всьому світі зросл</w:t>
      </w:r>
      <w:r w:rsidR="006A7296">
        <w:rPr>
          <w:sz w:val="28"/>
          <w:szCs w:val="28"/>
          <w:lang w:val="uk-UA"/>
        </w:rPr>
        <w:t>о</w:t>
      </w:r>
      <w:r w:rsidRPr="005C436B">
        <w:rPr>
          <w:sz w:val="28"/>
          <w:szCs w:val="28"/>
          <w:lang w:val="uk-UA"/>
        </w:rPr>
        <w:t xml:space="preserve"> втричі. Висока поширеність надлишкової маси тіла та ожиріння характерна не тільки для країн з високим рівнем доходу, а й </w:t>
      </w:r>
      <w:r w:rsidR="006A7296">
        <w:rPr>
          <w:sz w:val="28"/>
          <w:szCs w:val="28"/>
          <w:lang w:val="uk-UA"/>
        </w:rPr>
        <w:t>для</w:t>
      </w:r>
      <w:r w:rsidRPr="005C436B">
        <w:rPr>
          <w:sz w:val="28"/>
          <w:szCs w:val="28"/>
          <w:lang w:val="uk-UA"/>
        </w:rPr>
        <w:t xml:space="preserve"> країн з низьким і середнім рівнем доходу, особливо в містах [8]. За даними дослідження ЕС</w:t>
      </w:r>
      <w:r w:rsidR="00FD6026">
        <w:rPr>
          <w:sz w:val="28"/>
          <w:szCs w:val="28"/>
          <w:lang w:val="uk-UA"/>
        </w:rPr>
        <w:t>С</w:t>
      </w:r>
      <w:r w:rsidRPr="005C436B">
        <w:rPr>
          <w:sz w:val="28"/>
          <w:szCs w:val="28"/>
          <w:lang w:val="uk-UA"/>
        </w:rPr>
        <w:t>Е-РФ, в російській популяції у віці 35-64 років</w:t>
      </w:r>
      <w:r w:rsidR="0055299C">
        <w:rPr>
          <w:sz w:val="28"/>
          <w:szCs w:val="28"/>
          <w:lang w:val="uk-UA"/>
        </w:rPr>
        <w:t xml:space="preserve"> на</w:t>
      </w:r>
      <w:r w:rsidRPr="005C436B">
        <w:rPr>
          <w:sz w:val="28"/>
          <w:szCs w:val="28"/>
          <w:lang w:val="uk-UA"/>
        </w:rPr>
        <w:t xml:space="preserve"> ожиріння страждають 26-41% чоловіків і 24-52% жінок, у осіб старшого віку ожиріння зустрічалося в</w:t>
      </w:r>
      <w:r w:rsidR="00FD6026">
        <w:rPr>
          <w:sz w:val="28"/>
          <w:szCs w:val="28"/>
          <w:lang w:val="uk-UA"/>
        </w:rPr>
        <w:t>двічі</w:t>
      </w:r>
      <w:r w:rsidRPr="005C436B">
        <w:rPr>
          <w:sz w:val="28"/>
          <w:szCs w:val="28"/>
          <w:lang w:val="uk-UA"/>
        </w:rPr>
        <w:t xml:space="preserve"> частіше [1].</w:t>
      </w:r>
    </w:p>
    <w:p w:rsidR="005C436B" w:rsidRPr="005C436B" w:rsidRDefault="005C436B" w:rsidP="005C436B">
      <w:pPr>
        <w:spacing w:after="0" w:line="360" w:lineRule="auto"/>
        <w:ind w:firstLine="709"/>
        <w:jc w:val="both"/>
        <w:rPr>
          <w:sz w:val="28"/>
          <w:szCs w:val="28"/>
          <w:lang w:val="uk-UA"/>
        </w:rPr>
      </w:pPr>
      <w:r w:rsidRPr="005C436B">
        <w:rPr>
          <w:sz w:val="28"/>
          <w:szCs w:val="28"/>
          <w:lang w:val="uk-UA"/>
        </w:rPr>
        <w:t xml:space="preserve">Проблему порушення харчової поведінки можна представити двома крайніми станами: ожирінням і </w:t>
      </w:r>
      <w:proofErr w:type="spellStart"/>
      <w:r w:rsidRPr="005C436B">
        <w:rPr>
          <w:sz w:val="28"/>
          <w:szCs w:val="28"/>
          <w:lang w:val="uk-UA"/>
        </w:rPr>
        <w:t>трофологіч</w:t>
      </w:r>
      <w:r w:rsidR="00FD6026">
        <w:rPr>
          <w:sz w:val="28"/>
          <w:szCs w:val="28"/>
          <w:lang w:val="uk-UA"/>
        </w:rPr>
        <w:t>ною</w:t>
      </w:r>
      <w:proofErr w:type="spellEnd"/>
      <w:r w:rsidRPr="005C436B">
        <w:rPr>
          <w:sz w:val="28"/>
          <w:szCs w:val="28"/>
          <w:lang w:val="uk-UA"/>
        </w:rPr>
        <w:t xml:space="preserve"> недостатністю (ТН). Виходячи з вищевикладеної статистики, проблема ТН здається незначною. Однак з 2014 р</w:t>
      </w:r>
      <w:r w:rsidR="00FD6026">
        <w:rPr>
          <w:sz w:val="28"/>
          <w:szCs w:val="28"/>
          <w:lang w:val="uk-UA"/>
        </w:rPr>
        <w:t>.</w:t>
      </w:r>
      <w:r w:rsidRPr="005C436B">
        <w:rPr>
          <w:sz w:val="28"/>
          <w:szCs w:val="28"/>
          <w:lang w:val="uk-UA"/>
        </w:rPr>
        <w:t xml:space="preserve"> до цієї проблеми прикута увага експертів ВООЗ. За даними ВООЗ, в 2014 р</w:t>
      </w:r>
      <w:r w:rsidR="00FD6026">
        <w:rPr>
          <w:sz w:val="28"/>
          <w:szCs w:val="28"/>
          <w:lang w:val="uk-UA"/>
        </w:rPr>
        <w:t>.</w:t>
      </w:r>
      <w:r w:rsidRPr="005C436B">
        <w:rPr>
          <w:sz w:val="28"/>
          <w:szCs w:val="28"/>
          <w:lang w:val="uk-UA"/>
        </w:rPr>
        <w:t xml:space="preserve"> в </w:t>
      </w:r>
      <w:r w:rsidRPr="005C436B">
        <w:rPr>
          <w:sz w:val="28"/>
          <w:szCs w:val="28"/>
          <w:lang w:val="uk-UA"/>
        </w:rPr>
        <w:lastRenderedPageBreak/>
        <w:t xml:space="preserve">світі приблизно 462 млн. </w:t>
      </w:r>
      <w:r w:rsidR="00FD6026">
        <w:rPr>
          <w:sz w:val="28"/>
          <w:szCs w:val="28"/>
          <w:lang w:val="uk-UA"/>
        </w:rPr>
        <w:t>осіб</w:t>
      </w:r>
      <w:r w:rsidRPr="005C436B">
        <w:rPr>
          <w:sz w:val="28"/>
          <w:szCs w:val="28"/>
          <w:lang w:val="uk-UA"/>
        </w:rPr>
        <w:t xml:space="preserve"> серед дорослого населення страждали </w:t>
      </w:r>
      <w:r w:rsidR="00FD6026">
        <w:rPr>
          <w:sz w:val="28"/>
          <w:szCs w:val="28"/>
          <w:lang w:val="uk-UA"/>
        </w:rPr>
        <w:t>на</w:t>
      </w:r>
      <w:r w:rsidRPr="005C436B">
        <w:rPr>
          <w:sz w:val="28"/>
          <w:szCs w:val="28"/>
          <w:lang w:val="uk-UA"/>
        </w:rPr>
        <w:t xml:space="preserve"> знижен</w:t>
      </w:r>
      <w:r w:rsidR="00FD6026">
        <w:rPr>
          <w:sz w:val="28"/>
          <w:szCs w:val="28"/>
          <w:lang w:val="uk-UA"/>
        </w:rPr>
        <w:t>у</w:t>
      </w:r>
      <w:r w:rsidRPr="005C436B">
        <w:rPr>
          <w:sz w:val="28"/>
          <w:szCs w:val="28"/>
          <w:lang w:val="uk-UA"/>
        </w:rPr>
        <w:t xml:space="preserve"> мас</w:t>
      </w:r>
      <w:r w:rsidR="00FD6026">
        <w:rPr>
          <w:sz w:val="28"/>
          <w:szCs w:val="28"/>
          <w:lang w:val="uk-UA"/>
        </w:rPr>
        <w:t>у</w:t>
      </w:r>
      <w:r w:rsidRPr="005C436B">
        <w:rPr>
          <w:sz w:val="28"/>
          <w:szCs w:val="28"/>
          <w:lang w:val="uk-UA"/>
        </w:rPr>
        <w:t xml:space="preserve"> тіла [7].</w:t>
      </w:r>
    </w:p>
    <w:p w:rsidR="005C436B" w:rsidRPr="005C436B" w:rsidRDefault="005C436B" w:rsidP="005C436B">
      <w:pPr>
        <w:spacing w:after="0" w:line="360" w:lineRule="auto"/>
        <w:ind w:firstLine="709"/>
        <w:jc w:val="both"/>
        <w:rPr>
          <w:sz w:val="28"/>
          <w:szCs w:val="28"/>
          <w:lang w:val="uk-UA"/>
        </w:rPr>
      </w:pPr>
      <w:r w:rsidRPr="005C436B">
        <w:rPr>
          <w:sz w:val="28"/>
          <w:szCs w:val="28"/>
          <w:lang w:val="uk-UA"/>
        </w:rPr>
        <w:t>У 2018</w:t>
      </w:r>
      <w:r w:rsidR="00FD6026">
        <w:rPr>
          <w:sz w:val="28"/>
          <w:szCs w:val="28"/>
          <w:lang w:val="uk-UA"/>
        </w:rPr>
        <w:t xml:space="preserve"> р.</w:t>
      </w:r>
      <w:r w:rsidRPr="005C436B">
        <w:rPr>
          <w:sz w:val="28"/>
          <w:szCs w:val="28"/>
          <w:lang w:val="uk-UA"/>
        </w:rPr>
        <w:t xml:space="preserve"> були опубліковані результати дослідження, проведеного в Китаї: 737 дорослим пацієнтам вимірювали індекс маси тіла (ІМТ); з них: у 83 (11%) визначалася ТН і у 118 (16%) - ожиріння [14]. З представленого аналізу випливає, що кількість пацієнтів з ТН трохи відрізняється в порівнянні з поширеністю ожиріння серед амбулаторних пацієнтів.</w:t>
      </w:r>
    </w:p>
    <w:p w:rsidR="005C436B" w:rsidRPr="005C436B" w:rsidRDefault="005C436B" w:rsidP="005C436B">
      <w:pPr>
        <w:spacing w:after="0" w:line="360" w:lineRule="auto"/>
        <w:ind w:firstLine="709"/>
        <w:jc w:val="both"/>
        <w:rPr>
          <w:sz w:val="28"/>
          <w:szCs w:val="28"/>
          <w:lang w:val="uk-UA"/>
        </w:rPr>
      </w:pPr>
      <w:r w:rsidRPr="005C436B">
        <w:rPr>
          <w:sz w:val="28"/>
          <w:szCs w:val="28"/>
          <w:lang w:val="uk-UA"/>
        </w:rPr>
        <w:t>Показано, що ожиріння і ТН є факторами ризику гострого панкреатиту (</w:t>
      </w:r>
      <w:r w:rsidR="00FD6026">
        <w:rPr>
          <w:sz w:val="28"/>
          <w:szCs w:val="28"/>
          <w:lang w:val="uk-UA"/>
        </w:rPr>
        <w:t>Г</w:t>
      </w:r>
      <w:r w:rsidRPr="005C436B">
        <w:rPr>
          <w:sz w:val="28"/>
          <w:szCs w:val="28"/>
          <w:lang w:val="uk-UA"/>
        </w:rPr>
        <w:t>П) і хронічного панкреатиту (ХП) [13, 19, 20].</w:t>
      </w:r>
    </w:p>
    <w:p w:rsidR="005C436B" w:rsidRPr="005C436B" w:rsidRDefault="005C436B" w:rsidP="005C436B">
      <w:pPr>
        <w:spacing w:after="0" w:line="360" w:lineRule="auto"/>
        <w:ind w:firstLine="709"/>
        <w:jc w:val="both"/>
        <w:rPr>
          <w:sz w:val="28"/>
          <w:szCs w:val="28"/>
          <w:lang w:val="uk-UA"/>
        </w:rPr>
      </w:pPr>
      <w:r w:rsidRPr="005C436B">
        <w:rPr>
          <w:sz w:val="28"/>
          <w:szCs w:val="28"/>
          <w:lang w:val="uk-UA"/>
        </w:rPr>
        <w:t xml:space="preserve">Разом з тим, ТН частіше зустрічається у пацієнтів </w:t>
      </w:r>
      <w:r w:rsidR="00FD6026">
        <w:rPr>
          <w:sz w:val="28"/>
          <w:szCs w:val="28"/>
          <w:lang w:val="uk-UA"/>
        </w:rPr>
        <w:t>і</w:t>
      </w:r>
      <w:r w:rsidRPr="005C436B">
        <w:rPr>
          <w:sz w:val="28"/>
          <w:szCs w:val="28"/>
          <w:lang w:val="uk-UA"/>
        </w:rPr>
        <w:t xml:space="preserve">з ХП і має багатофакторний характер (обмеження кількості спожитої їжі, </w:t>
      </w:r>
      <w:proofErr w:type="spellStart"/>
      <w:r w:rsidRPr="005C436B">
        <w:rPr>
          <w:sz w:val="28"/>
          <w:szCs w:val="28"/>
          <w:lang w:val="uk-UA"/>
        </w:rPr>
        <w:t>мальабсорбція</w:t>
      </w:r>
      <w:proofErr w:type="spellEnd"/>
      <w:r w:rsidRPr="005C436B">
        <w:rPr>
          <w:sz w:val="28"/>
          <w:szCs w:val="28"/>
          <w:lang w:val="uk-UA"/>
        </w:rPr>
        <w:t>, наявність цукрового діабету і хронічний алкоголізм) [2].</w:t>
      </w:r>
    </w:p>
    <w:p w:rsidR="005C436B" w:rsidRPr="005C436B" w:rsidRDefault="005C436B" w:rsidP="005C436B">
      <w:pPr>
        <w:spacing w:after="0" w:line="360" w:lineRule="auto"/>
        <w:ind w:firstLine="709"/>
        <w:jc w:val="both"/>
        <w:rPr>
          <w:sz w:val="28"/>
          <w:szCs w:val="28"/>
          <w:lang w:val="uk-UA"/>
        </w:rPr>
      </w:pPr>
      <w:r w:rsidRPr="005C436B">
        <w:rPr>
          <w:sz w:val="28"/>
          <w:szCs w:val="28"/>
          <w:lang w:val="uk-UA"/>
        </w:rPr>
        <w:t xml:space="preserve">Ступінь тяжкості ТН корелює з двома основними факторами: з виснаженням поживних речовин (алкоголізм і біль) і </w:t>
      </w:r>
      <w:proofErr w:type="spellStart"/>
      <w:r w:rsidRPr="005C436B">
        <w:rPr>
          <w:sz w:val="28"/>
          <w:szCs w:val="28"/>
          <w:lang w:val="uk-UA"/>
        </w:rPr>
        <w:t>мальабсорбцією</w:t>
      </w:r>
      <w:proofErr w:type="spellEnd"/>
      <w:r w:rsidRPr="005C436B">
        <w:rPr>
          <w:sz w:val="28"/>
          <w:szCs w:val="28"/>
          <w:lang w:val="uk-UA"/>
        </w:rPr>
        <w:t>, що обумовлює зміну живильного статусу і збільшення метаболічної активності через запальн</w:t>
      </w:r>
      <w:r w:rsidR="00FD6026">
        <w:rPr>
          <w:sz w:val="28"/>
          <w:szCs w:val="28"/>
          <w:lang w:val="uk-UA"/>
        </w:rPr>
        <w:t>ий</w:t>
      </w:r>
      <w:r w:rsidRPr="005C436B">
        <w:rPr>
          <w:sz w:val="28"/>
          <w:szCs w:val="28"/>
          <w:lang w:val="uk-UA"/>
        </w:rPr>
        <w:t xml:space="preserve"> компонент ХП в залежності від тяжкості захворювання. Пацієнти з харчовим ризиком мають підвищен</w:t>
      </w:r>
      <w:r w:rsidR="00FD6026">
        <w:rPr>
          <w:sz w:val="28"/>
          <w:szCs w:val="28"/>
          <w:lang w:val="uk-UA"/>
        </w:rPr>
        <w:t>е</w:t>
      </w:r>
      <w:r w:rsidRPr="005C436B">
        <w:rPr>
          <w:sz w:val="28"/>
          <w:szCs w:val="28"/>
          <w:lang w:val="uk-UA"/>
        </w:rPr>
        <w:t xml:space="preserve"> число ускладнень і поганий прогноз, але конкретних досліджень на цю проблему у пацієнтів </w:t>
      </w:r>
      <w:r w:rsidR="00FD6026">
        <w:rPr>
          <w:sz w:val="28"/>
          <w:szCs w:val="28"/>
          <w:lang w:val="uk-UA"/>
        </w:rPr>
        <w:t>і</w:t>
      </w:r>
      <w:r w:rsidRPr="005C436B">
        <w:rPr>
          <w:sz w:val="28"/>
          <w:szCs w:val="28"/>
          <w:lang w:val="uk-UA"/>
        </w:rPr>
        <w:t>з ХП не проводилося [12].</w:t>
      </w:r>
    </w:p>
    <w:p w:rsidR="005C436B" w:rsidRDefault="005C436B" w:rsidP="005C436B">
      <w:pPr>
        <w:spacing w:after="0" w:line="360" w:lineRule="auto"/>
        <w:ind w:firstLine="709"/>
        <w:jc w:val="both"/>
        <w:rPr>
          <w:sz w:val="28"/>
          <w:szCs w:val="28"/>
          <w:lang w:val="uk-UA"/>
        </w:rPr>
      </w:pPr>
      <w:r w:rsidRPr="006A0132">
        <w:rPr>
          <w:sz w:val="28"/>
          <w:szCs w:val="28"/>
          <w:lang w:val="uk-UA"/>
        </w:rPr>
        <w:t xml:space="preserve">Основна причина втрати ваги пов'язана з порушенням перетравлення жирів [1, 12, 24]. Загострення ХП супроводжується реакцією </w:t>
      </w:r>
      <w:proofErr w:type="spellStart"/>
      <w:r w:rsidRPr="006A0132">
        <w:rPr>
          <w:sz w:val="28"/>
          <w:szCs w:val="28"/>
          <w:lang w:val="uk-UA"/>
        </w:rPr>
        <w:t>гіперметаболізм</w:t>
      </w:r>
      <w:r w:rsidR="00FD6026" w:rsidRPr="006A0132">
        <w:rPr>
          <w:sz w:val="28"/>
          <w:szCs w:val="28"/>
          <w:lang w:val="uk-UA"/>
        </w:rPr>
        <w:t>у</w:t>
      </w:r>
      <w:proofErr w:type="spellEnd"/>
      <w:r w:rsidRPr="006A0132">
        <w:rPr>
          <w:sz w:val="28"/>
          <w:szCs w:val="28"/>
          <w:lang w:val="uk-UA"/>
        </w:rPr>
        <w:t xml:space="preserve"> </w:t>
      </w:r>
      <w:r w:rsidRPr="005C436B">
        <w:rPr>
          <w:sz w:val="28"/>
          <w:szCs w:val="28"/>
          <w:lang w:val="uk-UA"/>
        </w:rPr>
        <w:t>(сумарн</w:t>
      </w:r>
      <w:r w:rsidR="006A0132">
        <w:rPr>
          <w:sz w:val="28"/>
          <w:szCs w:val="28"/>
          <w:lang w:val="uk-UA"/>
        </w:rPr>
        <w:t>а</w:t>
      </w:r>
      <w:r w:rsidRPr="005C436B">
        <w:rPr>
          <w:sz w:val="28"/>
          <w:szCs w:val="28"/>
          <w:lang w:val="uk-UA"/>
        </w:rPr>
        <w:t xml:space="preserve"> метаболічн</w:t>
      </w:r>
      <w:r w:rsidR="006A0132">
        <w:rPr>
          <w:sz w:val="28"/>
          <w:szCs w:val="28"/>
          <w:lang w:val="uk-UA"/>
        </w:rPr>
        <w:t>а</w:t>
      </w:r>
      <w:r w:rsidRPr="005C436B">
        <w:rPr>
          <w:sz w:val="28"/>
          <w:szCs w:val="28"/>
          <w:lang w:val="uk-UA"/>
        </w:rPr>
        <w:t xml:space="preserve"> відповідь організму на </w:t>
      </w:r>
      <w:proofErr w:type="spellStart"/>
      <w:r w:rsidRPr="005C436B">
        <w:rPr>
          <w:sz w:val="28"/>
          <w:szCs w:val="28"/>
          <w:lang w:val="uk-UA"/>
        </w:rPr>
        <w:t>генералізовану</w:t>
      </w:r>
      <w:proofErr w:type="spellEnd"/>
      <w:r w:rsidRPr="005C436B">
        <w:rPr>
          <w:sz w:val="28"/>
          <w:szCs w:val="28"/>
          <w:lang w:val="uk-UA"/>
        </w:rPr>
        <w:t xml:space="preserve"> запальну реакцію) [18], в результаті якого спостерігається протеоліз скелетної мускулатури, зниження рівня амінокислот на 40% від нормальних значень і втрати загального обсягу м'язової маси на 15%, тобто </w:t>
      </w:r>
      <w:proofErr w:type="spellStart"/>
      <w:r w:rsidRPr="005C436B">
        <w:rPr>
          <w:sz w:val="28"/>
          <w:szCs w:val="28"/>
          <w:lang w:val="uk-UA"/>
        </w:rPr>
        <w:t>саркопенія</w:t>
      </w:r>
      <w:proofErr w:type="spellEnd"/>
      <w:r w:rsidRPr="005C436B">
        <w:rPr>
          <w:sz w:val="28"/>
          <w:szCs w:val="28"/>
          <w:lang w:val="uk-UA"/>
        </w:rPr>
        <w:t xml:space="preserve"> [25].</w:t>
      </w:r>
    </w:p>
    <w:p w:rsidR="005F5F8E" w:rsidRPr="005F5F8E" w:rsidRDefault="005F5F8E" w:rsidP="005F5F8E">
      <w:pPr>
        <w:spacing w:after="0" w:line="360" w:lineRule="auto"/>
        <w:ind w:firstLine="709"/>
        <w:jc w:val="both"/>
        <w:rPr>
          <w:sz w:val="28"/>
          <w:szCs w:val="28"/>
          <w:lang w:val="uk-UA"/>
        </w:rPr>
      </w:pPr>
      <w:r w:rsidRPr="005F5F8E">
        <w:rPr>
          <w:sz w:val="28"/>
          <w:szCs w:val="28"/>
          <w:lang w:val="uk-UA"/>
        </w:rPr>
        <w:t>В даний час не існує загальновизнаних критеріїв діагностики ТН. Найпоширен</w:t>
      </w:r>
      <w:r w:rsidR="006A0132">
        <w:rPr>
          <w:sz w:val="28"/>
          <w:szCs w:val="28"/>
          <w:lang w:val="uk-UA"/>
        </w:rPr>
        <w:t>іш</w:t>
      </w:r>
      <w:r w:rsidRPr="005F5F8E">
        <w:rPr>
          <w:sz w:val="28"/>
          <w:szCs w:val="28"/>
          <w:lang w:val="uk-UA"/>
        </w:rPr>
        <w:t>ими в рутинній практиці залишається антропометрич</w:t>
      </w:r>
      <w:r>
        <w:rPr>
          <w:sz w:val="28"/>
          <w:szCs w:val="28"/>
          <w:lang w:val="uk-UA"/>
        </w:rPr>
        <w:t>н</w:t>
      </w:r>
      <w:r w:rsidRPr="005F5F8E">
        <w:rPr>
          <w:sz w:val="28"/>
          <w:szCs w:val="28"/>
          <w:lang w:val="uk-UA"/>
        </w:rPr>
        <w:t xml:space="preserve">ий метод, заснований на вимірюванні зросту, ваги пацієнта, розрахунковий метод, що включає визначення ІМТ </w:t>
      </w:r>
      <w:r>
        <w:rPr>
          <w:sz w:val="28"/>
          <w:szCs w:val="28"/>
          <w:lang w:val="uk-UA"/>
        </w:rPr>
        <w:t>та</w:t>
      </w:r>
      <w:r w:rsidRPr="005F5F8E">
        <w:rPr>
          <w:sz w:val="28"/>
          <w:szCs w:val="28"/>
          <w:lang w:val="uk-UA"/>
        </w:rPr>
        <w:t xml:space="preserve"> інших формул (вміст жиру в організмі), </w:t>
      </w:r>
      <w:proofErr w:type="spellStart"/>
      <w:r w:rsidRPr="005F5F8E">
        <w:rPr>
          <w:sz w:val="28"/>
          <w:szCs w:val="28"/>
          <w:lang w:val="uk-UA"/>
        </w:rPr>
        <w:t>окружн</w:t>
      </w:r>
      <w:r>
        <w:rPr>
          <w:sz w:val="28"/>
          <w:szCs w:val="28"/>
          <w:lang w:val="uk-UA"/>
        </w:rPr>
        <w:t>іс</w:t>
      </w:r>
      <w:r w:rsidRPr="005F5F8E">
        <w:rPr>
          <w:sz w:val="28"/>
          <w:szCs w:val="28"/>
          <w:lang w:val="uk-UA"/>
        </w:rPr>
        <w:t>ний</w:t>
      </w:r>
      <w:proofErr w:type="spellEnd"/>
      <w:r w:rsidRPr="005F5F8E">
        <w:rPr>
          <w:sz w:val="28"/>
          <w:szCs w:val="28"/>
          <w:lang w:val="uk-UA"/>
        </w:rPr>
        <w:t xml:space="preserve"> </w:t>
      </w:r>
      <w:r w:rsidRPr="005F5F8E">
        <w:rPr>
          <w:sz w:val="28"/>
          <w:szCs w:val="28"/>
          <w:lang w:val="uk-UA"/>
        </w:rPr>
        <w:lastRenderedPageBreak/>
        <w:t xml:space="preserve">метод (визначення </w:t>
      </w:r>
      <w:r>
        <w:rPr>
          <w:sz w:val="28"/>
          <w:szCs w:val="28"/>
          <w:lang w:val="uk-UA"/>
        </w:rPr>
        <w:t>окружності</w:t>
      </w:r>
      <w:r w:rsidRPr="005F5F8E">
        <w:rPr>
          <w:sz w:val="28"/>
          <w:szCs w:val="28"/>
          <w:lang w:val="uk-UA"/>
        </w:rPr>
        <w:t xml:space="preserve"> плеча на рівні середньої третини), </w:t>
      </w:r>
      <w:proofErr w:type="spellStart"/>
      <w:r w:rsidRPr="005F5F8E">
        <w:rPr>
          <w:sz w:val="28"/>
          <w:szCs w:val="28"/>
          <w:lang w:val="uk-UA"/>
        </w:rPr>
        <w:t>каліперометр</w:t>
      </w:r>
      <w:r>
        <w:rPr>
          <w:sz w:val="28"/>
          <w:szCs w:val="28"/>
          <w:lang w:val="uk-UA"/>
        </w:rPr>
        <w:t>ичн</w:t>
      </w:r>
      <w:r w:rsidRPr="005F5F8E">
        <w:rPr>
          <w:sz w:val="28"/>
          <w:szCs w:val="28"/>
          <w:lang w:val="uk-UA"/>
        </w:rPr>
        <w:t>й</w:t>
      </w:r>
      <w:proofErr w:type="spellEnd"/>
      <w:r w:rsidRPr="005F5F8E">
        <w:rPr>
          <w:sz w:val="28"/>
          <w:szCs w:val="28"/>
          <w:lang w:val="uk-UA"/>
        </w:rPr>
        <w:t xml:space="preserve"> метод (визначення товщини складки шкіри над </w:t>
      </w:r>
      <w:proofErr w:type="spellStart"/>
      <w:r w:rsidRPr="005F5F8E">
        <w:rPr>
          <w:sz w:val="28"/>
          <w:szCs w:val="28"/>
          <w:lang w:val="uk-UA"/>
        </w:rPr>
        <w:t>трицепсом</w:t>
      </w:r>
      <w:proofErr w:type="spellEnd"/>
      <w:r w:rsidRPr="005F5F8E">
        <w:rPr>
          <w:sz w:val="28"/>
          <w:szCs w:val="28"/>
          <w:lang w:val="uk-UA"/>
        </w:rPr>
        <w:t>).</w:t>
      </w:r>
    </w:p>
    <w:p w:rsidR="005F5F8E" w:rsidRPr="005F5F8E" w:rsidRDefault="005F5F8E" w:rsidP="005F5F8E">
      <w:pPr>
        <w:spacing w:after="0" w:line="360" w:lineRule="auto"/>
        <w:ind w:firstLine="709"/>
        <w:jc w:val="both"/>
        <w:rPr>
          <w:sz w:val="28"/>
          <w:szCs w:val="28"/>
          <w:lang w:val="uk-UA"/>
        </w:rPr>
      </w:pPr>
      <w:r w:rsidRPr="005F5F8E">
        <w:rPr>
          <w:sz w:val="28"/>
          <w:szCs w:val="28"/>
          <w:lang w:val="uk-UA"/>
        </w:rPr>
        <w:t>З лабораторних методів діагностики ТН найчаст</w:t>
      </w:r>
      <w:r>
        <w:rPr>
          <w:sz w:val="28"/>
          <w:szCs w:val="28"/>
          <w:lang w:val="uk-UA"/>
        </w:rPr>
        <w:t>іше</w:t>
      </w:r>
      <w:r w:rsidRPr="005F5F8E">
        <w:rPr>
          <w:sz w:val="28"/>
          <w:szCs w:val="28"/>
          <w:lang w:val="uk-UA"/>
        </w:rPr>
        <w:t xml:space="preserve"> в клінічній практиці використовується підрахунок числа лімфоцитів і визначення рівня альбуміну.</w:t>
      </w:r>
    </w:p>
    <w:p w:rsidR="005F5F8E" w:rsidRPr="005F5F8E" w:rsidRDefault="005F5F8E" w:rsidP="005F5F8E">
      <w:pPr>
        <w:spacing w:after="0" w:line="360" w:lineRule="auto"/>
        <w:ind w:firstLine="709"/>
        <w:jc w:val="both"/>
        <w:rPr>
          <w:sz w:val="28"/>
          <w:szCs w:val="28"/>
          <w:lang w:val="uk-UA"/>
        </w:rPr>
      </w:pPr>
      <w:r w:rsidRPr="005F5F8E">
        <w:rPr>
          <w:sz w:val="28"/>
          <w:szCs w:val="28"/>
          <w:lang w:val="uk-UA"/>
        </w:rPr>
        <w:t>У Росії в клінічній практиці найшир</w:t>
      </w:r>
      <w:r w:rsidR="006A0132">
        <w:rPr>
          <w:sz w:val="28"/>
          <w:szCs w:val="28"/>
          <w:lang w:val="uk-UA"/>
        </w:rPr>
        <w:t>ше</w:t>
      </w:r>
      <w:r w:rsidRPr="005F5F8E">
        <w:rPr>
          <w:sz w:val="28"/>
          <w:szCs w:val="28"/>
          <w:lang w:val="uk-UA"/>
        </w:rPr>
        <w:t xml:space="preserve"> використовується класифікація ТН за ступенем тяжкості, запропонована В.М. </w:t>
      </w:r>
      <w:proofErr w:type="spellStart"/>
      <w:r w:rsidRPr="005F5F8E">
        <w:rPr>
          <w:sz w:val="28"/>
          <w:szCs w:val="28"/>
          <w:lang w:val="uk-UA"/>
        </w:rPr>
        <w:t>Луфт</w:t>
      </w:r>
      <w:r w:rsidR="008240AB">
        <w:rPr>
          <w:sz w:val="28"/>
          <w:szCs w:val="28"/>
          <w:lang w:val="uk-UA"/>
        </w:rPr>
        <w:t>ом</w:t>
      </w:r>
      <w:proofErr w:type="spellEnd"/>
      <w:r w:rsidRPr="005F5F8E">
        <w:rPr>
          <w:sz w:val="28"/>
          <w:szCs w:val="28"/>
          <w:lang w:val="uk-UA"/>
        </w:rPr>
        <w:t xml:space="preserve"> і А.Л. Костюченко (табл. 1) [3].</w:t>
      </w:r>
    </w:p>
    <w:p w:rsidR="005F5F8E" w:rsidRPr="005F5F8E" w:rsidRDefault="005F5F8E" w:rsidP="005F5F8E">
      <w:pPr>
        <w:spacing w:after="0" w:line="360" w:lineRule="auto"/>
        <w:ind w:firstLine="709"/>
        <w:jc w:val="both"/>
        <w:rPr>
          <w:sz w:val="28"/>
          <w:szCs w:val="28"/>
          <w:lang w:val="uk-UA"/>
        </w:rPr>
      </w:pPr>
      <w:r w:rsidRPr="005F5F8E">
        <w:rPr>
          <w:sz w:val="28"/>
          <w:szCs w:val="28"/>
          <w:lang w:val="uk-UA"/>
        </w:rPr>
        <w:t>Для використання цієї класифікації необхідно провести розрахунки наступних формул:</w:t>
      </w:r>
    </w:p>
    <w:p w:rsidR="005F5F8E" w:rsidRPr="005F5F8E" w:rsidRDefault="005F5F8E" w:rsidP="005F5F8E">
      <w:pPr>
        <w:spacing w:after="0" w:line="360" w:lineRule="auto"/>
        <w:ind w:firstLine="709"/>
        <w:jc w:val="both"/>
        <w:rPr>
          <w:sz w:val="28"/>
          <w:szCs w:val="28"/>
          <w:lang w:val="uk-UA"/>
        </w:rPr>
      </w:pPr>
      <w:r w:rsidRPr="005F5F8E">
        <w:rPr>
          <w:sz w:val="28"/>
          <w:szCs w:val="28"/>
          <w:lang w:val="uk-UA"/>
        </w:rPr>
        <w:t>1. ІМТ = вага / (зр</w:t>
      </w:r>
      <w:r w:rsidR="008240AB">
        <w:rPr>
          <w:sz w:val="28"/>
          <w:szCs w:val="28"/>
          <w:lang w:val="uk-UA"/>
        </w:rPr>
        <w:t>іст</w:t>
      </w:r>
      <w:r w:rsidRPr="005F5F8E">
        <w:rPr>
          <w:sz w:val="28"/>
          <w:szCs w:val="28"/>
          <w:lang w:val="uk-UA"/>
        </w:rPr>
        <w:t xml:space="preserve">) </w:t>
      </w:r>
      <w:r w:rsidRPr="008240AB">
        <w:rPr>
          <w:sz w:val="28"/>
          <w:szCs w:val="28"/>
          <w:vertAlign w:val="superscript"/>
          <w:lang w:val="uk-UA"/>
        </w:rPr>
        <w:t>2</w:t>
      </w:r>
    </w:p>
    <w:p w:rsidR="005F5F8E" w:rsidRPr="005F5F8E" w:rsidRDefault="005F5F8E" w:rsidP="005F5F8E">
      <w:pPr>
        <w:spacing w:after="0" w:line="360" w:lineRule="auto"/>
        <w:ind w:firstLine="709"/>
        <w:jc w:val="both"/>
        <w:rPr>
          <w:sz w:val="28"/>
          <w:szCs w:val="28"/>
          <w:lang w:val="uk-UA"/>
        </w:rPr>
      </w:pPr>
      <w:r w:rsidRPr="005F5F8E">
        <w:rPr>
          <w:sz w:val="28"/>
          <w:szCs w:val="28"/>
          <w:lang w:val="uk-UA"/>
        </w:rPr>
        <w:t xml:space="preserve">2. </w:t>
      </w:r>
      <w:r w:rsidR="008240AB" w:rsidRPr="005F5F8E">
        <w:rPr>
          <w:sz w:val="28"/>
          <w:szCs w:val="28"/>
          <w:lang w:val="uk-UA"/>
        </w:rPr>
        <w:t>Окружність</w:t>
      </w:r>
      <w:r w:rsidRPr="005F5F8E">
        <w:rPr>
          <w:sz w:val="28"/>
          <w:szCs w:val="28"/>
          <w:lang w:val="uk-UA"/>
        </w:rPr>
        <w:t xml:space="preserve"> м'язів плеча (</w:t>
      </w:r>
      <w:r w:rsidR="003C4047">
        <w:rPr>
          <w:sz w:val="28"/>
          <w:szCs w:val="28"/>
          <w:lang w:val="uk-UA"/>
        </w:rPr>
        <w:t>О</w:t>
      </w:r>
      <w:r w:rsidRPr="005F5F8E">
        <w:rPr>
          <w:sz w:val="28"/>
          <w:szCs w:val="28"/>
          <w:lang w:val="uk-UA"/>
        </w:rPr>
        <w:t>М</w:t>
      </w:r>
      <w:r w:rsidR="003C4047">
        <w:rPr>
          <w:sz w:val="28"/>
          <w:szCs w:val="28"/>
          <w:lang w:val="uk-UA"/>
        </w:rPr>
        <w:t>П</w:t>
      </w:r>
      <w:r w:rsidRPr="005F5F8E">
        <w:rPr>
          <w:sz w:val="28"/>
          <w:szCs w:val="28"/>
          <w:lang w:val="uk-UA"/>
        </w:rPr>
        <w:t>) = Окружність плеча (</w:t>
      </w:r>
      <w:proofErr w:type="spellStart"/>
      <w:r w:rsidRPr="005F5F8E">
        <w:rPr>
          <w:sz w:val="28"/>
          <w:szCs w:val="28"/>
          <w:lang w:val="uk-UA"/>
        </w:rPr>
        <w:t>О</w:t>
      </w:r>
      <w:r w:rsidR="003C4047">
        <w:rPr>
          <w:sz w:val="28"/>
          <w:szCs w:val="28"/>
          <w:lang w:val="uk-UA"/>
        </w:rPr>
        <w:t>к</w:t>
      </w:r>
      <w:r w:rsidRPr="005F5F8E">
        <w:rPr>
          <w:sz w:val="28"/>
          <w:szCs w:val="28"/>
          <w:lang w:val="uk-UA"/>
        </w:rPr>
        <w:t>П</w:t>
      </w:r>
      <w:proofErr w:type="spellEnd"/>
      <w:r w:rsidRPr="005F5F8E">
        <w:rPr>
          <w:sz w:val="28"/>
          <w:szCs w:val="28"/>
          <w:lang w:val="uk-UA"/>
        </w:rPr>
        <w:t xml:space="preserve">) - (0,314 × Товщина шкірно-жирової складки над </w:t>
      </w:r>
      <w:proofErr w:type="spellStart"/>
      <w:r w:rsidRPr="005F5F8E">
        <w:rPr>
          <w:sz w:val="28"/>
          <w:szCs w:val="28"/>
          <w:lang w:val="uk-UA"/>
        </w:rPr>
        <w:t>трицепсом</w:t>
      </w:r>
      <w:proofErr w:type="spellEnd"/>
      <w:r w:rsidRPr="005F5F8E">
        <w:rPr>
          <w:sz w:val="28"/>
          <w:szCs w:val="28"/>
          <w:lang w:val="uk-UA"/>
        </w:rPr>
        <w:t xml:space="preserve"> (</w:t>
      </w:r>
      <w:r w:rsidR="006A0132">
        <w:rPr>
          <w:sz w:val="28"/>
          <w:szCs w:val="28"/>
          <w:lang w:val="uk-UA"/>
        </w:rPr>
        <w:t>Ш</w:t>
      </w:r>
      <w:r w:rsidRPr="005F5F8E">
        <w:rPr>
          <w:sz w:val="28"/>
          <w:szCs w:val="28"/>
          <w:lang w:val="uk-UA"/>
        </w:rPr>
        <w:t>ЖСТ).</w:t>
      </w:r>
    </w:p>
    <w:p w:rsidR="005F5F8E" w:rsidRPr="005F5F8E" w:rsidRDefault="005F5F8E" w:rsidP="005F5F8E">
      <w:pPr>
        <w:spacing w:after="0" w:line="360" w:lineRule="auto"/>
        <w:ind w:firstLine="709"/>
        <w:jc w:val="both"/>
        <w:rPr>
          <w:sz w:val="28"/>
          <w:szCs w:val="28"/>
          <w:lang w:val="uk-UA"/>
        </w:rPr>
      </w:pPr>
      <w:r w:rsidRPr="005F5F8E">
        <w:rPr>
          <w:sz w:val="28"/>
          <w:szCs w:val="28"/>
          <w:lang w:val="uk-UA"/>
        </w:rPr>
        <w:t>Крім того, найбільша увага приділяється лабораторним методам - ​​</w:t>
      </w:r>
      <w:proofErr w:type="spellStart"/>
      <w:r w:rsidRPr="005F5F8E">
        <w:rPr>
          <w:sz w:val="28"/>
          <w:szCs w:val="28"/>
          <w:lang w:val="uk-UA"/>
        </w:rPr>
        <w:t>біоімпедансметрі</w:t>
      </w:r>
      <w:r w:rsidR="003C4047">
        <w:rPr>
          <w:sz w:val="28"/>
          <w:szCs w:val="28"/>
          <w:lang w:val="uk-UA"/>
        </w:rPr>
        <w:t>ї</w:t>
      </w:r>
      <w:proofErr w:type="spellEnd"/>
      <w:r w:rsidRPr="005F5F8E">
        <w:rPr>
          <w:sz w:val="28"/>
          <w:szCs w:val="28"/>
          <w:lang w:val="uk-UA"/>
        </w:rPr>
        <w:t>, комп'ютерн</w:t>
      </w:r>
      <w:r w:rsidR="003C4047">
        <w:rPr>
          <w:sz w:val="28"/>
          <w:szCs w:val="28"/>
          <w:lang w:val="uk-UA"/>
        </w:rPr>
        <w:t>ій</w:t>
      </w:r>
      <w:r w:rsidRPr="005F5F8E">
        <w:rPr>
          <w:sz w:val="28"/>
          <w:szCs w:val="28"/>
          <w:lang w:val="uk-UA"/>
        </w:rPr>
        <w:t xml:space="preserve"> томографії (КТ), </w:t>
      </w:r>
      <w:proofErr w:type="spellStart"/>
      <w:r w:rsidRPr="005F5F8E">
        <w:rPr>
          <w:sz w:val="28"/>
          <w:szCs w:val="28"/>
          <w:lang w:val="uk-UA"/>
        </w:rPr>
        <w:t>дв</w:t>
      </w:r>
      <w:r w:rsidR="003C4047">
        <w:rPr>
          <w:sz w:val="28"/>
          <w:szCs w:val="28"/>
          <w:lang w:val="uk-UA"/>
        </w:rPr>
        <w:t>о</w:t>
      </w:r>
      <w:r w:rsidRPr="005F5F8E">
        <w:rPr>
          <w:sz w:val="28"/>
          <w:szCs w:val="28"/>
          <w:lang w:val="uk-UA"/>
        </w:rPr>
        <w:t>енергет</w:t>
      </w:r>
      <w:r w:rsidR="003C4047">
        <w:rPr>
          <w:sz w:val="28"/>
          <w:szCs w:val="28"/>
          <w:lang w:val="uk-UA"/>
        </w:rPr>
        <w:t>ичній</w:t>
      </w:r>
      <w:proofErr w:type="spellEnd"/>
      <w:r w:rsidRPr="005F5F8E">
        <w:rPr>
          <w:sz w:val="28"/>
          <w:szCs w:val="28"/>
          <w:lang w:val="uk-UA"/>
        </w:rPr>
        <w:t xml:space="preserve"> рентгенологічн</w:t>
      </w:r>
      <w:r w:rsidR="003C4047">
        <w:rPr>
          <w:sz w:val="28"/>
          <w:szCs w:val="28"/>
          <w:lang w:val="uk-UA"/>
        </w:rPr>
        <w:t>ій</w:t>
      </w:r>
      <w:r w:rsidRPr="005F5F8E">
        <w:rPr>
          <w:sz w:val="28"/>
          <w:szCs w:val="28"/>
          <w:lang w:val="uk-UA"/>
        </w:rPr>
        <w:t xml:space="preserve"> </w:t>
      </w:r>
      <w:proofErr w:type="spellStart"/>
      <w:r w:rsidRPr="005F5F8E">
        <w:rPr>
          <w:sz w:val="28"/>
          <w:szCs w:val="28"/>
          <w:lang w:val="uk-UA"/>
        </w:rPr>
        <w:t>абсорбіометрі</w:t>
      </w:r>
      <w:r w:rsidR="003C4047">
        <w:rPr>
          <w:sz w:val="28"/>
          <w:szCs w:val="28"/>
          <w:lang w:val="uk-UA"/>
        </w:rPr>
        <w:t>ї</w:t>
      </w:r>
      <w:proofErr w:type="spellEnd"/>
      <w:r w:rsidRPr="005F5F8E">
        <w:rPr>
          <w:sz w:val="28"/>
          <w:szCs w:val="28"/>
          <w:lang w:val="uk-UA"/>
        </w:rPr>
        <w:t>, магнітно-резонансн</w:t>
      </w:r>
      <w:r w:rsidR="003C4047">
        <w:rPr>
          <w:sz w:val="28"/>
          <w:szCs w:val="28"/>
          <w:lang w:val="uk-UA"/>
        </w:rPr>
        <w:t>ій</w:t>
      </w:r>
      <w:r w:rsidRPr="005F5F8E">
        <w:rPr>
          <w:sz w:val="28"/>
          <w:szCs w:val="28"/>
          <w:lang w:val="uk-UA"/>
        </w:rPr>
        <w:t xml:space="preserve"> томографії.</w:t>
      </w:r>
    </w:p>
    <w:p w:rsidR="005F5F8E" w:rsidRPr="005F5F8E" w:rsidRDefault="005F5F8E" w:rsidP="005F5F8E">
      <w:pPr>
        <w:spacing w:after="0" w:line="360" w:lineRule="auto"/>
        <w:ind w:firstLine="709"/>
        <w:jc w:val="both"/>
        <w:rPr>
          <w:sz w:val="28"/>
          <w:szCs w:val="28"/>
          <w:lang w:val="uk-UA"/>
        </w:rPr>
      </w:pPr>
      <w:r w:rsidRPr="005F5F8E">
        <w:rPr>
          <w:sz w:val="28"/>
          <w:szCs w:val="28"/>
          <w:lang w:val="uk-UA"/>
        </w:rPr>
        <w:t xml:space="preserve">Таким чином, верифікація ТН утруднена у пацієнтів </w:t>
      </w:r>
      <w:r w:rsidR="003C4047">
        <w:rPr>
          <w:sz w:val="28"/>
          <w:szCs w:val="28"/>
          <w:lang w:val="uk-UA"/>
        </w:rPr>
        <w:t>і</w:t>
      </w:r>
      <w:r w:rsidRPr="005F5F8E">
        <w:rPr>
          <w:sz w:val="28"/>
          <w:szCs w:val="28"/>
          <w:lang w:val="uk-UA"/>
        </w:rPr>
        <w:t xml:space="preserve">з ХП в зв'язку з відсутністю єдиних діагностичних рекомендацій. Нижче представлений клінічний випадок комбінації ТН і ожиріння у хворого </w:t>
      </w:r>
      <w:r w:rsidR="003C4047">
        <w:rPr>
          <w:sz w:val="28"/>
          <w:szCs w:val="28"/>
          <w:lang w:val="uk-UA"/>
        </w:rPr>
        <w:t xml:space="preserve">на </w:t>
      </w:r>
      <w:r w:rsidRPr="005F5F8E">
        <w:rPr>
          <w:sz w:val="28"/>
          <w:szCs w:val="28"/>
          <w:lang w:val="uk-UA"/>
        </w:rPr>
        <w:t>ХП.</w:t>
      </w:r>
    </w:p>
    <w:p w:rsidR="005F5F8E" w:rsidRPr="005F5F8E" w:rsidRDefault="005F5F8E" w:rsidP="005F5F8E">
      <w:pPr>
        <w:spacing w:after="0" w:line="360" w:lineRule="auto"/>
        <w:ind w:firstLine="709"/>
        <w:jc w:val="both"/>
        <w:rPr>
          <w:sz w:val="28"/>
          <w:szCs w:val="28"/>
          <w:lang w:val="uk-UA"/>
        </w:rPr>
      </w:pPr>
      <w:r w:rsidRPr="005F5F8E">
        <w:rPr>
          <w:sz w:val="28"/>
          <w:szCs w:val="28"/>
          <w:lang w:val="uk-UA"/>
        </w:rPr>
        <w:t>Таблиця 1</w:t>
      </w:r>
    </w:p>
    <w:p w:rsidR="00FD6026" w:rsidRPr="0099718D" w:rsidRDefault="005F5F8E" w:rsidP="003C4047">
      <w:pPr>
        <w:spacing w:after="0" w:line="360" w:lineRule="auto"/>
        <w:jc w:val="both"/>
        <w:rPr>
          <w:sz w:val="28"/>
          <w:szCs w:val="28"/>
          <w:lang w:val="uk-UA"/>
        </w:rPr>
      </w:pPr>
      <w:r w:rsidRPr="005F5F8E">
        <w:rPr>
          <w:sz w:val="28"/>
          <w:szCs w:val="28"/>
          <w:lang w:val="uk-UA"/>
        </w:rPr>
        <w:t xml:space="preserve">Критерії діагностики </w:t>
      </w:r>
      <w:proofErr w:type="spellStart"/>
      <w:r w:rsidRPr="005F5F8E">
        <w:rPr>
          <w:sz w:val="28"/>
          <w:szCs w:val="28"/>
          <w:lang w:val="uk-UA"/>
        </w:rPr>
        <w:t>трофологіч</w:t>
      </w:r>
      <w:r w:rsidR="003C4047">
        <w:rPr>
          <w:sz w:val="28"/>
          <w:szCs w:val="28"/>
          <w:lang w:val="uk-UA"/>
        </w:rPr>
        <w:t>н</w:t>
      </w:r>
      <w:r w:rsidRPr="005F5F8E">
        <w:rPr>
          <w:sz w:val="28"/>
          <w:szCs w:val="28"/>
          <w:lang w:val="uk-UA"/>
        </w:rPr>
        <w:t>ого</w:t>
      </w:r>
      <w:proofErr w:type="spellEnd"/>
      <w:r w:rsidRPr="005F5F8E">
        <w:rPr>
          <w:sz w:val="28"/>
          <w:szCs w:val="28"/>
          <w:lang w:val="uk-UA"/>
        </w:rPr>
        <w:t xml:space="preserve"> статусу (адаптовано за В. М. </w:t>
      </w:r>
      <w:proofErr w:type="spellStart"/>
      <w:r w:rsidRPr="005F5F8E">
        <w:rPr>
          <w:sz w:val="28"/>
          <w:szCs w:val="28"/>
          <w:lang w:val="uk-UA"/>
        </w:rPr>
        <w:t>Луфт</w:t>
      </w:r>
      <w:proofErr w:type="spellEnd"/>
      <w:r w:rsidRPr="005F5F8E">
        <w:rPr>
          <w:sz w:val="28"/>
          <w:szCs w:val="28"/>
          <w:lang w:val="uk-UA"/>
        </w:rPr>
        <w:t xml:space="preserve"> [3])</w:t>
      </w:r>
    </w:p>
    <w:tbl>
      <w:tblPr>
        <w:tblStyle w:val="TableNormal"/>
        <w:tblW w:w="9817" w:type="dxa"/>
        <w:tblInd w:w="-15" w:type="dxa"/>
        <w:tblBorders>
          <w:top w:val="single" w:sz="8" w:space="0" w:color="007236"/>
          <w:left w:val="single" w:sz="8" w:space="0" w:color="007236"/>
          <w:bottom w:val="single" w:sz="8" w:space="0" w:color="007236"/>
          <w:right w:val="single" w:sz="8" w:space="0" w:color="007236"/>
          <w:insideH w:val="single" w:sz="8" w:space="0" w:color="007236"/>
          <w:insideV w:val="single" w:sz="8" w:space="0" w:color="007236"/>
        </w:tblBorders>
        <w:tblLayout w:type="fixed"/>
        <w:tblLook w:val="01E0" w:firstRow="1" w:lastRow="1" w:firstColumn="1" w:lastColumn="1" w:noHBand="0" w:noVBand="0"/>
      </w:tblPr>
      <w:tblGrid>
        <w:gridCol w:w="30"/>
        <w:gridCol w:w="2664"/>
        <w:gridCol w:w="2409"/>
        <w:gridCol w:w="26"/>
        <w:gridCol w:w="1392"/>
        <w:gridCol w:w="1802"/>
        <w:gridCol w:w="16"/>
        <w:gridCol w:w="1442"/>
        <w:gridCol w:w="36"/>
      </w:tblGrid>
      <w:tr w:rsidR="00C75F2D" w:rsidRPr="00C75F2D" w:rsidTr="00D42B00">
        <w:trPr>
          <w:gridAfter w:val="1"/>
          <w:wAfter w:w="36" w:type="dxa"/>
          <w:trHeight w:val="386"/>
        </w:trPr>
        <w:tc>
          <w:tcPr>
            <w:tcW w:w="2694" w:type="dxa"/>
            <w:gridSpan w:val="2"/>
            <w:vMerge w:val="restart"/>
            <w:tcBorders>
              <w:left w:val="single" w:sz="12" w:space="0" w:color="007236"/>
            </w:tcBorders>
          </w:tcPr>
          <w:p w:rsidR="00A653FB" w:rsidRPr="003C4047" w:rsidRDefault="00A653FB" w:rsidP="003C4047">
            <w:pPr>
              <w:pStyle w:val="TableParagraph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</w:p>
          <w:p w:rsidR="00A653FB" w:rsidRPr="003C4047" w:rsidRDefault="00A653FB" w:rsidP="003C404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3C4047">
              <w:rPr>
                <w:rFonts w:ascii="Times New Roman" w:hAnsi="Times New Roman" w:cs="Times New Roman"/>
                <w:b/>
                <w:w w:val="95"/>
                <w:sz w:val="20"/>
                <w:szCs w:val="20"/>
                <w:lang w:val="ru-RU"/>
              </w:rPr>
              <w:t>Критер</w:t>
            </w:r>
            <w:r w:rsidR="003C4047" w:rsidRPr="003C4047">
              <w:rPr>
                <w:rFonts w:ascii="Times New Roman" w:hAnsi="Times New Roman" w:cs="Times New Roman"/>
                <w:b/>
                <w:w w:val="95"/>
                <w:sz w:val="20"/>
                <w:szCs w:val="20"/>
                <w:lang w:val="ru-RU"/>
              </w:rPr>
              <w:t>і</w:t>
            </w:r>
            <w:r w:rsidRPr="003C4047">
              <w:rPr>
                <w:rFonts w:ascii="Times New Roman" w:hAnsi="Times New Roman" w:cs="Times New Roman"/>
                <w:b/>
                <w:w w:val="95"/>
                <w:sz w:val="20"/>
                <w:szCs w:val="20"/>
                <w:lang w:val="ru-RU"/>
              </w:rPr>
              <w:t>й</w:t>
            </w:r>
            <w:proofErr w:type="spellEnd"/>
            <w:r w:rsidRPr="003C4047">
              <w:rPr>
                <w:rFonts w:ascii="Times New Roman" w:hAnsi="Times New Roman" w:cs="Times New Roman"/>
                <w:b/>
                <w:w w:val="95"/>
                <w:sz w:val="20"/>
                <w:szCs w:val="20"/>
                <w:lang w:val="ru-RU"/>
              </w:rPr>
              <w:t xml:space="preserve">/ </w:t>
            </w:r>
            <w:proofErr w:type="spellStart"/>
            <w:r w:rsidRPr="003C404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Criteria</w:t>
            </w:r>
            <w:proofErr w:type="spellEnd"/>
          </w:p>
        </w:tc>
        <w:tc>
          <w:tcPr>
            <w:tcW w:w="2435" w:type="dxa"/>
            <w:gridSpan w:val="2"/>
            <w:vMerge w:val="restart"/>
          </w:tcPr>
          <w:p w:rsidR="00A653FB" w:rsidRPr="003C4047" w:rsidRDefault="00A653FB" w:rsidP="003C404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3C4047">
              <w:rPr>
                <w:rFonts w:ascii="Times New Roman" w:hAnsi="Times New Roman" w:cs="Times New Roman"/>
                <w:b/>
                <w:w w:val="95"/>
                <w:sz w:val="20"/>
                <w:szCs w:val="20"/>
                <w:lang w:val="ru-RU"/>
              </w:rPr>
              <w:t>Нормальн</w:t>
            </w:r>
            <w:r w:rsidR="003C4047" w:rsidRPr="003C4047">
              <w:rPr>
                <w:rFonts w:ascii="Times New Roman" w:hAnsi="Times New Roman" w:cs="Times New Roman"/>
                <w:b/>
                <w:w w:val="95"/>
                <w:sz w:val="20"/>
                <w:szCs w:val="20"/>
                <w:lang w:val="ru-RU"/>
              </w:rPr>
              <w:t>і</w:t>
            </w:r>
            <w:proofErr w:type="spellEnd"/>
            <w:r w:rsidRPr="003C4047">
              <w:rPr>
                <w:rFonts w:ascii="Times New Roman" w:hAnsi="Times New Roman" w:cs="Times New Roman"/>
                <w:b/>
                <w:w w:val="9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C404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значен</w:t>
            </w:r>
            <w:r w:rsidR="003C4047" w:rsidRPr="003C404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</w:t>
            </w:r>
            <w:r w:rsidRPr="003C404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я</w:t>
            </w:r>
            <w:proofErr w:type="spellEnd"/>
            <w:r w:rsidRPr="003C404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/ </w:t>
            </w:r>
            <w:proofErr w:type="spellStart"/>
            <w:r w:rsidRPr="003C404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Reference</w:t>
            </w:r>
            <w:proofErr w:type="spellEnd"/>
            <w:r w:rsidR="003C404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C404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Ranges</w:t>
            </w:r>
            <w:proofErr w:type="spellEnd"/>
          </w:p>
        </w:tc>
        <w:tc>
          <w:tcPr>
            <w:tcW w:w="4652" w:type="dxa"/>
            <w:gridSpan w:val="4"/>
          </w:tcPr>
          <w:p w:rsidR="00A653FB" w:rsidRPr="003C4047" w:rsidRDefault="00A653FB" w:rsidP="003C4047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3C4047">
              <w:rPr>
                <w:rFonts w:ascii="Times New Roman" w:hAnsi="Times New Roman" w:cs="Times New Roman"/>
                <w:b/>
                <w:w w:val="95"/>
                <w:sz w:val="20"/>
                <w:szCs w:val="20"/>
                <w:lang w:val="ru-RU"/>
              </w:rPr>
              <w:t>Недостат</w:t>
            </w:r>
            <w:r w:rsidR="003C4047" w:rsidRPr="003C4047">
              <w:rPr>
                <w:rFonts w:ascii="Times New Roman" w:hAnsi="Times New Roman" w:cs="Times New Roman"/>
                <w:b/>
                <w:w w:val="95"/>
                <w:sz w:val="20"/>
                <w:szCs w:val="20"/>
                <w:lang w:val="ru-RU"/>
              </w:rPr>
              <w:t>ні</w:t>
            </w:r>
            <w:r w:rsidRPr="003C4047">
              <w:rPr>
                <w:rFonts w:ascii="Times New Roman" w:hAnsi="Times New Roman" w:cs="Times New Roman"/>
                <w:b/>
                <w:w w:val="95"/>
                <w:sz w:val="20"/>
                <w:szCs w:val="20"/>
                <w:lang w:val="ru-RU"/>
              </w:rPr>
              <w:t>сть</w:t>
            </w:r>
            <w:proofErr w:type="spellEnd"/>
            <w:r w:rsidRPr="003C4047">
              <w:rPr>
                <w:rFonts w:ascii="Times New Roman" w:hAnsi="Times New Roman" w:cs="Times New Roman"/>
                <w:b/>
                <w:w w:val="95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3C4047" w:rsidRPr="003C4047">
              <w:rPr>
                <w:rFonts w:ascii="Times New Roman" w:hAnsi="Times New Roman" w:cs="Times New Roman"/>
                <w:b/>
                <w:w w:val="95"/>
                <w:sz w:val="20"/>
                <w:szCs w:val="20"/>
                <w:lang w:val="ru-RU"/>
              </w:rPr>
              <w:t>харчування</w:t>
            </w:r>
            <w:proofErr w:type="spellEnd"/>
            <w:r w:rsidRPr="003C4047">
              <w:rPr>
                <w:rFonts w:ascii="Times New Roman" w:hAnsi="Times New Roman" w:cs="Times New Roman"/>
                <w:b/>
                <w:w w:val="95"/>
                <w:sz w:val="20"/>
                <w:szCs w:val="20"/>
                <w:lang w:val="ru-RU"/>
              </w:rPr>
              <w:t xml:space="preserve">/ </w:t>
            </w:r>
            <w:proofErr w:type="spellStart"/>
            <w:r w:rsidRPr="003C404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Malnutrition</w:t>
            </w:r>
            <w:proofErr w:type="spellEnd"/>
          </w:p>
        </w:tc>
      </w:tr>
      <w:tr w:rsidR="00C75F2D" w:rsidRPr="00C75F2D" w:rsidTr="00D42B00">
        <w:trPr>
          <w:gridAfter w:val="1"/>
          <w:wAfter w:w="36" w:type="dxa"/>
          <w:trHeight w:val="405"/>
        </w:trPr>
        <w:tc>
          <w:tcPr>
            <w:tcW w:w="2694" w:type="dxa"/>
            <w:gridSpan w:val="2"/>
            <w:vMerge/>
            <w:tcBorders>
              <w:top w:val="nil"/>
              <w:left w:val="single" w:sz="12" w:space="0" w:color="007236"/>
            </w:tcBorders>
          </w:tcPr>
          <w:p w:rsidR="00A653FB" w:rsidRPr="003C4047" w:rsidRDefault="00A653FB" w:rsidP="003C404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35" w:type="dxa"/>
            <w:gridSpan w:val="2"/>
            <w:vMerge/>
            <w:tcBorders>
              <w:top w:val="nil"/>
            </w:tcBorders>
          </w:tcPr>
          <w:p w:rsidR="00A653FB" w:rsidRPr="003C4047" w:rsidRDefault="00A653FB" w:rsidP="003C404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92" w:type="dxa"/>
          </w:tcPr>
          <w:p w:rsidR="00A653FB" w:rsidRPr="003C4047" w:rsidRDefault="00A653FB" w:rsidP="003C4047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3C404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Легка/ </w:t>
            </w:r>
            <w:proofErr w:type="spellStart"/>
            <w:r w:rsidRPr="003C404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Mild</w:t>
            </w:r>
            <w:proofErr w:type="spellEnd"/>
          </w:p>
        </w:tc>
        <w:tc>
          <w:tcPr>
            <w:tcW w:w="1802" w:type="dxa"/>
          </w:tcPr>
          <w:p w:rsidR="00A653FB" w:rsidRPr="003C4047" w:rsidRDefault="00A653FB" w:rsidP="003C4047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3C4047">
              <w:rPr>
                <w:rFonts w:ascii="Times New Roman" w:hAnsi="Times New Roman" w:cs="Times New Roman"/>
                <w:b/>
                <w:w w:val="95"/>
                <w:sz w:val="20"/>
                <w:szCs w:val="20"/>
                <w:lang w:val="ru-RU"/>
              </w:rPr>
              <w:t>Средня</w:t>
            </w:r>
            <w:proofErr w:type="spellEnd"/>
            <w:r w:rsidRPr="003C4047">
              <w:rPr>
                <w:rFonts w:ascii="Times New Roman" w:hAnsi="Times New Roman" w:cs="Times New Roman"/>
                <w:b/>
                <w:w w:val="95"/>
                <w:sz w:val="20"/>
                <w:szCs w:val="20"/>
                <w:lang w:val="ru-RU"/>
              </w:rPr>
              <w:t xml:space="preserve">/ </w:t>
            </w:r>
            <w:proofErr w:type="spellStart"/>
            <w:r w:rsidRPr="003C404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Moderate</w:t>
            </w:r>
            <w:proofErr w:type="spellEnd"/>
          </w:p>
        </w:tc>
        <w:tc>
          <w:tcPr>
            <w:tcW w:w="1458" w:type="dxa"/>
            <w:gridSpan w:val="2"/>
          </w:tcPr>
          <w:p w:rsidR="00A653FB" w:rsidRPr="003C4047" w:rsidRDefault="00A653FB" w:rsidP="003C4047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3C4047">
              <w:rPr>
                <w:rFonts w:ascii="Times New Roman" w:hAnsi="Times New Roman" w:cs="Times New Roman"/>
                <w:b/>
                <w:w w:val="95"/>
                <w:sz w:val="20"/>
                <w:szCs w:val="20"/>
                <w:lang w:val="ru-RU"/>
              </w:rPr>
              <w:t>Тяж</w:t>
            </w:r>
            <w:r w:rsidR="003C4047" w:rsidRPr="003C4047">
              <w:rPr>
                <w:rFonts w:ascii="Times New Roman" w:hAnsi="Times New Roman" w:cs="Times New Roman"/>
                <w:b/>
                <w:w w:val="95"/>
                <w:sz w:val="20"/>
                <w:szCs w:val="20"/>
                <w:lang w:val="ru-RU"/>
              </w:rPr>
              <w:t>ка</w:t>
            </w:r>
            <w:r w:rsidRPr="003C4047">
              <w:rPr>
                <w:rFonts w:ascii="Times New Roman" w:hAnsi="Times New Roman" w:cs="Times New Roman"/>
                <w:b/>
                <w:w w:val="95"/>
                <w:sz w:val="20"/>
                <w:szCs w:val="20"/>
                <w:lang w:val="ru-RU"/>
              </w:rPr>
              <w:t xml:space="preserve">/ </w:t>
            </w:r>
            <w:proofErr w:type="spellStart"/>
            <w:r w:rsidRPr="003C404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Severe</w:t>
            </w:r>
            <w:proofErr w:type="spellEnd"/>
          </w:p>
        </w:tc>
      </w:tr>
      <w:tr w:rsidR="00C75F2D" w:rsidRPr="00D42B00" w:rsidTr="00D42B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52"/>
        </w:trPr>
        <w:tc>
          <w:tcPr>
            <w:tcW w:w="5073" w:type="dxa"/>
            <w:gridSpan w:val="2"/>
          </w:tcPr>
          <w:p w:rsidR="00A653FB" w:rsidRPr="00D42B00" w:rsidRDefault="00A653FB" w:rsidP="00C75F2D">
            <w:pPr>
              <w:pStyle w:val="TableParagraph"/>
              <w:tabs>
                <w:tab w:val="right" w:pos="4245"/>
              </w:tabs>
              <w:spacing w:line="182" w:lineRule="exact"/>
              <w:ind w:left="5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2B00">
              <w:rPr>
                <w:rFonts w:ascii="Times New Roman" w:hAnsi="Times New Roman" w:cs="Times New Roman"/>
                <w:b/>
                <w:spacing w:val="6"/>
                <w:sz w:val="20"/>
                <w:szCs w:val="20"/>
                <w:lang w:val="ru-RU"/>
              </w:rPr>
              <w:t>Бал</w:t>
            </w:r>
            <w:r w:rsidR="008D24D3" w:rsidRPr="00D42B00">
              <w:rPr>
                <w:rFonts w:ascii="Times New Roman" w:hAnsi="Times New Roman" w:cs="Times New Roman"/>
                <w:b/>
                <w:spacing w:val="6"/>
                <w:sz w:val="20"/>
                <w:szCs w:val="20"/>
                <w:lang w:val="ru-RU"/>
              </w:rPr>
              <w:t>и</w:t>
            </w:r>
            <w:r w:rsidRPr="00D42B00">
              <w:rPr>
                <w:rFonts w:ascii="Times New Roman" w:hAnsi="Times New Roman" w:cs="Times New Roman"/>
                <w:b/>
                <w:spacing w:val="6"/>
                <w:sz w:val="20"/>
                <w:szCs w:val="20"/>
                <w:lang w:val="ru-RU"/>
              </w:rPr>
              <w:t>/</w:t>
            </w:r>
            <w:r w:rsidRPr="00D42B00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42B0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Point</w:t>
            </w:r>
            <w:proofErr w:type="spellEnd"/>
            <w:r w:rsidRPr="00D42B0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ab/>
            </w:r>
            <w:r w:rsidRPr="00D42B0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gridSpan w:val="2"/>
          </w:tcPr>
          <w:p w:rsidR="00A653FB" w:rsidRPr="00D42B00" w:rsidRDefault="00A653FB" w:rsidP="00C75F2D">
            <w:pPr>
              <w:pStyle w:val="TableParagraph"/>
              <w:spacing w:line="180" w:lineRule="exact"/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2B00">
              <w:rPr>
                <w:rFonts w:ascii="Times New Roman" w:hAnsi="Times New Roman" w:cs="Times New Roman"/>
                <w:w w:val="114"/>
                <w:sz w:val="20"/>
                <w:szCs w:val="20"/>
                <w:lang w:val="ru-RU"/>
              </w:rPr>
              <w:t>2</w:t>
            </w:r>
          </w:p>
        </w:tc>
        <w:tc>
          <w:tcPr>
            <w:tcW w:w="1818" w:type="dxa"/>
            <w:gridSpan w:val="2"/>
          </w:tcPr>
          <w:p w:rsidR="00A653FB" w:rsidRPr="00D42B00" w:rsidRDefault="00A653FB" w:rsidP="00C75F2D">
            <w:pPr>
              <w:pStyle w:val="TableParagraph"/>
              <w:spacing w:line="180" w:lineRule="exact"/>
              <w:ind w:right="8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2B00">
              <w:rPr>
                <w:rFonts w:ascii="Times New Roman" w:hAnsi="Times New Roman" w:cs="Times New Roman"/>
                <w:w w:val="103"/>
                <w:sz w:val="20"/>
                <w:szCs w:val="20"/>
                <w:lang w:val="ru-RU"/>
              </w:rPr>
              <w:t>1</w:t>
            </w:r>
          </w:p>
        </w:tc>
        <w:tc>
          <w:tcPr>
            <w:tcW w:w="1478" w:type="dxa"/>
            <w:gridSpan w:val="2"/>
          </w:tcPr>
          <w:p w:rsidR="00A653FB" w:rsidRPr="00D42B00" w:rsidRDefault="00A653FB" w:rsidP="00C75F2D">
            <w:pPr>
              <w:pStyle w:val="TableParagraph"/>
              <w:spacing w:line="180" w:lineRule="exact"/>
              <w:ind w:right="11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2B00">
              <w:rPr>
                <w:rFonts w:ascii="Times New Roman" w:hAnsi="Times New Roman" w:cs="Times New Roman"/>
                <w:w w:val="114"/>
                <w:sz w:val="20"/>
                <w:szCs w:val="20"/>
                <w:lang w:val="ru-RU"/>
              </w:rPr>
              <w:t>0</w:t>
            </w:r>
          </w:p>
        </w:tc>
      </w:tr>
      <w:tr w:rsidR="00C75F2D" w:rsidRPr="00D42B00" w:rsidTr="00D42B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470"/>
        </w:trPr>
        <w:tc>
          <w:tcPr>
            <w:tcW w:w="5073" w:type="dxa"/>
            <w:gridSpan w:val="2"/>
          </w:tcPr>
          <w:p w:rsidR="00A653FB" w:rsidRPr="00D42B00" w:rsidRDefault="008D24D3" w:rsidP="00C75F2D">
            <w:pPr>
              <w:pStyle w:val="TableParagraph"/>
              <w:spacing w:before="74"/>
              <w:ind w:left="56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D42B0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І</w:t>
            </w:r>
            <w:r w:rsidR="00A653FB" w:rsidRPr="00D42B0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МТ,</w:t>
            </w:r>
            <w:r w:rsidR="00A653FB" w:rsidRPr="00D42B00">
              <w:rPr>
                <w:rFonts w:ascii="Times New Roman" w:hAnsi="Times New Roman" w:cs="Times New Roman"/>
                <w:b/>
                <w:spacing w:val="6"/>
                <w:sz w:val="20"/>
                <w:szCs w:val="20"/>
                <w:lang w:val="ru-RU"/>
              </w:rPr>
              <w:t xml:space="preserve"> </w:t>
            </w:r>
            <w:r w:rsidR="00A653FB" w:rsidRPr="00D42B00"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lang w:val="ru-RU"/>
              </w:rPr>
              <w:t>кг/м</w:t>
            </w:r>
            <w:r w:rsidR="00A653FB" w:rsidRPr="00D42B00">
              <w:rPr>
                <w:rFonts w:ascii="Times New Roman" w:hAnsi="Times New Roman" w:cs="Times New Roman"/>
                <w:b/>
                <w:spacing w:val="2"/>
                <w:position w:val="5"/>
                <w:sz w:val="20"/>
                <w:szCs w:val="20"/>
                <w:lang w:val="ru-RU"/>
              </w:rPr>
              <w:t>2</w:t>
            </w:r>
          </w:p>
          <w:p w:rsidR="00A653FB" w:rsidRPr="00D42B00" w:rsidRDefault="00A653FB" w:rsidP="00C75F2D">
            <w:pPr>
              <w:pStyle w:val="TableParagraph"/>
              <w:spacing w:before="18" w:line="177" w:lineRule="exact"/>
              <w:ind w:left="56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D42B0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BMI,</w:t>
            </w:r>
            <w:r w:rsidRPr="00D42B00">
              <w:rPr>
                <w:rFonts w:ascii="Times New Roman" w:hAnsi="Times New Roman" w:cs="Times New Roman"/>
                <w:b/>
                <w:spacing w:val="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42B0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kg</w:t>
            </w:r>
            <w:proofErr w:type="spellEnd"/>
            <w:r w:rsidRPr="00D42B0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/m</w:t>
            </w:r>
            <w:r w:rsidRPr="00D42B00">
              <w:rPr>
                <w:rFonts w:ascii="Times New Roman" w:hAnsi="Times New Roman" w:cs="Times New Roman"/>
                <w:b/>
                <w:position w:val="5"/>
                <w:sz w:val="20"/>
                <w:szCs w:val="20"/>
                <w:lang w:val="ru-RU"/>
              </w:rPr>
              <w:t>2</w:t>
            </w:r>
            <w:r w:rsidRPr="00D42B0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:</w:t>
            </w:r>
          </w:p>
        </w:tc>
        <w:tc>
          <w:tcPr>
            <w:tcW w:w="1418" w:type="dxa"/>
            <w:gridSpan w:val="2"/>
          </w:tcPr>
          <w:p w:rsidR="00A653FB" w:rsidRPr="00D42B00" w:rsidRDefault="003C4047" w:rsidP="00C75F2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2B0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818" w:type="dxa"/>
            <w:gridSpan w:val="2"/>
          </w:tcPr>
          <w:p w:rsidR="00A653FB" w:rsidRPr="00D42B00" w:rsidRDefault="00A653FB" w:rsidP="00C75F2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78" w:type="dxa"/>
            <w:gridSpan w:val="2"/>
          </w:tcPr>
          <w:p w:rsidR="00A653FB" w:rsidRPr="00D42B00" w:rsidRDefault="00A653FB" w:rsidP="00C75F2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C75F2D" w:rsidRPr="00D42B00" w:rsidTr="00D42B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195"/>
        </w:trPr>
        <w:tc>
          <w:tcPr>
            <w:tcW w:w="5073" w:type="dxa"/>
            <w:gridSpan w:val="2"/>
          </w:tcPr>
          <w:p w:rsidR="00A653FB" w:rsidRPr="00D42B00" w:rsidRDefault="00A653FB" w:rsidP="00C75F2D">
            <w:pPr>
              <w:pStyle w:val="TableParagraph"/>
              <w:tabs>
                <w:tab w:val="left" w:pos="3838"/>
              </w:tabs>
              <w:spacing w:line="176" w:lineRule="exact"/>
              <w:ind w:left="5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2B00">
              <w:rPr>
                <w:rFonts w:ascii="Times New Roman" w:hAnsi="Times New Roman" w:cs="Times New Roman"/>
                <w:w w:val="105"/>
                <w:sz w:val="20"/>
                <w:szCs w:val="20"/>
                <w:lang w:val="ru-RU"/>
              </w:rPr>
              <w:t xml:space="preserve">– </w:t>
            </w:r>
            <w:r w:rsidRPr="00D42B00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  <w:lang w:val="ru-RU"/>
              </w:rPr>
              <w:t xml:space="preserve">18 </w:t>
            </w:r>
            <w:r w:rsidRPr="00D42B00">
              <w:rPr>
                <w:rFonts w:ascii="Times New Roman" w:hAnsi="Times New Roman" w:cs="Times New Roman"/>
                <w:w w:val="105"/>
                <w:sz w:val="20"/>
                <w:szCs w:val="20"/>
                <w:lang w:val="ru-RU"/>
              </w:rPr>
              <w:t>— 25</w:t>
            </w:r>
            <w:r w:rsidRPr="00D42B00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8D24D3" w:rsidRPr="00D42B00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  <w:lang w:val="ru-RU"/>
              </w:rPr>
              <w:t>років</w:t>
            </w:r>
            <w:proofErr w:type="spellEnd"/>
            <w:r w:rsidRPr="00D42B00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  <w:lang w:val="ru-RU"/>
              </w:rPr>
              <w:t xml:space="preserve"> </w:t>
            </w:r>
            <w:r w:rsidRPr="00D42B00">
              <w:rPr>
                <w:rFonts w:ascii="Times New Roman" w:hAnsi="Times New Roman" w:cs="Times New Roman"/>
                <w:w w:val="105"/>
                <w:sz w:val="20"/>
                <w:szCs w:val="20"/>
                <w:lang w:val="ru-RU"/>
              </w:rPr>
              <w:t>(</w:t>
            </w:r>
            <w:proofErr w:type="spellStart"/>
            <w:r w:rsidRPr="00D42B00">
              <w:rPr>
                <w:rFonts w:ascii="Times New Roman" w:hAnsi="Times New Roman" w:cs="Times New Roman"/>
                <w:w w:val="105"/>
                <w:sz w:val="20"/>
                <w:szCs w:val="20"/>
                <w:lang w:val="ru-RU"/>
              </w:rPr>
              <w:t>years</w:t>
            </w:r>
            <w:proofErr w:type="spellEnd"/>
            <w:r w:rsidRPr="00D42B00">
              <w:rPr>
                <w:rFonts w:ascii="Times New Roman" w:hAnsi="Times New Roman" w:cs="Times New Roman"/>
                <w:w w:val="105"/>
                <w:sz w:val="20"/>
                <w:szCs w:val="20"/>
                <w:lang w:val="ru-RU"/>
              </w:rPr>
              <w:t>)</w:t>
            </w:r>
            <w:r w:rsidRPr="00D42B00">
              <w:rPr>
                <w:rFonts w:ascii="Times New Roman" w:hAnsi="Times New Roman" w:cs="Times New Roman"/>
                <w:w w:val="105"/>
                <w:sz w:val="20"/>
                <w:szCs w:val="20"/>
                <w:lang w:val="ru-RU"/>
              </w:rPr>
              <w:tab/>
              <w:t>23 —</w:t>
            </w:r>
            <w:r w:rsidRPr="00D42B00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  <w:lang w:val="ru-RU"/>
              </w:rPr>
              <w:t xml:space="preserve"> </w:t>
            </w:r>
            <w:r w:rsidRPr="00D42B00">
              <w:rPr>
                <w:rFonts w:ascii="Times New Roman" w:hAnsi="Times New Roman" w:cs="Times New Roman"/>
                <w:w w:val="105"/>
                <w:sz w:val="20"/>
                <w:szCs w:val="20"/>
                <w:lang w:val="ru-RU"/>
              </w:rPr>
              <w:t>18,5</w:t>
            </w:r>
          </w:p>
        </w:tc>
        <w:tc>
          <w:tcPr>
            <w:tcW w:w="1418" w:type="dxa"/>
            <w:gridSpan w:val="2"/>
          </w:tcPr>
          <w:p w:rsidR="00A653FB" w:rsidRPr="00D42B00" w:rsidRDefault="00A653FB" w:rsidP="00C75F2D">
            <w:pPr>
              <w:pStyle w:val="TableParagraph"/>
              <w:spacing w:line="176" w:lineRule="exact"/>
              <w:ind w:right="416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2B00">
              <w:rPr>
                <w:rFonts w:ascii="Times New Roman" w:hAnsi="Times New Roman" w:cs="Times New Roman"/>
                <w:w w:val="105"/>
                <w:sz w:val="20"/>
                <w:szCs w:val="20"/>
                <w:lang w:val="ru-RU"/>
              </w:rPr>
              <w:t>18,5 — 17</w:t>
            </w:r>
          </w:p>
        </w:tc>
        <w:tc>
          <w:tcPr>
            <w:tcW w:w="1818" w:type="dxa"/>
            <w:gridSpan w:val="2"/>
          </w:tcPr>
          <w:p w:rsidR="00A653FB" w:rsidRPr="00D42B00" w:rsidRDefault="00A653FB" w:rsidP="00C75F2D">
            <w:pPr>
              <w:pStyle w:val="TableParagraph"/>
              <w:spacing w:line="176" w:lineRule="exact"/>
              <w:ind w:left="4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2B00">
              <w:rPr>
                <w:rFonts w:ascii="Times New Roman" w:hAnsi="Times New Roman" w:cs="Times New Roman"/>
                <w:w w:val="105"/>
                <w:sz w:val="20"/>
                <w:szCs w:val="20"/>
                <w:lang w:val="ru-RU"/>
              </w:rPr>
              <w:t>16,9 — 15</w:t>
            </w:r>
          </w:p>
        </w:tc>
        <w:tc>
          <w:tcPr>
            <w:tcW w:w="1478" w:type="dxa"/>
            <w:gridSpan w:val="2"/>
          </w:tcPr>
          <w:p w:rsidR="00A653FB" w:rsidRPr="00D42B00" w:rsidRDefault="00A653FB" w:rsidP="00C75F2D">
            <w:pPr>
              <w:pStyle w:val="TableParagraph"/>
              <w:spacing w:line="176" w:lineRule="exact"/>
              <w:ind w:left="55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2B00">
              <w:rPr>
                <w:rFonts w:ascii="Times New Roman" w:hAnsi="Times New Roman" w:cs="Times New Roman"/>
                <w:w w:val="105"/>
                <w:sz w:val="20"/>
                <w:szCs w:val="20"/>
                <w:lang w:val="ru-RU"/>
              </w:rPr>
              <w:t>&lt;15</w:t>
            </w:r>
          </w:p>
        </w:tc>
      </w:tr>
      <w:tr w:rsidR="00C75F2D" w:rsidRPr="00D42B00" w:rsidTr="00D42B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59"/>
        </w:trPr>
        <w:tc>
          <w:tcPr>
            <w:tcW w:w="5073" w:type="dxa"/>
            <w:gridSpan w:val="2"/>
          </w:tcPr>
          <w:p w:rsidR="00A653FB" w:rsidRPr="00D42B00" w:rsidRDefault="00A653FB" w:rsidP="00C75F2D">
            <w:pPr>
              <w:pStyle w:val="TableParagraph"/>
              <w:tabs>
                <w:tab w:val="right" w:pos="4496"/>
              </w:tabs>
              <w:spacing w:before="4"/>
              <w:ind w:left="5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D42B00">
              <w:rPr>
                <w:rFonts w:ascii="Times New Roman" w:hAnsi="Times New Roman" w:cs="Times New Roman"/>
                <w:w w:val="105"/>
                <w:sz w:val="20"/>
                <w:szCs w:val="20"/>
                <w:lang w:val="ru-RU"/>
              </w:rPr>
              <w:t>– &gt;</w:t>
            </w:r>
            <w:proofErr w:type="gramEnd"/>
            <w:r w:rsidRPr="00D42B00">
              <w:rPr>
                <w:rFonts w:ascii="Times New Roman" w:hAnsi="Times New Roman" w:cs="Times New Roman"/>
                <w:w w:val="105"/>
                <w:sz w:val="20"/>
                <w:szCs w:val="20"/>
                <w:lang w:val="ru-RU"/>
              </w:rPr>
              <w:t xml:space="preserve"> 25</w:t>
            </w:r>
            <w:r w:rsidRPr="00D42B00">
              <w:rPr>
                <w:rFonts w:ascii="Times New Roman" w:hAnsi="Times New Roman" w:cs="Times New Roman"/>
                <w:spacing w:val="-15"/>
                <w:w w:val="105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8D24D3" w:rsidRPr="00D42B00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  <w:lang w:val="ru-RU"/>
              </w:rPr>
              <w:t>років</w:t>
            </w:r>
            <w:proofErr w:type="spellEnd"/>
            <w:r w:rsidRPr="00D42B00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  <w:lang w:val="ru-RU"/>
              </w:rPr>
              <w:t xml:space="preserve"> </w:t>
            </w:r>
            <w:r w:rsidRPr="00D42B00">
              <w:rPr>
                <w:rFonts w:ascii="Times New Roman" w:hAnsi="Times New Roman" w:cs="Times New Roman"/>
                <w:w w:val="105"/>
                <w:sz w:val="20"/>
                <w:szCs w:val="20"/>
                <w:lang w:val="ru-RU"/>
              </w:rPr>
              <w:t>(</w:t>
            </w:r>
            <w:proofErr w:type="spellStart"/>
            <w:r w:rsidRPr="00D42B00">
              <w:rPr>
                <w:rFonts w:ascii="Times New Roman" w:hAnsi="Times New Roman" w:cs="Times New Roman"/>
                <w:w w:val="105"/>
                <w:sz w:val="20"/>
                <w:szCs w:val="20"/>
                <w:lang w:val="ru-RU"/>
              </w:rPr>
              <w:t>years</w:t>
            </w:r>
            <w:proofErr w:type="spellEnd"/>
            <w:r w:rsidRPr="00D42B00">
              <w:rPr>
                <w:rFonts w:ascii="Times New Roman" w:hAnsi="Times New Roman" w:cs="Times New Roman"/>
                <w:w w:val="105"/>
                <w:sz w:val="20"/>
                <w:szCs w:val="20"/>
                <w:lang w:val="ru-RU"/>
              </w:rPr>
              <w:t>)</w:t>
            </w:r>
            <w:r w:rsidRPr="00D42B00">
              <w:rPr>
                <w:rFonts w:ascii="Times New Roman" w:hAnsi="Times New Roman" w:cs="Times New Roman"/>
                <w:w w:val="105"/>
                <w:sz w:val="20"/>
                <w:szCs w:val="20"/>
                <w:lang w:val="ru-RU"/>
              </w:rPr>
              <w:tab/>
              <w:t>26 —</w:t>
            </w:r>
            <w:r w:rsidRPr="00D42B00">
              <w:rPr>
                <w:rFonts w:ascii="Times New Roman" w:hAnsi="Times New Roman" w:cs="Times New Roman"/>
                <w:spacing w:val="-11"/>
                <w:w w:val="105"/>
                <w:sz w:val="20"/>
                <w:szCs w:val="20"/>
                <w:lang w:val="ru-RU"/>
              </w:rPr>
              <w:t xml:space="preserve"> </w:t>
            </w:r>
            <w:r w:rsidRPr="00D42B00">
              <w:rPr>
                <w:rFonts w:ascii="Times New Roman" w:hAnsi="Times New Roman" w:cs="Times New Roman"/>
                <w:w w:val="105"/>
                <w:sz w:val="20"/>
                <w:szCs w:val="20"/>
                <w:lang w:val="ru-RU"/>
              </w:rPr>
              <w:t>19</w:t>
            </w:r>
          </w:p>
        </w:tc>
        <w:tc>
          <w:tcPr>
            <w:tcW w:w="1418" w:type="dxa"/>
            <w:gridSpan w:val="2"/>
          </w:tcPr>
          <w:p w:rsidR="00A653FB" w:rsidRPr="00D42B00" w:rsidRDefault="00A653FB" w:rsidP="00C75F2D">
            <w:pPr>
              <w:pStyle w:val="TableParagraph"/>
              <w:spacing w:before="3"/>
              <w:ind w:right="420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2B00">
              <w:rPr>
                <w:rFonts w:ascii="Times New Roman" w:hAnsi="Times New Roman" w:cs="Times New Roman"/>
                <w:w w:val="105"/>
                <w:sz w:val="20"/>
                <w:szCs w:val="20"/>
                <w:lang w:val="ru-RU"/>
              </w:rPr>
              <w:t>19 — 17,5</w:t>
            </w:r>
          </w:p>
        </w:tc>
        <w:tc>
          <w:tcPr>
            <w:tcW w:w="1818" w:type="dxa"/>
            <w:gridSpan w:val="2"/>
          </w:tcPr>
          <w:p w:rsidR="00A653FB" w:rsidRPr="00D42B00" w:rsidRDefault="00A653FB" w:rsidP="00C75F2D">
            <w:pPr>
              <w:pStyle w:val="TableParagraph"/>
              <w:spacing w:before="3"/>
              <w:ind w:left="41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2B00">
              <w:rPr>
                <w:rFonts w:ascii="Times New Roman" w:hAnsi="Times New Roman" w:cs="Times New Roman"/>
                <w:w w:val="105"/>
                <w:sz w:val="20"/>
                <w:szCs w:val="20"/>
                <w:lang w:val="ru-RU"/>
              </w:rPr>
              <w:t>17,5 — 15,5</w:t>
            </w:r>
          </w:p>
        </w:tc>
        <w:tc>
          <w:tcPr>
            <w:tcW w:w="1478" w:type="dxa"/>
            <w:gridSpan w:val="2"/>
          </w:tcPr>
          <w:p w:rsidR="00A653FB" w:rsidRPr="00D42B00" w:rsidRDefault="00A653FB" w:rsidP="00C75F2D">
            <w:pPr>
              <w:pStyle w:val="TableParagraph"/>
              <w:spacing w:before="3"/>
              <w:ind w:left="48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2B0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&lt;15,5</w:t>
            </w:r>
          </w:p>
        </w:tc>
      </w:tr>
      <w:tr w:rsidR="00C75F2D" w:rsidRPr="006A0132" w:rsidTr="00D42B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470"/>
        </w:trPr>
        <w:tc>
          <w:tcPr>
            <w:tcW w:w="5073" w:type="dxa"/>
            <w:gridSpan w:val="2"/>
          </w:tcPr>
          <w:p w:rsidR="00A653FB" w:rsidRPr="00D42B00" w:rsidRDefault="00A653FB" w:rsidP="00C75F2D">
            <w:pPr>
              <w:pStyle w:val="TableParagraph"/>
              <w:spacing w:before="74"/>
              <w:ind w:left="5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42B0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</w:t>
            </w:r>
            <w:r w:rsidR="00D42B00" w:rsidRPr="00D42B0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</w:t>
            </w:r>
            <w:r w:rsidRPr="00D42B0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</w:t>
            </w:r>
            <w:proofErr w:type="spellEnd"/>
            <w:r w:rsidRPr="00D42B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D42B0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см</w:t>
            </w:r>
          </w:p>
          <w:p w:rsidR="00A653FB" w:rsidRPr="00D42B00" w:rsidRDefault="00A653FB" w:rsidP="00C75F2D">
            <w:pPr>
              <w:pStyle w:val="TableParagraph"/>
              <w:spacing w:before="18" w:line="177" w:lineRule="exact"/>
              <w:ind w:left="5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B00">
              <w:rPr>
                <w:rFonts w:ascii="Times New Roman" w:hAnsi="Times New Roman" w:cs="Times New Roman"/>
                <w:b/>
                <w:sz w:val="20"/>
                <w:szCs w:val="20"/>
              </w:rPr>
              <w:t>Mid-arm circumference, cm:</w:t>
            </w:r>
          </w:p>
        </w:tc>
        <w:tc>
          <w:tcPr>
            <w:tcW w:w="1418" w:type="dxa"/>
            <w:gridSpan w:val="2"/>
          </w:tcPr>
          <w:p w:rsidR="00A653FB" w:rsidRPr="00D42B00" w:rsidRDefault="00A653FB" w:rsidP="00C75F2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gridSpan w:val="2"/>
          </w:tcPr>
          <w:p w:rsidR="00A653FB" w:rsidRPr="00D42B00" w:rsidRDefault="00A653FB" w:rsidP="00C75F2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gridSpan w:val="2"/>
          </w:tcPr>
          <w:p w:rsidR="00A653FB" w:rsidRPr="00D42B00" w:rsidRDefault="00A653FB" w:rsidP="00C75F2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5F2D" w:rsidRPr="00D42B00" w:rsidTr="00D42B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195"/>
        </w:trPr>
        <w:tc>
          <w:tcPr>
            <w:tcW w:w="5073" w:type="dxa"/>
            <w:gridSpan w:val="2"/>
          </w:tcPr>
          <w:p w:rsidR="00A653FB" w:rsidRPr="00D42B00" w:rsidRDefault="00A653FB" w:rsidP="00C75F2D">
            <w:pPr>
              <w:pStyle w:val="TableParagraph"/>
              <w:tabs>
                <w:tab w:val="right" w:pos="4500"/>
              </w:tabs>
              <w:spacing w:line="176" w:lineRule="exact"/>
              <w:ind w:left="5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2B00">
              <w:rPr>
                <w:rFonts w:ascii="Times New Roman" w:hAnsi="Times New Roman" w:cs="Times New Roman"/>
                <w:w w:val="115"/>
                <w:sz w:val="20"/>
                <w:szCs w:val="20"/>
                <w:lang w:val="ru-RU"/>
              </w:rPr>
              <w:t xml:space="preserve">– </w:t>
            </w:r>
            <w:proofErr w:type="spellStart"/>
            <w:r w:rsidRPr="00D42B00">
              <w:rPr>
                <w:rFonts w:ascii="Times New Roman" w:hAnsi="Times New Roman" w:cs="Times New Roman"/>
                <w:spacing w:val="3"/>
                <w:w w:val="115"/>
                <w:sz w:val="20"/>
                <w:szCs w:val="20"/>
                <w:lang w:val="ru-RU"/>
              </w:rPr>
              <w:t>ж</w:t>
            </w:r>
            <w:r w:rsidR="008D24D3" w:rsidRPr="00D42B00">
              <w:rPr>
                <w:rFonts w:ascii="Times New Roman" w:hAnsi="Times New Roman" w:cs="Times New Roman"/>
                <w:spacing w:val="3"/>
                <w:w w:val="115"/>
                <w:sz w:val="20"/>
                <w:szCs w:val="20"/>
                <w:lang w:val="ru-RU"/>
              </w:rPr>
              <w:t>інки</w:t>
            </w:r>
            <w:proofErr w:type="spellEnd"/>
            <w:r w:rsidRPr="00D42B00">
              <w:rPr>
                <w:rFonts w:ascii="Times New Roman" w:hAnsi="Times New Roman" w:cs="Times New Roman"/>
                <w:spacing w:val="-20"/>
                <w:w w:val="115"/>
                <w:sz w:val="20"/>
                <w:szCs w:val="20"/>
                <w:lang w:val="ru-RU"/>
              </w:rPr>
              <w:t xml:space="preserve"> </w:t>
            </w:r>
            <w:r w:rsidRPr="00D42B00">
              <w:rPr>
                <w:rFonts w:ascii="Times New Roman" w:hAnsi="Times New Roman" w:cs="Times New Roman"/>
                <w:w w:val="115"/>
                <w:sz w:val="20"/>
                <w:szCs w:val="20"/>
                <w:lang w:val="ru-RU"/>
              </w:rPr>
              <w:t>/</w:t>
            </w:r>
            <w:r w:rsidRPr="00D42B00">
              <w:rPr>
                <w:rFonts w:ascii="Times New Roman" w:hAnsi="Times New Roman" w:cs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42B00">
              <w:rPr>
                <w:rFonts w:ascii="Times New Roman" w:hAnsi="Times New Roman" w:cs="Times New Roman"/>
                <w:w w:val="115"/>
                <w:sz w:val="20"/>
                <w:szCs w:val="20"/>
                <w:lang w:val="ru-RU"/>
              </w:rPr>
              <w:t>women</w:t>
            </w:r>
            <w:proofErr w:type="spellEnd"/>
            <w:r w:rsidRPr="00D42B00">
              <w:rPr>
                <w:rFonts w:ascii="Times New Roman" w:hAnsi="Times New Roman" w:cs="Times New Roman"/>
                <w:w w:val="115"/>
                <w:sz w:val="20"/>
                <w:szCs w:val="20"/>
                <w:lang w:val="ru-RU"/>
              </w:rPr>
              <w:tab/>
              <w:t>29 —</w:t>
            </w:r>
            <w:r w:rsidRPr="00D42B00">
              <w:rPr>
                <w:rFonts w:ascii="Times New Roman" w:hAnsi="Times New Roman" w:cs="Times New Roman"/>
                <w:spacing w:val="-25"/>
                <w:w w:val="115"/>
                <w:sz w:val="20"/>
                <w:szCs w:val="20"/>
                <w:lang w:val="ru-RU"/>
              </w:rPr>
              <w:t xml:space="preserve"> </w:t>
            </w:r>
            <w:r w:rsidRPr="00D42B00">
              <w:rPr>
                <w:rFonts w:ascii="Times New Roman" w:hAnsi="Times New Roman" w:cs="Times New Roman"/>
                <w:w w:val="115"/>
                <w:sz w:val="20"/>
                <w:szCs w:val="20"/>
                <w:lang w:val="ru-RU"/>
              </w:rPr>
              <w:t>26</w:t>
            </w:r>
          </w:p>
        </w:tc>
        <w:tc>
          <w:tcPr>
            <w:tcW w:w="1418" w:type="dxa"/>
            <w:gridSpan w:val="2"/>
          </w:tcPr>
          <w:p w:rsidR="00A653FB" w:rsidRPr="00D42B00" w:rsidRDefault="00A653FB" w:rsidP="00C75F2D">
            <w:pPr>
              <w:pStyle w:val="TableParagraph"/>
              <w:spacing w:line="176" w:lineRule="exact"/>
              <w:ind w:right="466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2B00">
              <w:rPr>
                <w:rFonts w:ascii="Times New Roman" w:hAnsi="Times New Roman" w:cs="Times New Roman"/>
                <w:w w:val="110"/>
                <w:sz w:val="20"/>
                <w:szCs w:val="20"/>
                <w:lang w:val="ru-RU"/>
              </w:rPr>
              <w:t>26 — 23</w:t>
            </w:r>
          </w:p>
        </w:tc>
        <w:tc>
          <w:tcPr>
            <w:tcW w:w="1818" w:type="dxa"/>
            <w:gridSpan w:val="2"/>
          </w:tcPr>
          <w:p w:rsidR="00A653FB" w:rsidRPr="00D42B00" w:rsidRDefault="00A653FB" w:rsidP="00C75F2D">
            <w:pPr>
              <w:pStyle w:val="TableParagraph"/>
              <w:spacing w:line="176" w:lineRule="exact"/>
              <w:ind w:left="52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2B00">
              <w:rPr>
                <w:rFonts w:ascii="Times New Roman" w:hAnsi="Times New Roman" w:cs="Times New Roman"/>
                <w:w w:val="110"/>
                <w:sz w:val="20"/>
                <w:szCs w:val="20"/>
                <w:lang w:val="ru-RU"/>
              </w:rPr>
              <w:t>23 — 20</w:t>
            </w:r>
          </w:p>
        </w:tc>
        <w:tc>
          <w:tcPr>
            <w:tcW w:w="1478" w:type="dxa"/>
            <w:gridSpan w:val="2"/>
          </w:tcPr>
          <w:p w:rsidR="00A653FB" w:rsidRPr="00D42B00" w:rsidRDefault="00A653FB" w:rsidP="00C75F2D">
            <w:pPr>
              <w:pStyle w:val="TableParagraph"/>
              <w:spacing w:line="176" w:lineRule="exact"/>
              <w:ind w:left="5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2B00">
              <w:rPr>
                <w:rFonts w:ascii="Times New Roman" w:hAnsi="Times New Roman" w:cs="Times New Roman"/>
                <w:w w:val="110"/>
                <w:sz w:val="20"/>
                <w:szCs w:val="20"/>
                <w:lang w:val="ru-RU"/>
              </w:rPr>
              <w:t>&lt;20</w:t>
            </w:r>
          </w:p>
        </w:tc>
      </w:tr>
      <w:tr w:rsidR="00C75F2D" w:rsidRPr="00D42B00" w:rsidTr="00D42B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59"/>
        </w:trPr>
        <w:tc>
          <w:tcPr>
            <w:tcW w:w="5073" w:type="dxa"/>
            <w:gridSpan w:val="2"/>
          </w:tcPr>
          <w:p w:rsidR="00A653FB" w:rsidRPr="00D42B00" w:rsidRDefault="00A653FB" w:rsidP="00C75F2D">
            <w:pPr>
              <w:pStyle w:val="TableParagraph"/>
              <w:tabs>
                <w:tab w:val="right" w:pos="4501"/>
              </w:tabs>
              <w:spacing w:before="4"/>
              <w:ind w:left="5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2B00">
              <w:rPr>
                <w:rFonts w:ascii="Times New Roman" w:hAnsi="Times New Roman" w:cs="Times New Roman"/>
                <w:w w:val="115"/>
                <w:sz w:val="20"/>
                <w:szCs w:val="20"/>
                <w:lang w:val="ru-RU"/>
              </w:rPr>
              <w:t xml:space="preserve">– </w:t>
            </w:r>
            <w:proofErr w:type="spellStart"/>
            <w:r w:rsidR="008D24D3" w:rsidRPr="00D42B00">
              <w:rPr>
                <w:rFonts w:ascii="Times New Roman" w:hAnsi="Times New Roman" w:cs="Times New Roman"/>
                <w:spacing w:val="5"/>
                <w:w w:val="115"/>
                <w:sz w:val="20"/>
                <w:szCs w:val="20"/>
                <w:lang w:val="ru-RU"/>
              </w:rPr>
              <w:t>чоловіки</w:t>
            </w:r>
            <w:proofErr w:type="spellEnd"/>
            <w:r w:rsidRPr="00D42B00">
              <w:rPr>
                <w:rFonts w:ascii="Times New Roman" w:hAnsi="Times New Roman" w:cs="Times New Roman"/>
                <w:spacing w:val="-20"/>
                <w:w w:val="115"/>
                <w:sz w:val="20"/>
                <w:szCs w:val="20"/>
                <w:lang w:val="ru-RU"/>
              </w:rPr>
              <w:t xml:space="preserve"> </w:t>
            </w:r>
            <w:r w:rsidRPr="00D42B00">
              <w:rPr>
                <w:rFonts w:ascii="Times New Roman" w:hAnsi="Times New Roman" w:cs="Times New Roman"/>
                <w:w w:val="115"/>
                <w:sz w:val="20"/>
                <w:szCs w:val="20"/>
                <w:lang w:val="ru-RU"/>
              </w:rPr>
              <w:t>/</w:t>
            </w:r>
            <w:r w:rsidRPr="00D42B00">
              <w:rPr>
                <w:rFonts w:ascii="Times New Roman" w:hAnsi="Times New Roman" w:cs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42B00">
              <w:rPr>
                <w:rFonts w:ascii="Times New Roman" w:hAnsi="Times New Roman" w:cs="Times New Roman"/>
                <w:w w:val="115"/>
                <w:sz w:val="20"/>
                <w:szCs w:val="20"/>
                <w:lang w:val="ru-RU"/>
              </w:rPr>
              <w:t>men</w:t>
            </w:r>
            <w:proofErr w:type="spellEnd"/>
            <w:r w:rsidRPr="00D42B00">
              <w:rPr>
                <w:rFonts w:ascii="Times New Roman" w:hAnsi="Times New Roman" w:cs="Times New Roman"/>
                <w:w w:val="115"/>
                <w:sz w:val="20"/>
                <w:szCs w:val="20"/>
                <w:lang w:val="ru-RU"/>
              </w:rPr>
              <w:tab/>
              <w:t>28 —</w:t>
            </w:r>
            <w:r w:rsidRPr="00D42B00">
              <w:rPr>
                <w:rFonts w:ascii="Times New Roman" w:hAnsi="Times New Roman" w:cs="Times New Roman"/>
                <w:spacing w:val="-26"/>
                <w:w w:val="115"/>
                <w:sz w:val="20"/>
                <w:szCs w:val="20"/>
                <w:lang w:val="ru-RU"/>
              </w:rPr>
              <w:t xml:space="preserve"> </w:t>
            </w:r>
            <w:r w:rsidRPr="00D42B00">
              <w:rPr>
                <w:rFonts w:ascii="Times New Roman" w:hAnsi="Times New Roman" w:cs="Times New Roman"/>
                <w:w w:val="115"/>
                <w:sz w:val="20"/>
                <w:szCs w:val="20"/>
                <w:lang w:val="ru-RU"/>
              </w:rPr>
              <w:t>25</w:t>
            </w:r>
          </w:p>
        </w:tc>
        <w:tc>
          <w:tcPr>
            <w:tcW w:w="1418" w:type="dxa"/>
            <w:gridSpan w:val="2"/>
          </w:tcPr>
          <w:p w:rsidR="00A653FB" w:rsidRPr="00D42B00" w:rsidRDefault="00A653FB" w:rsidP="00C75F2D">
            <w:pPr>
              <w:pStyle w:val="TableParagraph"/>
              <w:spacing w:before="3"/>
              <w:ind w:right="403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2B00">
              <w:rPr>
                <w:rFonts w:ascii="Times New Roman" w:hAnsi="Times New Roman" w:cs="Times New Roman"/>
                <w:w w:val="105"/>
                <w:sz w:val="20"/>
                <w:szCs w:val="20"/>
                <w:lang w:val="ru-RU"/>
              </w:rPr>
              <w:t>25 — 22,5</w:t>
            </w:r>
          </w:p>
        </w:tc>
        <w:tc>
          <w:tcPr>
            <w:tcW w:w="1818" w:type="dxa"/>
            <w:gridSpan w:val="2"/>
          </w:tcPr>
          <w:p w:rsidR="00A653FB" w:rsidRPr="00D42B00" w:rsidRDefault="00A653FB" w:rsidP="00C75F2D">
            <w:pPr>
              <w:pStyle w:val="TableParagraph"/>
              <w:spacing w:before="3"/>
              <w:ind w:left="40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2B00">
              <w:rPr>
                <w:rFonts w:ascii="Times New Roman" w:hAnsi="Times New Roman" w:cs="Times New Roman"/>
                <w:w w:val="105"/>
                <w:sz w:val="20"/>
                <w:szCs w:val="20"/>
                <w:lang w:val="ru-RU"/>
              </w:rPr>
              <w:t>22,5 — 19,5</w:t>
            </w:r>
          </w:p>
        </w:tc>
        <w:tc>
          <w:tcPr>
            <w:tcW w:w="1478" w:type="dxa"/>
            <w:gridSpan w:val="2"/>
          </w:tcPr>
          <w:p w:rsidR="00A653FB" w:rsidRPr="00D42B00" w:rsidRDefault="00A653FB" w:rsidP="00C75F2D">
            <w:pPr>
              <w:pStyle w:val="TableParagraph"/>
              <w:spacing w:before="3"/>
              <w:ind w:left="48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2B0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&lt;19,5</w:t>
            </w:r>
          </w:p>
        </w:tc>
      </w:tr>
      <w:tr w:rsidR="00C75F2D" w:rsidRPr="006A0132" w:rsidTr="00D42B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470"/>
        </w:trPr>
        <w:tc>
          <w:tcPr>
            <w:tcW w:w="5073" w:type="dxa"/>
            <w:gridSpan w:val="2"/>
          </w:tcPr>
          <w:p w:rsidR="00A653FB" w:rsidRPr="00D42B00" w:rsidRDefault="006A0132" w:rsidP="00C75F2D">
            <w:pPr>
              <w:pStyle w:val="TableParagraph"/>
              <w:spacing w:before="74"/>
              <w:ind w:left="5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Ш</w:t>
            </w:r>
            <w:r w:rsidR="00A653FB" w:rsidRPr="00D42B0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ЖСТ</w:t>
            </w:r>
            <w:r w:rsidR="00A653FB" w:rsidRPr="00D42B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="00A653FB" w:rsidRPr="00D42B0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мм</w:t>
            </w:r>
            <w:r w:rsidR="00A653FB" w:rsidRPr="00D42B0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A653FB" w:rsidRPr="00D42B00" w:rsidRDefault="00A653FB" w:rsidP="00C75F2D">
            <w:pPr>
              <w:pStyle w:val="TableParagraph"/>
              <w:spacing w:before="18" w:line="177" w:lineRule="exact"/>
              <w:ind w:left="5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B00">
              <w:rPr>
                <w:rFonts w:ascii="Times New Roman" w:hAnsi="Times New Roman" w:cs="Times New Roman"/>
                <w:b/>
                <w:sz w:val="20"/>
                <w:szCs w:val="20"/>
              </w:rPr>
              <w:t>Triceps skinfold thickness, mm</w:t>
            </w:r>
          </w:p>
        </w:tc>
        <w:tc>
          <w:tcPr>
            <w:tcW w:w="1418" w:type="dxa"/>
            <w:gridSpan w:val="2"/>
          </w:tcPr>
          <w:p w:rsidR="00A653FB" w:rsidRPr="00D42B00" w:rsidRDefault="00A653FB" w:rsidP="00C75F2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gridSpan w:val="2"/>
          </w:tcPr>
          <w:p w:rsidR="00A653FB" w:rsidRPr="00D42B00" w:rsidRDefault="00A653FB" w:rsidP="00C75F2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gridSpan w:val="2"/>
          </w:tcPr>
          <w:p w:rsidR="00A653FB" w:rsidRPr="00D42B00" w:rsidRDefault="00A653FB" w:rsidP="00C75F2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5F2D" w:rsidRPr="00D42B00" w:rsidTr="00D42B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195"/>
        </w:trPr>
        <w:tc>
          <w:tcPr>
            <w:tcW w:w="5073" w:type="dxa"/>
            <w:gridSpan w:val="2"/>
          </w:tcPr>
          <w:p w:rsidR="00A653FB" w:rsidRPr="00D42B00" w:rsidRDefault="00A653FB" w:rsidP="00C75F2D">
            <w:pPr>
              <w:pStyle w:val="TableParagraph"/>
              <w:tabs>
                <w:tab w:val="left" w:pos="3821"/>
              </w:tabs>
              <w:spacing w:line="176" w:lineRule="exact"/>
              <w:ind w:left="5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2B00">
              <w:rPr>
                <w:rFonts w:ascii="Times New Roman" w:hAnsi="Times New Roman" w:cs="Times New Roman"/>
                <w:w w:val="110"/>
                <w:sz w:val="20"/>
                <w:szCs w:val="20"/>
                <w:lang w:val="ru-RU"/>
              </w:rPr>
              <w:t xml:space="preserve">– </w:t>
            </w:r>
            <w:proofErr w:type="spellStart"/>
            <w:r w:rsidR="00D42B00" w:rsidRPr="00D42B00">
              <w:rPr>
                <w:rFonts w:ascii="Times New Roman" w:hAnsi="Times New Roman" w:cs="Times New Roman"/>
                <w:spacing w:val="5"/>
                <w:w w:val="115"/>
                <w:sz w:val="20"/>
                <w:szCs w:val="20"/>
                <w:lang w:val="ru-RU"/>
              </w:rPr>
              <w:t>чоловіки</w:t>
            </w:r>
            <w:proofErr w:type="spellEnd"/>
            <w:r w:rsidRPr="00D42B00">
              <w:rPr>
                <w:rFonts w:ascii="Times New Roman" w:hAnsi="Times New Roman" w:cs="Times New Roman"/>
                <w:spacing w:val="-15"/>
                <w:w w:val="110"/>
                <w:sz w:val="20"/>
                <w:szCs w:val="20"/>
                <w:lang w:val="ru-RU"/>
              </w:rPr>
              <w:t xml:space="preserve"> </w:t>
            </w:r>
            <w:r w:rsidRPr="00D42B00">
              <w:rPr>
                <w:rFonts w:ascii="Times New Roman" w:hAnsi="Times New Roman" w:cs="Times New Roman"/>
                <w:w w:val="110"/>
                <w:sz w:val="20"/>
                <w:szCs w:val="20"/>
                <w:lang w:val="ru-RU"/>
              </w:rPr>
              <w:t>/</w:t>
            </w:r>
            <w:r w:rsidRPr="00D42B00">
              <w:rPr>
                <w:rFonts w:ascii="Times New Roman" w:hAnsi="Times New Roman" w:cs="Times New Roman"/>
                <w:spacing w:val="-7"/>
                <w:w w:val="11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42B00">
              <w:rPr>
                <w:rFonts w:ascii="Times New Roman" w:hAnsi="Times New Roman" w:cs="Times New Roman"/>
                <w:w w:val="110"/>
                <w:sz w:val="20"/>
                <w:szCs w:val="20"/>
                <w:lang w:val="ru-RU"/>
              </w:rPr>
              <w:t>men</w:t>
            </w:r>
            <w:proofErr w:type="spellEnd"/>
            <w:r w:rsidRPr="00D42B00">
              <w:rPr>
                <w:rFonts w:ascii="Times New Roman" w:hAnsi="Times New Roman" w:cs="Times New Roman"/>
                <w:w w:val="110"/>
                <w:sz w:val="20"/>
                <w:szCs w:val="20"/>
                <w:lang w:val="ru-RU"/>
              </w:rPr>
              <w:tab/>
              <w:t>10,5 —</w:t>
            </w:r>
            <w:r w:rsidRPr="00D42B00">
              <w:rPr>
                <w:rFonts w:ascii="Times New Roman" w:hAnsi="Times New Roman" w:cs="Times New Roman"/>
                <w:spacing w:val="-17"/>
                <w:w w:val="110"/>
                <w:sz w:val="20"/>
                <w:szCs w:val="20"/>
                <w:lang w:val="ru-RU"/>
              </w:rPr>
              <w:t xml:space="preserve"> </w:t>
            </w:r>
            <w:r w:rsidRPr="00D42B00">
              <w:rPr>
                <w:rFonts w:ascii="Times New Roman" w:hAnsi="Times New Roman" w:cs="Times New Roman"/>
                <w:w w:val="110"/>
                <w:sz w:val="20"/>
                <w:szCs w:val="20"/>
                <w:lang w:val="ru-RU"/>
              </w:rPr>
              <w:t>9,5</w:t>
            </w:r>
          </w:p>
        </w:tc>
        <w:tc>
          <w:tcPr>
            <w:tcW w:w="1418" w:type="dxa"/>
            <w:gridSpan w:val="2"/>
          </w:tcPr>
          <w:p w:rsidR="00A653FB" w:rsidRPr="00D42B00" w:rsidRDefault="00A653FB" w:rsidP="00C75F2D">
            <w:pPr>
              <w:pStyle w:val="TableParagraph"/>
              <w:spacing w:line="176" w:lineRule="exact"/>
              <w:ind w:right="431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2B0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9,5 — 8,4</w:t>
            </w:r>
          </w:p>
        </w:tc>
        <w:tc>
          <w:tcPr>
            <w:tcW w:w="1818" w:type="dxa"/>
            <w:gridSpan w:val="2"/>
          </w:tcPr>
          <w:p w:rsidR="00A653FB" w:rsidRPr="00D42B00" w:rsidRDefault="00A653FB" w:rsidP="00C75F2D">
            <w:pPr>
              <w:pStyle w:val="TableParagraph"/>
              <w:spacing w:line="176" w:lineRule="exact"/>
              <w:ind w:left="49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2B0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8,4 — 7,4</w:t>
            </w:r>
          </w:p>
        </w:tc>
        <w:tc>
          <w:tcPr>
            <w:tcW w:w="1478" w:type="dxa"/>
            <w:gridSpan w:val="2"/>
          </w:tcPr>
          <w:p w:rsidR="00A653FB" w:rsidRPr="00D42B00" w:rsidRDefault="00A653FB" w:rsidP="00C75F2D">
            <w:pPr>
              <w:pStyle w:val="TableParagraph"/>
              <w:spacing w:line="176" w:lineRule="exact"/>
              <w:ind w:left="53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2B0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&lt;7,4</w:t>
            </w:r>
          </w:p>
        </w:tc>
      </w:tr>
      <w:tr w:rsidR="00C75F2D" w:rsidRPr="00D42B00" w:rsidTr="00D42B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59"/>
        </w:trPr>
        <w:tc>
          <w:tcPr>
            <w:tcW w:w="5073" w:type="dxa"/>
            <w:gridSpan w:val="2"/>
          </w:tcPr>
          <w:p w:rsidR="00A653FB" w:rsidRPr="00D42B00" w:rsidRDefault="00A653FB" w:rsidP="00C75F2D">
            <w:pPr>
              <w:pStyle w:val="TableParagraph"/>
              <w:tabs>
                <w:tab w:val="left" w:pos="3845"/>
              </w:tabs>
              <w:spacing w:before="4"/>
              <w:ind w:left="5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2B00">
              <w:rPr>
                <w:rFonts w:ascii="Times New Roman" w:hAnsi="Times New Roman" w:cs="Times New Roman"/>
                <w:w w:val="115"/>
                <w:sz w:val="20"/>
                <w:szCs w:val="20"/>
                <w:lang w:val="ru-RU"/>
              </w:rPr>
              <w:t xml:space="preserve">– </w:t>
            </w:r>
            <w:proofErr w:type="spellStart"/>
            <w:r w:rsidR="00D42B00" w:rsidRPr="00D42B00">
              <w:rPr>
                <w:rFonts w:ascii="Times New Roman" w:hAnsi="Times New Roman" w:cs="Times New Roman"/>
                <w:spacing w:val="3"/>
                <w:w w:val="115"/>
                <w:sz w:val="20"/>
                <w:szCs w:val="20"/>
                <w:lang w:val="ru-RU"/>
              </w:rPr>
              <w:t>жінки</w:t>
            </w:r>
            <w:proofErr w:type="spellEnd"/>
            <w:r w:rsidRPr="00D42B00">
              <w:rPr>
                <w:rFonts w:ascii="Times New Roman" w:hAnsi="Times New Roman" w:cs="Times New Roman"/>
                <w:spacing w:val="-37"/>
                <w:w w:val="115"/>
                <w:sz w:val="20"/>
                <w:szCs w:val="20"/>
                <w:lang w:val="ru-RU"/>
              </w:rPr>
              <w:t xml:space="preserve"> </w:t>
            </w:r>
            <w:r w:rsidRPr="00D42B00">
              <w:rPr>
                <w:rFonts w:ascii="Times New Roman" w:hAnsi="Times New Roman" w:cs="Times New Roman"/>
                <w:w w:val="115"/>
                <w:sz w:val="20"/>
                <w:szCs w:val="20"/>
                <w:lang w:val="ru-RU"/>
              </w:rPr>
              <w:t>/</w:t>
            </w:r>
            <w:r w:rsidRPr="00D42B00">
              <w:rPr>
                <w:rFonts w:ascii="Times New Roman" w:hAnsi="Times New Roman" w:cs="Times New Roman"/>
                <w:spacing w:val="-18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42B00">
              <w:rPr>
                <w:rFonts w:ascii="Times New Roman" w:hAnsi="Times New Roman" w:cs="Times New Roman"/>
                <w:w w:val="115"/>
                <w:sz w:val="20"/>
                <w:szCs w:val="20"/>
                <w:lang w:val="ru-RU"/>
              </w:rPr>
              <w:t>women</w:t>
            </w:r>
            <w:proofErr w:type="spellEnd"/>
            <w:r w:rsidR="00D5438D" w:rsidRPr="00D42B00">
              <w:rPr>
                <w:rFonts w:ascii="Times New Roman" w:hAnsi="Times New Roman" w:cs="Times New Roman"/>
                <w:w w:val="115"/>
                <w:sz w:val="20"/>
                <w:szCs w:val="20"/>
                <w:lang w:val="ru-RU"/>
              </w:rPr>
              <w:t xml:space="preserve"> </w:t>
            </w:r>
            <w:r w:rsidRPr="00D42B00">
              <w:rPr>
                <w:rFonts w:ascii="Times New Roman" w:hAnsi="Times New Roman" w:cs="Times New Roman"/>
                <w:w w:val="115"/>
                <w:sz w:val="20"/>
                <w:szCs w:val="20"/>
                <w:lang w:val="ru-RU"/>
              </w:rPr>
              <w:tab/>
              <w:t>14,5 —</w:t>
            </w:r>
            <w:r w:rsidRPr="00D42B00">
              <w:rPr>
                <w:rFonts w:ascii="Times New Roman" w:hAnsi="Times New Roman" w:cs="Times New Roman"/>
                <w:spacing w:val="-26"/>
                <w:w w:val="115"/>
                <w:sz w:val="20"/>
                <w:szCs w:val="20"/>
                <w:lang w:val="ru-RU"/>
              </w:rPr>
              <w:t xml:space="preserve"> </w:t>
            </w:r>
            <w:r w:rsidRPr="00D42B00">
              <w:rPr>
                <w:rFonts w:ascii="Times New Roman" w:hAnsi="Times New Roman" w:cs="Times New Roman"/>
                <w:w w:val="115"/>
                <w:sz w:val="20"/>
                <w:szCs w:val="20"/>
                <w:lang w:val="ru-RU"/>
              </w:rPr>
              <w:t>13</w:t>
            </w:r>
          </w:p>
        </w:tc>
        <w:tc>
          <w:tcPr>
            <w:tcW w:w="1418" w:type="dxa"/>
            <w:gridSpan w:val="2"/>
          </w:tcPr>
          <w:p w:rsidR="00A653FB" w:rsidRPr="00D42B00" w:rsidRDefault="00A653FB" w:rsidP="00C75F2D">
            <w:pPr>
              <w:pStyle w:val="TableParagraph"/>
              <w:spacing w:before="3"/>
              <w:ind w:right="422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2B0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 — 11,6</w:t>
            </w:r>
          </w:p>
        </w:tc>
        <w:tc>
          <w:tcPr>
            <w:tcW w:w="1818" w:type="dxa"/>
            <w:gridSpan w:val="2"/>
          </w:tcPr>
          <w:p w:rsidR="00A653FB" w:rsidRPr="00D42B00" w:rsidRDefault="00A653FB" w:rsidP="00C75F2D">
            <w:pPr>
              <w:pStyle w:val="TableParagraph"/>
              <w:spacing w:before="3"/>
              <w:ind w:left="42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2B0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11,6 — 10,1</w:t>
            </w:r>
          </w:p>
        </w:tc>
        <w:tc>
          <w:tcPr>
            <w:tcW w:w="1478" w:type="dxa"/>
            <w:gridSpan w:val="2"/>
          </w:tcPr>
          <w:p w:rsidR="00A653FB" w:rsidRPr="00D42B00" w:rsidRDefault="00A653FB" w:rsidP="00C75F2D">
            <w:pPr>
              <w:pStyle w:val="TableParagraph"/>
              <w:spacing w:before="3"/>
              <w:ind w:left="49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2B0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&lt;10,1</w:t>
            </w:r>
          </w:p>
        </w:tc>
      </w:tr>
      <w:tr w:rsidR="00C75F2D" w:rsidRPr="006A0132" w:rsidTr="00D42B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470"/>
        </w:trPr>
        <w:tc>
          <w:tcPr>
            <w:tcW w:w="5073" w:type="dxa"/>
            <w:gridSpan w:val="2"/>
          </w:tcPr>
          <w:p w:rsidR="00A653FB" w:rsidRPr="00D42B00" w:rsidRDefault="00A653FB" w:rsidP="00C75F2D">
            <w:pPr>
              <w:pStyle w:val="TableParagraph"/>
              <w:spacing w:before="74"/>
              <w:ind w:left="5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B0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ОМП</w:t>
            </w:r>
            <w:r w:rsidRPr="00D42B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D42B0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см</w:t>
            </w:r>
            <w:r w:rsidRPr="00D42B0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A653FB" w:rsidRPr="00D42B00" w:rsidRDefault="00A653FB" w:rsidP="00C75F2D">
            <w:pPr>
              <w:pStyle w:val="TableParagraph"/>
              <w:spacing w:before="18" w:line="177" w:lineRule="exact"/>
              <w:ind w:left="5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B00">
              <w:rPr>
                <w:rFonts w:ascii="Times New Roman" w:hAnsi="Times New Roman" w:cs="Times New Roman"/>
                <w:b/>
                <w:sz w:val="20"/>
                <w:szCs w:val="20"/>
              </w:rPr>
              <w:t>Mid-arm muscle circumference, cm</w:t>
            </w:r>
          </w:p>
        </w:tc>
        <w:tc>
          <w:tcPr>
            <w:tcW w:w="1418" w:type="dxa"/>
            <w:gridSpan w:val="2"/>
          </w:tcPr>
          <w:p w:rsidR="00A653FB" w:rsidRPr="00D42B00" w:rsidRDefault="00A653FB" w:rsidP="00C75F2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gridSpan w:val="2"/>
          </w:tcPr>
          <w:p w:rsidR="00A653FB" w:rsidRPr="00D42B00" w:rsidRDefault="00A653FB" w:rsidP="00C75F2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gridSpan w:val="2"/>
          </w:tcPr>
          <w:p w:rsidR="00A653FB" w:rsidRPr="00D42B00" w:rsidRDefault="00A653FB" w:rsidP="00C75F2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5F2D" w:rsidRPr="00D42B00" w:rsidTr="00D42B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195"/>
        </w:trPr>
        <w:tc>
          <w:tcPr>
            <w:tcW w:w="5073" w:type="dxa"/>
            <w:gridSpan w:val="2"/>
          </w:tcPr>
          <w:p w:rsidR="00A653FB" w:rsidRPr="00D42B00" w:rsidRDefault="00A653FB" w:rsidP="00C75F2D">
            <w:pPr>
              <w:pStyle w:val="TableParagraph"/>
              <w:tabs>
                <w:tab w:val="left" w:pos="3934"/>
              </w:tabs>
              <w:spacing w:line="176" w:lineRule="exact"/>
              <w:ind w:left="5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2B00">
              <w:rPr>
                <w:rFonts w:ascii="Times New Roman" w:hAnsi="Times New Roman" w:cs="Times New Roman"/>
                <w:w w:val="110"/>
                <w:sz w:val="20"/>
                <w:szCs w:val="20"/>
                <w:lang w:val="ru-RU"/>
              </w:rPr>
              <w:t xml:space="preserve">– </w:t>
            </w:r>
            <w:proofErr w:type="spellStart"/>
            <w:r w:rsidR="00D42B00" w:rsidRPr="00D42B00">
              <w:rPr>
                <w:rFonts w:ascii="Times New Roman" w:hAnsi="Times New Roman" w:cs="Times New Roman"/>
                <w:spacing w:val="5"/>
                <w:w w:val="115"/>
                <w:sz w:val="20"/>
                <w:szCs w:val="20"/>
                <w:lang w:val="ru-RU"/>
              </w:rPr>
              <w:t>чоловіки</w:t>
            </w:r>
            <w:proofErr w:type="spellEnd"/>
            <w:r w:rsidRPr="00D42B00">
              <w:rPr>
                <w:rFonts w:ascii="Times New Roman" w:hAnsi="Times New Roman" w:cs="Times New Roman"/>
                <w:spacing w:val="-15"/>
                <w:w w:val="110"/>
                <w:sz w:val="20"/>
                <w:szCs w:val="20"/>
                <w:lang w:val="ru-RU"/>
              </w:rPr>
              <w:t xml:space="preserve"> </w:t>
            </w:r>
            <w:r w:rsidRPr="00D42B00">
              <w:rPr>
                <w:rFonts w:ascii="Times New Roman" w:hAnsi="Times New Roman" w:cs="Times New Roman"/>
                <w:w w:val="110"/>
                <w:sz w:val="20"/>
                <w:szCs w:val="20"/>
                <w:lang w:val="ru-RU"/>
              </w:rPr>
              <w:t>/</w:t>
            </w:r>
            <w:r w:rsidRPr="00D42B00">
              <w:rPr>
                <w:rFonts w:ascii="Times New Roman" w:hAnsi="Times New Roman" w:cs="Times New Roman"/>
                <w:spacing w:val="-7"/>
                <w:w w:val="11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42B00">
              <w:rPr>
                <w:rFonts w:ascii="Times New Roman" w:hAnsi="Times New Roman" w:cs="Times New Roman"/>
                <w:w w:val="110"/>
                <w:sz w:val="20"/>
                <w:szCs w:val="20"/>
                <w:lang w:val="ru-RU"/>
              </w:rPr>
              <w:t>men</w:t>
            </w:r>
            <w:proofErr w:type="spellEnd"/>
            <w:r w:rsidRPr="00D42B00">
              <w:rPr>
                <w:rFonts w:ascii="Times New Roman" w:hAnsi="Times New Roman" w:cs="Times New Roman"/>
                <w:w w:val="110"/>
                <w:sz w:val="20"/>
                <w:szCs w:val="20"/>
                <w:lang w:val="ru-RU"/>
              </w:rPr>
              <w:tab/>
              <w:t>25,7-23</w:t>
            </w:r>
          </w:p>
        </w:tc>
        <w:tc>
          <w:tcPr>
            <w:tcW w:w="1418" w:type="dxa"/>
            <w:gridSpan w:val="2"/>
          </w:tcPr>
          <w:p w:rsidR="00A653FB" w:rsidRPr="00D42B00" w:rsidRDefault="00A653FB" w:rsidP="00C75F2D">
            <w:pPr>
              <w:pStyle w:val="TableParagraph"/>
              <w:spacing w:line="176" w:lineRule="exact"/>
              <w:ind w:right="490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2B00">
              <w:rPr>
                <w:rFonts w:ascii="Times New Roman" w:hAnsi="Times New Roman" w:cs="Times New Roman"/>
                <w:w w:val="110"/>
                <w:sz w:val="20"/>
                <w:szCs w:val="20"/>
                <w:lang w:val="ru-RU"/>
              </w:rPr>
              <w:t>23-20,4</w:t>
            </w:r>
          </w:p>
        </w:tc>
        <w:tc>
          <w:tcPr>
            <w:tcW w:w="1818" w:type="dxa"/>
            <w:gridSpan w:val="2"/>
          </w:tcPr>
          <w:p w:rsidR="00A653FB" w:rsidRPr="00D42B00" w:rsidRDefault="00A653FB" w:rsidP="00C75F2D">
            <w:pPr>
              <w:pStyle w:val="TableParagraph"/>
              <w:spacing w:line="176" w:lineRule="exact"/>
              <w:ind w:left="49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2B00">
              <w:rPr>
                <w:rFonts w:ascii="Times New Roman" w:hAnsi="Times New Roman" w:cs="Times New Roman"/>
                <w:w w:val="105"/>
                <w:sz w:val="20"/>
                <w:szCs w:val="20"/>
                <w:lang w:val="ru-RU"/>
              </w:rPr>
              <w:t>20,4-17,5</w:t>
            </w:r>
          </w:p>
        </w:tc>
        <w:tc>
          <w:tcPr>
            <w:tcW w:w="1478" w:type="dxa"/>
            <w:gridSpan w:val="2"/>
          </w:tcPr>
          <w:p w:rsidR="00A653FB" w:rsidRPr="00D42B00" w:rsidRDefault="00A653FB" w:rsidP="00C75F2D">
            <w:pPr>
              <w:pStyle w:val="TableParagraph"/>
              <w:spacing w:line="176" w:lineRule="exact"/>
              <w:ind w:left="49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2B0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&lt;17,5</w:t>
            </w:r>
          </w:p>
        </w:tc>
      </w:tr>
      <w:tr w:rsidR="00C75F2D" w:rsidRPr="00D42B00" w:rsidTr="00D42B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313"/>
        </w:trPr>
        <w:tc>
          <w:tcPr>
            <w:tcW w:w="5073" w:type="dxa"/>
            <w:gridSpan w:val="2"/>
          </w:tcPr>
          <w:p w:rsidR="00A653FB" w:rsidRPr="00D42B00" w:rsidRDefault="00A653FB" w:rsidP="00C75F2D">
            <w:pPr>
              <w:pStyle w:val="TableParagraph"/>
              <w:tabs>
                <w:tab w:val="right" w:pos="4403"/>
              </w:tabs>
              <w:spacing w:before="4"/>
              <w:ind w:left="5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2B00">
              <w:rPr>
                <w:rFonts w:ascii="Times New Roman" w:hAnsi="Times New Roman" w:cs="Times New Roman"/>
                <w:w w:val="115"/>
                <w:sz w:val="20"/>
                <w:szCs w:val="20"/>
                <w:lang w:val="ru-RU"/>
              </w:rPr>
              <w:lastRenderedPageBreak/>
              <w:t xml:space="preserve">– </w:t>
            </w:r>
            <w:proofErr w:type="spellStart"/>
            <w:r w:rsidR="00D42B00" w:rsidRPr="00D42B00">
              <w:rPr>
                <w:rFonts w:ascii="Times New Roman" w:hAnsi="Times New Roman" w:cs="Times New Roman"/>
                <w:spacing w:val="3"/>
                <w:w w:val="115"/>
                <w:sz w:val="20"/>
                <w:szCs w:val="20"/>
                <w:lang w:val="ru-RU"/>
              </w:rPr>
              <w:t>жінки</w:t>
            </w:r>
            <w:proofErr w:type="spellEnd"/>
            <w:r w:rsidRPr="00D42B00">
              <w:rPr>
                <w:rFonts w:ascii="Times New Roman" w:hAnsi="Times New Roman" w:cs="Times New Roman"/>
                <w:spacing w:val="-21"/>
                <w:w w:val="115"/>
                <w:sz w:val="20"/>
                <w:szCs w:val="20"/>
                <w:lang w:val="ru-RU"/>
              </w:rPr>
              <w:t xml:space="preserve"> </w:t>
            </w:r>
            <w:r w:rsidRPr="00D42B00">
              <w:rPr>
                <w:rFonts w:ascii="Times New Roman" w:hAnsi="Times New Roman" w:cs="Times New Roman"/>
                <w:w w:val="115"/>
                <w:sz w:val="20"/>
                <w:szCs w:val="20"/>
                <w:lang w:val="ru-RU"/>
              </w:rPr>
              <w:t>/</w:t>
            </w:r>
            <w:r w:rsidRPr="00D42B00">
              <w:rPr>
                <w:rFonts w:ascii="Times New Roman" w:hAnsi="Times New Roman" w:cs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42B00">
              <w:rPr>
                <w:rFonts w:ascii="Times New Roman" w:hAnsi="Times New Roman" w:cs="Times New Roman"/>
                <w:w w:val="115"/>
                <w:sz w:val="20"/>
                <w:szCs w:val="20"/>
                <w:lang w:val="ru-RU"/>
              </w:rPr>
              <w:t>women</w:t>
            </w:r>
            <w:proofErr w:type="spellEnd"/>
            <w:r w:rsidRPr="00D42B00">
              <w:rPr>
                <w:rFonts w:ascii="Times New Roman" w:hAnsi="Times New Roman" w:cs="Times New Roman"/>
                <w:w w:val="115"/>
                <w:sz w:val="20"/>
                <w:szCs w:val="20"/>
                <w:lang w:val="ru-RU"/>
              </w:rPr>
              <w:tab/>
              <w:t>23-21</w:t>
            </w:r>
          </w:p>
        </w:tc>
        <w:tc>
          <w:tcPr>
            <w:tcW w:w="1418" w:type="dxa"/>
            <w:gridSpan w:val="2"/>
          </w:tcPr>
          <w:p w:rsidR="00A653FB" w:rsidRPr="00D42B00" w:rsidRDefault="00A653FB" w:rsidP="00C75F2D">
            <w:pPr>
              <w:pStyle w:val="TableParagraph"/>
              <w:spacing w:before="3"/>
              <w:ind w:left="5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2B00">
              <w:rPr>
                <w:rFonts w:ascii="Times New Roman" w:hAnsi="Times New Roman" w:cs="Times New Roman"/>
                <w:w w:val="105"/>
                <w:sz w:val="20"/>
                <w:szCs w:val="20"/>
                <w:lang w:val="ru-RU"/>
              </w:rPr>
              <w:t>21-18,5</w:t>
            </w:r>
          </w:p>
        </w:tc>
        <w:tc>
          <w:tcPr>
            <w:tcW w:w="1818" w:type="dxa"/>
            <w:gridSpan w:val="2"/>
          </w:tcPr>
          <w:p w:rsidR="00A653FB" w:rsidRPr="00D42B00" w:rsidRDefault="00A653FB" w:rsidP="00C75F2D">
            <w:pPr>
              <w:pStyle w:val="TableParagraph"/>
              <w:spacing w:before="3"/>
              <w:ind w:left="49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2B00">
              <w:rPr>
                <w:rFonts w:ascii="Times New Roman" w:hAnsi="Times New Roman" w:cs="Times New Roman"/>
                <w:w w:val="105"/>
                <w:sz w:val="20"/>
                <w:szCs w:val="20"/>
                <w:lang w:val="ru-RU"/>
              </w:rPr>
              <w:t>18,5-16,5</w:t>
            </w:r>
          </w:p>
        </w:tc>
        <w:tc>
          <w:tcPr>
            <w:tcW w:w="1478" w:type="dxa"/>
            <w:gridSpan w:val="2"/>
          </w:tcPr>
          <w:p w:rsidR="00A653FB" w:rsidRPr="00D42B00" w:rsidRDefault="00A653FB" w:rsidP="00C75F2D">
            <w:pPr>
              <w:pStyle w:val="TableParagraph"/>
              <w:spacing w:before="3"/>
              <w:ind w:left="48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2B0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&lt;16,5</w:t>
            </w:r>
          </w:p>
        </w:tc>
      </w:tr>
      <w:tr w:rsidR="00C75F2D" w:rsidRPr="00D42B00" w:rsidTr="00D42B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476"/>
        </w:trPr>
        <w:tc>
          <w:tcPr>
            <w:tcW w:w="5073" w:type="dxa"/>
            <w:gridSpan w:val="2"/>
          </w:tcPr>
          <w:p w:rsidR="00A653FB" w:rsidRPr="00D42B00" w:rsidRDefault="00D42B00" w:rsidP="00C75F2D">
            <w:pPr>
              <w:pStyle w:val="TableParagraph"/>
              <w:tabs>
                <w:tab w:val="left" w:pos="4041"/>
              </w:tabs>
              <w:spacing w:before="20"/>
              <w:ind w:left="5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3"/>
                <w:sz w:val="20"/>
                <w:szCs w:val="20"/>
                <w:lang w:val="ru-RU"/>
              </w:rPr>
              <w:t>Загальн</w:t>
            </w:r>
            <w:r w:rsidR="00A653FB" w:rsidRPr="00D42B00">
              <w:rPr>
                <w:rFonts w:ascii="Times New Roman" w:hAnsi="Times New Roman" w:cs="Times New Roman"/>
                <w:b/>
                <w:spacing w:val="3"/>
                <w:sz w:val="20"/>
                <w:szCs w:val="20"/>
                <w:lang w:val="ru-RU"/>
              </w:rPr>
              <w:t>ий</w:t>
            </w:r>
            <w:proofErr w:type="spellEnd"/>
            <w:r w:rsidR="00A653FB" w:rsidRPr="00D42B00"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A653FB" w:rsidRPr="00D42B00">
              <w:rPr>
                <w:rFonts w:ascii="Times New Roman" w:hAnsi="Times New Roman" w:cs="Times New Roman"/>
                <w:b/>
                <w:spacing w:val="3"/>
                <w:sz w:val="20"/>
                <w:szCs w:val="20"/>
                <w:lang w:val="ru-RU"/>
              </w:rPr>
              <w:t>б</w:t>
            </w:r>
            <w:r>
              <w:rPr>
                <w:rFonts w:ascii="Times New Roman" w:hAnsi="Times New Roman" w:cs="Times New Roman"/>
                <w:b/>
                <w:spacing w:val="3"/>
                <w:sz w:val="20"/>
                <w:szCs w:val="20"/>
                <w:lang w:val="ru-RU"/>
              </w:rPr>
              <w:t>і</w:t>
            </w:r>
            <w:r w:rsidR="00A653FB" w:rsidRPr="00D42B00">
              <w:rPr>
                <w:rFonts w:ascii="Times New Roman" w:hAnsi="Times New Roman" w:cs="Times New Roman"/>
                <w:b/>
                <w:spacing w:val="3"/>
                <w:sz w:val="20"/>
                <w:szCs w:val="20"/>
                <w:lang w:val="ru-RU"/>
              </w:rPr>
              <w:t>лок</w:t>
            </w:r>
            <w:proofErr w:type="spellEnd"/>
            <w:r w:rsidR="00A653FB" w:rsidRPr="00D42B00">
              <w:rPr>
                <w:rFonts w:ascii="Times New Roman" w:hAnsi="Times New Roman" w:cs="Times New Roman"/>
                <w:b/>
                <w:spacing w:val="3"/>
                <w:sz w:val="20"/>
                <w:szCs w:val="20"/>
                <w:lang w:val="ru-RU"/>
              </w:rPr>
              <w:t>,</w:t>
            </w:r>
            <w:r w:rsidR="00A653FB" w:rsidRPr="00D42B00"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ru-RU"/>
              </w:rPr>
              <w:t xml:space="preserve"> </w:t>
            </w:r>
            <w:r w:rsidR="00A653FB" w:rsidRPr="00D42B00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lang w:val="ru-RU"/>
              </w:rPr>
              <w:t>г/л</w:t>
            </w:r>
            <w:r w:rsidR="00A653FB" w:rsidRPr="00D42B00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lang w:val="ru-RU"/>
              </w:rPr>
              <w:tab/>
            </w:r>
            <w:r w:rsidR="00A653FB" w:rsidRPr="00D42B00">
              <w:rPr>
                <w:rFonts w:ascii="Times New Roman" w:hAnsi="Times New Roman" w:cs="Times New Roman"/>
                <w:position w:val="-9"/>
                <w:sz w:val="20"/>
                <w:szCs w:val="20"/>
                <w:lang w:val="ru-RU"/>
              </w:rPr>
              <w:t>≤</w:t>
            </w:r>
            <w:r w:rsidR="00A653FB" w:rsidRPr="00D42B00">
              <w:rPr>
                <w:rFonts w:ascii="Times New Roman" w:hAnsi="Times New Roman" w:cs="Times New Roman"/>
                <w:spacing w:val="-1"/>
                <w:position w:val="-9"/>
                <w:sz w:val="20"/>
                <w:szCs w:val="20"/>
                <w:lang w:val="ru-RU"/>
              </w:rPr>
              <w:t xml:space="preserve"> </w:t>
            </w:r>
            <w:r w:rsidR="00A653FB" w:rsidRPr="00D42B00">
              <w:rPr>
                <w:rFonts w:ascii="Times New Roman" w:hAnsi="Times New Roman" w:cs="Times New Roman"/>
                <w:position w:val="-9"/>
                <w:sz w:val="20"/>
                <w:szCs w:val="20"/>
                <w:lang w:val="ru-RU"/>
              </w:rPr>
              <w:t>65</w:t>
            </w:r>
          </w:p>
        </w:tc>
        <w:tc>
          <w:tcPr>
            <w:tcW w:w="1418" w:type="dxa"/>
            <w:gridSpan w:val="2"/>
          </w:tcPr>
          <w:p w:rsidR="00A653FB" w:rsidRPr="00D42B00" w:rsidRDefault="00A653FB" w:rsidP="00C75F2D">
            <w:pPr>
              <w:pStyle w:val="TableParagraph"/>
              <w:spacing w:before="116"/>
              <w:ind w:right="486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2B00">
              <w:rPr>
                <w:rFonts w:ascii="Times New Roman" w:hAnsi="Times New Roman" w:cs="Times New Roman"/>
                <w:w w:val="105"/>
                <w:sz w:val="20"/>
                <w:szCs w:val="20"/>
                <w:lang w:val="ru-RU"/>
              </w:rPr>
              <w:t>64,9-55</w:t>
            </w:r>
          </w:p>
        </w:tc>
        <w:tc>
          <w:tcPr>
            <w:tcW w:w="1818" w:type="dxa"/>
            <w:gridSpan w:val="2"/>
          </w:tcPr>
          <w:p w:rsidR="00A653FB" w:rsidRPr="00D42B00" w:rsidRDefault="00A653FB" w:rsidP="00C75F2D">
            <w:pPr>
              <w:pStyle w:val="TableParagraph"/>
              <w:spacing w:before="116"/>
              <w:ind w:left="54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2B00">
              <w:rPr>
                <w:rFonts w:ascii="Times New Roman" w:hAnsi="Times New Roman" w:cs="Times New Roman"/>
                <w:w w:val="105"/>
                <w:sz w:val="20"/>
                <w:szCs w:val="20"/>
                <w:lang w:val="ru-RU"/>
              </w:rPr>
              <w:t>54,9-45</w:t>
            </w:r>
          </w:p>
        </w:tc>
        <w:tc>
          <w:tcPr>
            <w:tcW w:w="1478" w:type="dxa"/>
            <w:gridSpan w:val="2"/>
          </w:tcPr>
          <w:p w:rsidR="00A653FB" w:rsidRPr="00D42B00" w:rsidRDefault="00A653FB" w:rsidP="00C75F2D">
            <w:pPr>
              <w:pStyle w:val="TableParagraph"/>
              <w:spacing w:before="116"/>
              <w:ind w:left="52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2B00">
              <w:rPr>
                <w:rFonts w:ascii="Times New Roman" w:hAnsi="Times New Roman" w:cs="Times New Roman"/>
                <w:w w:val="110"/>
                <w:sz w:val="20"/>
                <w:szCs w:val="20"/>
                <w:lang w:val="ru-RU"/>
              </w:rPr>
              <w:t>≤ 44</w:t>
            </w:r>
          </w:p>
        </w:tc>
      </w:tr>
      <w:tr w:rsidR="00C75F2D" w:rsidRPr="00D42B00" w:rsidTr="00D42B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526"/>
        </w:trPr>
        <w:tc>
          <w:tcPr>
            <w:tcW w:w="5073" w:type="dxa"/>
            <w:gridSpan w:val="2"/>
          </w:tcPr>
          <w:p w:rsidR="00A653FB" w:rsidRPr="00D42B00" w:rsidRDefault="00A653FB" w:rsidP="00C75F2D">
            <w:pPr>
              <w:pStyle w:val="TableParagraph"/>
              <w:tabs>
                <w:tab w:val="left" w:pos="4065"/>
              </w:tabs>
              <w:spacing w:before="70"/>
              <w:ind w:left="5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D42B00">
              <w:rPr>
                <w:rFonts w:ascii="Times New Roman" w:hAnsi="Times New Roman" w:cs="Times New Roman"/>
                <w:b/>
                <w:spacing w:val="6"/>
                <w:sz w:val="20"/>
                <w:szCs w:val="20"/>
                <w:lang w:val="ru-RU"/>
              </w:rPr>
              <w:t>Альбум</w:t>
            </w:r>
            <w:r w:rsidR="00D42B00">
              <w:rPr>
                <w:rFonts w:ascii="Times New Roman" w:hAnsi="Times New Roman" w:cs="Times New Roman"/>
                <w:b/>
                <w:spacing w:val="6"/>
                <w:sz w:val="20"/>
                <w:szCs w:val="20"/>
                <w:lang w:val="ru-RU"/>
              </w:rPr>
              <w:t>і</w:t>
            </w:r>
            <w:r w:rsidRPr="00D42B00">
              <w:rPr>
                <w:rFonts w:ascii="Times New Roman" w:hAnsi="Times New Roman" w:cs="Times New Roman"/>
                <w:b/>
                <w:spacing w:val="6"/>
                <w:sz w:val="20"/>
                <w:szCs w:val="20"/>
                <w:lang w:val="ru-RU"/>
              </w:rPr>
              <w:t>н</w:t>
            </w:r>
            <w:proofErr w:type="spellEnd"/>
            <w:r w:rsidRPr="00D42B00">
              <w:rPr>
                <w:rFonts w:ascii="Times New Roman" w:hAnsi="Times New Roman" w:cs="Times New Roman"/>
                <w:b/>
                <w:spacing w:val="6"/>
                <w:sz w:val="20"/>
                <w:szCs w:val="20"/>
                <w:lang w:val="ru-RU"/>
              </w:rPr>
              <w:t>,</w:t>
            </w:r>
            <w:r w:rsidRPr="00D42B00">
              <w:rPr>
                <w:rFonts w:ascii="Times New Roman" w:hAnsi="Times New Roman" w:cs="Times New Roman"/>
                <w:b/>
                <w:spacing w:val="-17"/>
                <w:sz w:val="20"/>
                <w:szCs w:val="20"/>
                <w:lang w:val="ru-RU"/>
              </w:rPr>
              <w:t xml:space="preserve"> </w:t>
            </w:r>
            <w:r w:rsidRPr="00D42B00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lang w:val="ru-RU"/>
              </w:rPr>
              <w:t>г/л</w:t>
            </w:r>
            <w:r w:rsidRPr="00D42B00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lang w:val="ru-RU"/>
              </w:rPr>
              <w:tab/>
            </w:r>
            <w:r w:rsidRPr="00D42B00">
              <w:rPr>
                <w:rFonts w:ascii="Times New Roman" w:hAnsi="Times New Roman" w:cs="Times New Roman"/>
                <w:position w:val="-9"/>
                <w:sz w:val="20"/>
                <w:szCs w:val="20"/>
                <w:lang w:val="ru-RU"/>
              </w:rPr>
              <w:t>&gt;35</w:t>
            </w:r>
          </w:p>
        </w:tc>
        <w:tc>
          <w:tcPr>
            <w:tcW w:w="1418" w:type="dxa"/>
            <w:gridSpan w:val="2"/>
          </w:tcPr>
          <w:p w:rsidR="00A653FB" w:rsidRPr="00D42B00" w:rsidRDefault="00A653FB" w:rsidP="00C75F2D">
            <w:pPr>
              <w:pStyle w:val="TableParagraph"/>
              <w:spacing w:before="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53FB" w:rsidRPr="00D42B00" w:rsidRDefault="00A653FB" w:rsidP="00C75F2D">
            <w:pPr>
              <w:pStyle w:val="TableParagraph"/>
              <w:ind w:right="398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2B00">
              <w:rPr>
                <w:rFonts w:ascii="Times New Roman" w:hAnsi="Times New Roman" w:cs="Times New Roman"/>
                <w:w w:val="105"/>
                <w:sz w:val="20"/>
                <w:szCs w:val="20"/>
                <w:lang w:val="ru-RU"/>
              </w:rPr>
              <w:t>34,9 — 30</w:t>
            </w:r>
          </w:p>
        </w:tc>
        <w:tc>
          <w:tcPr>
            <w:tcW w:w="1818" w:type="dxa"/>
            <w:gridSpan w:val="2"/>
          </w:tcPr>
          <w:p w:rsidR="00A653FB" w:rsidRPr="00D42B00" w:rsidRDefault="00A653FB" w:rsidP="00C75F2D">
            <w:pPr>
              <w:pStyle w:val="TableParagraph"/>
              <w:spacing w:before="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53FB" w:rsidRPr="00D42B00" w:rsidRDefault="00A653FB" w:rsidP="00C75F2D">
            <w:pPr>
              <w:pStyle w:val="TableParagraph"/>
              <w:ind w:left="46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2B00">
              <w:rPr>
                <w:rFonts w:ascii="Times New Roman" w:hAnsi="Times New Roman" w:cs="Times New Roman"/>
                <w:w w:val="105"/>
                <w:sz w:val="20"/>
                <w:szCs w:val="20"/>
                <w:lang w:val="ru-RU"/>
              </w:rPr>
              <w:t>29,9 — 25</w:t>
            </w:r>
          </w:p>
        </w:tc>
        <w:tc>
          <w:tcPr>
            <w:tcW w:w="1478" w:type="dxa"/>
            <w:gridSpan w:val="2"/>
          </w:tcPr>
          <w:p w:rsidR="00A653FB" w:rsidRPr="00D42B00" w:rsidRDefault="00A653FB" w:rsidP="00C75F2D">
            <w:pPr>
              <w:pStyle w:val="TableParagraph"/>
              <w:spacing w:before="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53FB" w:rsidRPr="00D42B00" w:rsidRDefault="00A653FB" w:rsidP="00C75F2D">
            <w:pPr>
              <w:pStyle w:val="TableParagraph"/>
              <w:ind w:left="52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2B00">
              <w:rPr>
                <w:rFonts w:ascii="Times New Roman" w:hAnsi="Times New Roman" w:cs="Times New Roman"/>
                <w:w w:val="110"/>
                <w:sz w:val="20"/>
                <w:szCs w:val="20"/>
                <w:lang w:val="ru-RU"/>
              </w:rPr>
              <w:t>≤ 24</w:t>
            </w:r>
          </w:p>
        </w:tc>
      </w:tr>
      <w:tr w:rsidR="00C75F2D" w:rsidRPr="00D42B00" w:rsidTr="00D42B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526"/>
        </w:trPr>
        <w:tc>
          <w:tcPr>
            <w:tcW w:w="5073" w:type="dxa"/>
            <w:gridSpan w:val="2"/>
          </w:tcPr>
          <w:p w:rsidR="00A653FB" w:rsidRPr="00D42B00" w:rsidRDefault="00A653FB" w:rsidP="00C75F2D">
            <w:pPr>
              <w:pStyle w:val="TableParagraph"/>
              <w:tabs>
                <w:tab w:val="left" w:pos="4050"/>
              </w:tabs>
              <w:spacing w:before="70"/>
              <w:ind w:left="5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D42B00">
              <w:rPr>
                <w:rFonts w:ascii="Times New Roman" w:hAnsi="Times New Roman" w:cs="Times New Roman"/>
                <w:b/>
                <w:spacing w:val="5"/>
                <w:sz w:val="20"/>
                <w:szCs w:val="20"/>
                <w:lang w:val="ru-RU"/>
              </w:rPr>
              <w:t>Л</w:t>
            </w:r>
            <w:r w:rsidR="00D42B00">
              <w:rPr>
                <w:rFonts w:ascii="Times New Roman" w:hAnsi="Times New Roman" w:cs="Times New Roman"/>
                <w:b/>
                <w:spacing w:val="5"/>
                <w:sz w:val="20"/>
                <w:szCs w:val="20"/>
                <w:lang w:val="ru-RU"/>
              </w:rPr>
              <w:t>і</w:t>
            </w:r>
            <w:r w:rsidRPr="00D42B00">
              <w:rPr>
                <w:rFonts w:ascii="Times New Roman" w:hAnsi="Times New Roman" w:cs="Times New Roman"/>
                <w:b/>
                <w:spacing w:val="5"/>
                <w:sz w:val="20"/>
                <w:szCs w:val="20"/>
                <w:lang w:val="ru-RU"/>
              </w:rPr>
              <w:t>мфоцит</w:t>
            </w:r>
            <w:r w:rsidR="00D42B00">
              <w:rPr>
                <w:rFonts w:ascii="Times New Roman" w:hAnsi="Times New Roman" w:cs="Times New Roman"/>
                <w:b/>
                <w:spacing w:val="5"/>
                <w:sz w:val="20"/>
                <w:szCs w:val="20"/>
                <w:lang w:val="ru-RU"/>
              </w:rPr>
              <w:t>и</w:t>
            </w:r>
            <w:proofErr w:type="spellEnd"/>
            <w:r w:rsidRPr="00D42B00">
              <w:rPr>
                <w:rFonts w:ascii="Times New Roman" w:hAnsi="Times New Roman" w:cs="Times New Roman"/>
                <w:b/>
                <w:spacing w:val="5"/>
                <w:sz w:val="20"/>
                <w:szCs w:val="20"/>
                <w:lang w:val="ru-RU"/>
              </w:rPr>
              <w:t>,</w:t>
            </w:r>
            <w:r w:rsidRPr="00D42B00">
              <w:rPr>
                <w:rFonts w:ascii="Times New Roman" w:hAnsi="Times New Roman" w:cs="Times New Roman"/>
                <w:b/>
                <w:spacing w:val="-15"/>
                <w:sz w:val="20"/>
                <w:szCs w:val="20"/>
                <w:lang w:val="ru-RU"/>
              </w:rPr>
              <w:t xml:space="preserve"> </w:t>
            </w:r>
            <w:r w:rsidRPr="00D42B00"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lang w:val="ru-RU"/>
              </w:rPr>
              <w:t>10</w:t>
            </w:r>
            <w:r w:rsidRPr="00D42B00">
              <w:rPr>
                <w:rFonts w:ascii="Times New Roman" w:hAnsi="Times New Roman" w:cs="Times New Roman"/>
                <w:b/>
                <w:spacing w:val="2"/>
                <w:position w:val="5"/>
                <w:sz w:val="20"/>
                <w:szCs w:val="20"/>
                <w:lang w:val="ru-RU"/>
              </w:rPr>
              <w:t>3</w:t>
            </w:r>
            <w:r w:rsidRPr="00D42B00"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lang w:val="ru-RU"/>
              </w:rPr>
              <w:t>/</w:t>
            </w:r>
            <w:proofErr w:type="spellStart"/>
            <w:r w:rsidRPr="00D42B00"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lang w:val="ru-RU"/>
              </w:rPr>
              <w:t>мкл</w:t>
            </w:r>
            <w:proofErr w:type="spellEnd"/>
            <w:r w:rsidRPr="00D42B00"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lang w:val="ru-RU"/>
              </w:rPr>
              <w:tab/>
            </w:r>
            <w:r w:rsidRPr="00D42B00">
              <w:rPr>
                <w:rFonts w:ascii="Times New Roman" w:hAnsi="Times New Roman" w:cs="Times New Roman"/>
                <w:position w:val="-9"/>
                <w:sz w:val="20"/>
                <w:szCs w:val="20"/>
                <w:lang w:val="ru-RU"/>
              </w:rPr>
              <w:t>&gt;1,8</w:t>
            </w:r>
          </w:p>
        </w:tc>
        <w:tc>
          <w:tcPr>
            <w:tcW w:w="1418" w:type="dxa"/>
            <w:gridSpan w:val="2"/>
          </w:tcPr>
          <w:p w:rsidR="00A653FB" w:rsidRPr="00D42B00" w:rsidRDefault="00A653FB" w:rsidP="00C75F2D">
            <w:pPr>
              <w:pStyle w:val="TableParagraph"/>
              <w:spacing w:before="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53FB" w:rsidRPr="00D42B00" w:rsidRDefault="00A653FB" w:rsidP="00C75F2D">
            <w:pPr>
              <w:pStyle w:val="TableParagraph"/>
              <w:ind w:left="547" w:right="52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2B0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1,8-1,5</w:t>
            </w:r>
          </w:p>
        </w:tc>
        <w:tc>
          <w:tcPr>
            <w:tcW w:w="1818" w:type="dxa"/>
            <w:gridSpan w:val="2"/>
          </w:tcPr>
          <w:p w:rsidR="00A653FB" w:rsidRPr="00D42B00" w:rsidRDefault="00A653FB" w:rsidP="00C75F2D">
            <w:pPr>
              <w:pStyle w:val="TableParagraph"/>
              <w:spacing w:before="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53FB" w:rsidRPr="00D42B00" w:rsidRDefault="00A653FB" w:rsidP="00C75F2D">
            <w:pPr>
              <w:pStyle w:val="TableParagraph"/>
              <w:ind w:left="57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2B0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1,4-0,9</w:t>
            </w:r>
          </w:p>
        </w:tc>
        <w:tc>
          <w:tcPr>
            <w:tcW w:w="1478" w:type="dxa"/>
            <w:gridSpan w:val="2"/>
          </w:tcPr>
          <w:p w:rsidR="00A653FB" w:rsidRPr="00D42B00" w:rsidRDefault="00A653FB" w:rsidP="00C75F2D">
            <w:pPr>
              <w:pStyle w:val="TableParagraph"/>
              <w:spacing w:before="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53FB" w:rsidRPr="00D42B00" w:rsidRDefault="00A653FB" w:rsidP="00C75F2D">
            <w:pPr>
              <w:pStyle w:val="TableParagraph"/>
              <w:ind w:left="50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D42B0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&lt; 0</w:t>
            </w:r>
            <w:proofErr w:type="gramEnd"/>
            <w:r w:rsidRPr="00D42B0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,9</w:t>
            </w:r>
          </w:p>
        </w:tc>
      </w:tr>
      <w:tr w:rsidR="00C75F2D" w:rsidRPr="00D42B00" w:rsidTr="00D42B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509"/>
        </w:trPr>
        <w:tc>
          <w:tcPr>
            <w:tcW w:w="5073" w:type="dxa"/>
            <w:gridSpan w:val="2"/>
            <w:tcBorders>
              <w:bottom w:val="single" w:sz="8" w:space="0" w:color="007236"/>
            </w:tcBorders>
          </w:tcPr>
          <w:p w:rsidR="00A653FB" w:rsidRPr="00D42B00" w:rsidRDefault="00A653FB" w:rsidP="00C75F2D">
            <w:pPr>
              <w:pStyle w:val="TableParagraph"/>
              <w:tabs>
                <w:tab w:val="right" w:pos="4276"/>
              </w:tabs>
              <w:spacing w:before="70"/>
              <w:ind w:left="5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2B00">
              <w:rPr>
                <w:rFonts w:ascii="Times New Roman" w:hAnsi="Times New Roman" w:cs="Times New Roman"/>
                <w:b/>
                <w:spacing w:val="4"/>
                <w:sz w:val="20"/>
                <w:szCs w:val="20"/>
                <w:lang w:val="ru-RU"/>
              </w:rPr>
              <w:t>Сума</w:t>
            </w:r>
            <w:r w:rsidRPr="00D42B00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42B00">
              <w:rPr>
                <w:rFonts w:ascii="Times New Roman" w:hAnsi="Times New Roman" w:cs="Times New Roman"/>
                <w:b/>
                <w:spacing w:val="5"/>
                <w:sz w:val="20"/>
                <w:szCs w:val="20"/>
                <w:lang w:val="ru-RU"/>
              </w:rPr>
              <w:t>бал</w:t>
            </w:r>
            <w:r w:rsidR="00D42B00">
              <w:rPr>
                <w:rFonts w:ascii="Times New Roman" w:hAnsi="Times New Roman" w:cs="Times New Roman"/>
                <w:b/>
                <w:spacing w:val="5"/>
                <w:sz w:val="20"/>
                <w:szCs w:val="20"/>
                <w:lang w:val="ru-RU"/>
              </w:rPr>
              <w:t>і</w:t>
            </w:r>
            <w:r w:rsidRPr="00D42B00">
              <w:rPr>
                <w:rFonts w:ascii="Times New Roman" w:hAnsi="Times New Roman" w:cs="Times New Roman"/>
                <w:b/>
                <w:spacing w:val="5"/>
                <w:sz w:val="20"/>
                <w:szCs w:val="20"/>
                <w:lang w:val="ru-RU"/>
              </w:rPr>
              <w:t>в</w:t>
            </w:r>
            <w:proofErr w:type="spellEnd"/>
            <w:r w:rsidRPr="00D42B00">
              <w:rPr>
                <w:rFonts w:ascii="Times New Roman" w:hAnsi="Times New Roman" w:cs="Times New Roman"/>
                <w:b/>
                <w:spacing w:val="5"/>
                <w:sz w:val="20"/>
                <w:szCs w:val="20"/>
                <w:lang w:val="ru-RU"/>
              </w:rPr>
              <w:tab/>
            </w:r>
            <w:r w:rsidRPr="00D42B00">
              <w:rPr>
                <w:rFonts w:ascii="Times New Roman" w:hAnsi="Times New Roman" w:cs="Times New Roman"/>
                <w:spacing w:val="-7"/>
                <w:position w:val="-9"/>
                <w:sz w:val="20"/>
                <w:szCs w:val="20"/>
                <w:lang w:val="ru-RU"/>
              </w:rPr>
              <w:t>21</w:t>
            </w:r>
          </w:p>
        </w:tc>
        <w:tc>
          <w:tcPr>
            <w:tcW w:w="1418" w:type="dxa"/>
            <w:gridSpan w:val="2"/>
            <w:tcBorders>
              <w:bottom w:val="single" w:sz="8" w:space="0" w:color="007236"/>
            </w:tcBorders>
          </w:tcPr>
          <w:p w:rsidR="00A653FB" w:rsidRPr="00D42B00" w:rsidRDefault="00A653FB" w:rsidP="00C75F2D">
            <w:pPr>
              <w:pStyle w:val="TableParagraph"/>
              <w:spacing w:before="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53FB" w:rsidRPr="00D42B00" w:rsidRDefault="00A653FB" w:rsidP="00C75F2D">
            <w:pPr>
              <w:pStyle w:val="TableParagraph"/>
              <w:ind w:left="547" w:right="52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2B00">
              <w:rPr>
                <w:rFonts w:ascii="Times New Roman" w:hAnsi="Times New Roman" w:cs="Times New Roman"/>
                <w:w w:val="110"/>
                <w:sz w:val="20"/>
                <w:szCs w:val="20"/>
                <w:lang w:val="ru-RU"/>
              </w:rPr>
              <w:t>20-15</w:t>
            </w:r>
          </w:p>
        </w:tc>
        <w:tc>
          <w:tcPr>
            <w:tcW w:w="1818" w:type="dxa"/>
            <w:gridSpan w:val="2"/>
            <w:tcBorders>
              <w:bottom w:val="single" w:sz="8" w:space="0" w:color="007236"/>
            </w:tcBorders>
          </w:tcPr>
          <w:p w:rsidR="00A653FB" w:rsidRPr="00D42B00" w:rsidRDefault="00A653FB" w:rsidP="00C75F2D">
            <w:pPr>
              <w:pStyle w:val="TableParagraph"/>
              <w:spacing w:before="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53FB" w:rsidRPr="00D42B00" w:rsidRDefault="00A653FB" w:rsidP="00C75F2D">
            <w:pPr>
              <w:pStyle w:val="TableParagraph"/>
              <w:ind w:left="646" w:right="73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2B00">
              <w:rPr>
                <w:rFonts w:ascii="Times New Roman" w:hAnsi="Times New Roman" w:cs="Times New Roman"/>
                <w:w w:val="110"/>
                <w:sz w:val="20"/>
                <w:szCs w:val="20"/>
                <w:lang w:val="ru-RU"/>
              </w:rPr>
              <w:t>14-9</w:t>
            </w:r>
          </w:p>
        </w:tc>
        <w:tc>
          <w:tcPr>
            <w:tcW w:w="1478" w:type="dxa"/>
            <w:gridSpan w:val="2"/>
            <w:tcBorders>
              <w:bottom w:val="single" w:sz="8" w:space="0" w:color="007236"/>
            </w:tcBorders>
          </w:tcPr>
          <w:p w:rsidR="00A653FB" w:rsidRPr="00D42B00" w:rsidRDefault="00A653FB" w:rsidP="00C75F2D">
            <w:pPr>
              <w:pStyle w:val="TableParagraph"/>
              <w:spacing w:before="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53FB" w:rsidRPr="00D42B00" w:rsidRDefault="00A653FB" w:rsidP="00C75F2D">
            <w:pPr>
              <w:pStyle w:val="TableParagraph"/>
              <w:ind w:left="5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D42B00">
              <w:rPr>
                <w:rFonts w:ascii="Times New Roman" w:hAnsi="Times New Roman" w:cs="Times New Roman"/>
                <w:w w:val="105"/>
                <w:sz w:val="20"/>
                <w:szCs w:val="20"/>
                <w:lang w:val="ru-RU"/>
              </w:rPr>
              <w:t>&lt; 9</w:t>
            </w:r>
            <w:proofErr w:type="gramEnd"/>
          </w:p>
        </w:tc>
      </w:tr>
    </w:tbl>
    <w:p w:rsidR="00A653FB" w:rsidRPr="00D42B00" w:rsidRDefault="00A653FB" w:rsidP="00A653FB">
      <w:pPr>
        <w:spacing w:after="0" w:line="360" w:lineRule="auto"/>
        <w:ind w:firstLine="709"/>
        <w:jc w:val="both"/>
        <w:rPr>
          <w:sz w:val="20"/>
          <w:szCs w:val="20"/>
        </w:rPr>
      </w:pPr>
    </w:p>
    <w:p w:rsidR="00A653FB" w:rsidRDefault="00A653FB" w:rsidP="00A653FB">
      <w:pPr>
        <w:spacing w:after="0" w:line="360" w:lineRule="auto"/>
        <w:ind w:firstLine="709"/>
        <w:jc w:val="both"/>
        <w:rPr>
          <w:b/>
          <w:sz w:val="28"/>
          <w:szCs w:val="28"/>
          <w:lang w:val="uk-UA"/>
        </w:rPr>
      </w:pPr>
      <w:proofErr w:type="spellStart"/>
      <w:r w:rsidRPr="00C75F2D">
        <w:rPr>
          <w:b/>
          <w:sz w:val="28"/>
          <w:szCs w:val="28"/>
        </w:rPr>
        <w:t>Опис</w:t>
      </w:r>
      <w:proofErr w:type="spellEnd"/>
      <w:r w:rsidRPr="00C75F2D">
        <w:rPr>
          <w:b/>
          <w:sz w:val="28"/>
          <w:szCs w:val="28"/>
        </w:rPr>
        <w:t xml:space="preserve"> </w:t>
      </w:r>
      <w:r w:rsidR="00D42B00">
        <w:rPr>
          <w:b/>
          <w:sz w:val="28"/>
          <w:szCs w:val="28"/>
          <w:lang w:val="uk-UA"/>
        </w:rPr>
        <w:t>випадка</w:t>
      </w:r>
    </w:p>
    <w:p w:rsidR="00D42B00" w:rsidRPr="00D42B00" w:rsidRDefault="00D42B00" w:rsidP="00D42B00">
      <w:pPr>
        <w:spacing w:after="0" w:line="360" w:lineRule="auto"/>
        <w:ind w:firstLine="709"/>
        <w:jc w:val="both"/>
        <w:rPr>
          <w:sz w:val="28"/>
          <w:szCs w:val="28"/>
          <w:lang w:val="uk-UA"/>
        </w:rPr>
      </w:pPr>
      <w:r w:rsidRPr="00D42B00">
        <w:rPr>
          <w:sz w:val="28"/>
          <w:szCs w:val="28"/>
          <w:lang w:val="uk-UA"/>
        </w:rPr>
        <w:t xml:space="preserve">Пацієнт П., 28 років, госпіталізований в стаціонар зі скаргами на тупий біль у верхніх відділах живота, </w:t>
      </w:r>
      <w:proofErr w:type="spellStart"/>
      <w:r w:rsidRPr="00D42B00">
        <w:rPr>
          <w:sz w:val="28"/>
          <w:szCs w:val="28"/>
          <w:lang w:val="uk-UA"/>
        </w:rPr>
        <w:t>оперізу</w:t>
      </w:r>
      <w:r w:rsidR="006A0132">
        <w:rPr>
          <w:sz w:val="28"/>
          <w:szCs w:val="28"/>
          <w:lang w:val="uk-UA"/>
        </w:rPr>
        <w:t>вальн</w:t>
      </w:r>
      <w:r w:rsidRPr="00D42B00">
        <w:rPr>
          <w:sz w:val="28"/>
          <w:szCs w:val="28"/>
          <w:lang w:val="uk-UA"/>
        </w:rPr>
        <w:t>ого</w:t>
      </w:r>
      <w:proofErr w:type="spellEnd"/>
      <w:r w:rsidRPr="00D42B00">
        <w:rPr>
          <w:sz w:val="28"/>
          <w:szCs w:val="28"/>
          <w:lang w:val="uk-UA"/>
        </w:rPr>
        <w:t xml:space="preserve"> характеру, що виника</w:t>
      </w:r>
      <w:r>
        <w:rPr>
          <w:sz w:val="28"/>
          <w:szCs w:val="28"/>
          <w:lang w:val="uk-UA"/>
        </w:rPr>
        <w:t>є</w:t>
      </w:r>
      <w:r w:rsidRPr="00D42B00">
        <w:rPr>
          <w:sz w:val="28"/>
          <w:szCs w:val="28"/>
          <w:lang w:val="uk-UA"/>
        </w:rPr>
        <w:t xml:space="preserve"> після прийому їжі </w:t>
      </w:r>
      <w:r>
        <w:rPr>
          <w:sz w:val="28"/>
          <w:szCs w:val="28"/>
          <w:lang w:val="uk-UA"/>
        </w:rPr>
        <w:t>й</w:t>
      </w:r>
      <w:r w:rsidRPr="00D42B00">
        <w:rPr>
          <w:sz w:val="28"/>
          <w:szCs w:val="28"/>
          <w:lang w:val="uk-UA"/>
        </w:rPr>
        <w:t xml:space="preserve"> </w:t>
      </w:r>
      <w:proofErr w:type="spellStart"/>
      <w:r w:rsidRPr="00D42B00">
        <w:rPr>
          <w:sz w:val="28"/>
          <w:szCs w:val="28"/>
          <w:lang w:val="uk-UA"/>
        </w:rPr>
        <w:t>алкоголь</w:t>
      </w:r>
      <w:r>
        <w:rPr>
          <w:sz w:val="28"/>
          <w:szCs w:val="28"/>
          <w:lang w:val="uk-UA"/>
        </w:rPr>
        <w:t>вмісн</w:t>
      </w:r>
      <w:r w:rsidRPr="00D42B00">
        <w:rPr>
          <w:sz w:val="28"/>
          <w:szCs w:val="28"/>
          <w:lang w:val="uk-UA"/>
        </w:rPr>
        <w:t>их</w:t>
      </w:r>
      <w:proofErr w:type="spellEnd"/>
      <w:r w:rsidRPr="00D42B00">
        <w:rPr>
          <w:sz w:val="28"/>
          <w:szCs w:val="28"/>
          <w:lang w:val="uk-UA"/>
        </w:rPr>
        <w:t xml:space="preserve"> напоїв, нудоту, слабкість.</w:t>
      </w:r>
    </w:p>
    <w:p w:rsidR="00D42B00" w:rsidRPr="00D42B00" w:rsidRDefault="00D42B00" w:rsidP="00D42B00">
      <w:pPr>
        <w:spacing w:after="0" w:line="360" w:lineRule="auto"/>
        <w:ind w:firstLine="709"/>
        <w:jc w:val="both"/>
        <w:rPr>
          <w:sz w:val="28"/>
          <w:szCs w:val="28"/>
          <w:lang w:val="uk-UA"/>
        </w:rPr>
      </w:pPr>
      <w:r w:rsidRPr="00D42B00">
        <w:rPr>
          <w:sz w:val="28"/>
          <w:szCs w:val="28"/>
          <w:lang w:val="uk-UA"/>
        </w:rPr>
        <w:t>Зі слів хворого, хвор</w:t>
      </w:r>
      <w:r>
        <w:rPr>
          <w:sz w:val="28"/>
          <w:szCs w:val="28"/>
          <w:lang w:val="uk-UA"/>
        </w:rPr>
        <w:t>іє</w:t>
      </w:r>
      <w:r w:rsidRPr="00D42B0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впродовж </w:t>
      </w:r>
      <w:r w:rsidRPr="00D42B00">
        <w:rPr>
          <w:sz w:val="28"/>
          <w:szCs w:val="28"/>
          <w:lang w:val="uk-UA"/>
        </w:rPr>
        <w:t xml:space="preserve">останніх 5 років. Зловживає алкоголем 5 років, </w:t>
      </w:r>
      <w:r>
        <w:rPr>
          <w:sz w:val="28"/>
          <w:szCs w:val="28"/>
          <w:lang w:val="uk-UA"/>
        </w:rPr>
        <w:t>надає перевагу</w:t>
      </w:r>
      <w:r w:rsidRPr="00D42B00">
        <w:rPr>
          <w:sz w:val="28"/>
          <w:szCs w:val="28"/>
          <w:lang w:val="uk-UA"/>
        </w:rPr>
        <w:t xml:space="preserve"> пив</w:t>
      </w:r>
      <w:r>
        <w:rPr>
          <w:sz w:val="28"/>
          <w:szCs w:val="28"/>
          <w:lang w:val="uk-UA"/>
        </w:rPr>
        <w:t>у</w:t>
      </w:r>
      <w:r w:rsidRPr="00D42B00">
        <w:rPr>
          <w:sz w:val="28"/>
          <w:szCs w:val="28"/>
          <w:lang w:val="uk-UA"/>
        </w:rPr>
        <w:t xml:space="preserve"> в кількості 6000 мл 1-2 рази на тиждень.</w:t>
      </w:r>
    </w:p>
    <w:p w:rsidR="00D42B00" w:rsidRPr="00D42B00" w:rsidRDefault="00D42B00" w:rsidP="00D42B00">
      <w:pPr>
        <w:spacing w:after="0" w:line="360" w:lineRule="auto"/>
        <w:ind w:firstLine="709"/>
        <w:jc w:val="both"/>
        <w:rPr>
          <w:sz w:val="28"/>
          <w:szCs w:val="28"/>
          <w:lang w:val="uk-UA"/>
        </w:rPr>
      </w:pPr>
      <w:r w:rsidRPr="00D42B00">
        <w:rPr>
          <w:sz w:val="28"/>
          <w:szCs w:val="28"/>
          <w:lang w:val="uk-UA"/>
        </w:rPr>
        <w:t xml:space="preserve">Курить 10 років, понад 20 сигарет </w:t>
      </w:r>
      <w:r>
        <w:rPr>
          <w:sz w:val="28"/>
          <w:szCs w:val="28"/>
          <w:lang w:val="uk-UA"/>
        </w:rPr>
        <w:t>на</w:t>
      </w:r>
      <w:r w:rsidRPr="00D42B00">
        <w:rPr>
          <w:sz w:val="28"/>
          <w:szCs w:val="28"/>
          <w:lang w:val="uk-UA"/>
        </w:rPr>
        <w:t xml:space="preserve"> день, індекс куріння - 10 пачка / років. Працює слюсарем, має середню професійну освіту. Неодружений, проживає з батьками в квартирі.</w:t>
      </w:r>
    </w:p>
    <w:p w:rsidR="00D42B00" w:rsidRPr="00D42B00" w:rsidRDefault="00D42B00" w:rsidP="00D42B00">
      <w:pPr>
        <w:spacing w:after="0" w:line="360" w:lineRule="auto"/>
        <w:ind w:firstLine="709"/>
        <w:jc w:val="both"/>
        <w:rPr>
          <w:sz w:val="28"/>
          <w:szCs w:val="28"/>
          <w:lang w:val="uk-UA"/>
        </w:rPr>
      </w:pPr>
      <w:r w:rsidRPr="00D42B00">
        <w:rPr>
          <w:sz w:val="28"/>
          <w:szCs w:val="28"/>
          <w:lang w:val="uk-UA"/>
        </w:rPr>
        <w:t>При огляді: ІМТ - 33 кг / м</w:t>
      </w:r>
      <w:r w:rsidRPr="00D42B00">
        <w:rPr>
          <w:sz w:val="28"/>
          <w:szCs w:val="28"/>
          <w:vertAlign w:val="superscript"/>
          <w:lang w:val="uk-UA"/>
        </w:rPr>
        <w:t>2</w:t>
      </w:r>
      <w:r w:rsidRPr="00D42B00">
        <w:rPr>
          <w:sz w:val="28"/>
          <w:szCs w:val="28"/>
          <w:lang w:val="uk-UA"/>
        </w:rPr>
        <w:t xml:space="preserve"> (ожиріння I ст.). </w:t>
      </w:r>
      <w:proofErr w:type="spellStart"/>
      <w:r w:rsidRPr="00D42B00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к</w:t>
      </w:r>
      <w:r w:rsidRPr="00D42B00">
        <w:rPr>
          <w:sz w:val="28"/>
          <w:szCs w:val="28"/>
          <w:lang w:val="uk-UA"/>
        </w:rPr>
        <w:t>П</w:t>
      </w:r>
      <w:proofErr w:type="spellEnd"/>
      <w:r w:rsidRPr="00D42B00">
        <w:rPr>
          <w:sz w:val="28"/>
          <w:szCs w:val="28"/>
          <w:lang w:val="uk-UA"/>
        </w:rPr>
        <w:t xml:space="preserve"> - 29 см, </w:t>
      </w:r>
      <w:r w:rsidR="006A0132">
        <w:rPr>
          <w:sz w:val="28"/>
          <w:szCs w:val="28"/>
          <w:lang w:val="uk-UA"/>
        </w:rPr>
        <w:t>ШЖ</w:t>
      </w:r>
      <w:r w:rsidRPr="00D42B00">
        <w:rPr>
          <w:sz w:val="28"/>
          <w:szCs w:val="28"/>
          <w:lang w:val="uk-UA"/>
        </w:rPr>
        <w:t xml:space="preserve">СТ - 12 мм, ОМП - 25,2 см. Стан середнього ступеня тяжкості. Набряків немає. </w:t>
      </w:r>
      <w:r>
        <w:rPr>
          <w:sz w:val="28"/>
          <w:szCs w:val="28"/>
          <w:lang w:val="uk-UA"/>
        </w:rPr>
        <w:t>Щодо</w:t>
      </w:r>
      <w:r w:rsidRPr="00D42B00">
        <w:rPr>
          <w:sz w:val="28"/>
          <w:szCs w:val="28"/>
          <w:lang w:val="uk-UA"/>
        </w:rPr>
        <w:t xml:space="preserve"> орган</w:t>
      </w:r>
      <w:r>
        <w:rPr>
          <w:sz w:val="28"/>
          <w:szCs w:val="28"/>
          <w:lang w:val="uk-UA"/>
        </w:rPr>
        <w:t>ів</w:t>
      </w:r>
      <w:r w:rsidRPr="00D42B00">
        <w:rPr>
          <w:sz w:val="28"/>
          <w:szCs w:val="28"/>
          <w:lang w:val="uk-UA"/>
        </w:rPr>
        <w:t xml:space="preserve"> дихання і серцево-судинної системи - без патологічних змін.</w:t>
      </w:r>
    </w:p>
    <w:p w:rsidR="00D42B00" w:rsidRPr="00D42B00" w:rsidRDefault="00D42B00" w:rsidP="00D42B00">
      <w:pPr>
        <w:spacing w:after="0" w:line="360" w:lineRule="auto"/>
        <w:ind w:firstLine="709"/>
        <w:jc w:val="both"/>
        <w:rPr>
          <w:sz w:val="28"/>
          <w:szCs w:val="28"/>
          <w:lang w:val="uk-UA"/>
        </w:rPr>
      </w:pPr>
      <w:r w:rsidRPr="00D42B00">
        <w:rPr>
          <w:sz w:val="28"/>
          <w:szCs w:val="28"/>
          <w:lang w:val="uk-UA"/>
        </w:rPr>
        <w:t>При пальпації живота визначається бол</w:t>
      </w:r>
      <w:r>
        <w:rPr>
          <w:sz w:val="28"/>
          <w:szCs w:val="28"/>
          <w:lang w:val="uk-UA"/>
        </w:rPr>
        <w:t>існ</w:t>
      </w:r>
      <w:r w:rsidRPr="00D42B00">
        <w:rPr>
          <w:sz w:val="28"/>
          <w:szCs w:val="28"/>
          <w:lang w:val="uk-UA"/>
        </w:rPr>
        <w:t xml:space="preserve">ість в </w:t>
      </w:r>
      <w:proofErr w:type="spellStart"/>
      <w:r w:rsidRPr="00D42B00">
        <w:rPr>
          <w:sz w:val="28"/>
          <w:szCs w:val="28"/>
          <w:lang w:val="uk-UA"/>
        </w:rPr>
        <w:t>епігастрії</w:t>
      </w:r>
      <w:proofErr w:type="spellEnd"/>
      <w:r w:rsidRPr="00D42B00">
        <w:rPr>
          <w:sz w:val="28"/>
          <w:szCs w:val="28"/>
          <w:lang w:val="uk-UA"/>
        </w:rPr>
        <w:t xml:space="preserve">, правому підребер'ї. Позитивний симптом Менделя. Розміри печінки по </w:t>
      </w:r>
      <w:proofErr w:type="spellStart"/>
      <w:r w:rsidRPr="00D42B00">
        <w:rPr>
          <w:sz w:val="28"/>
          <w:szCs w:val="28"/>
          <w:lang w:val="uk-UA"/>
        </w:rPr>
        <w:t>Курлову</w:t>
      </w:r>
      <w:proofErr w:type="spellEnd"/>
      <w:r w:rsidRPr="00D42B00">
        <w:rPr>
          <w:sz w:val="28"/>
          <w:szCs w:val="28"/>
          <w:lang w:val="uk-UA"/>
        </w:rPr>
        <w:t xml:space="preserve">: 9 × 8 × 7 см. Нижній полюс селезінки не </w:t>
      </w:r>
      <w:proofErr w:type="spellStart"/>
      <w:r w:rsidRPr="00D42B00">
        <w:rPr>
          <w:sz w:val="28"/>
          <w:szCs w:val="28"/>
          <w:lang w:val="uk-UA"/>
        </w:rPr>
        <w:t>пальпується</w:t>
      </w:r>
      <w:proofErr w:type="spellEnd"/>
      <w:r w:rsidRPr="00D42B00">
        <w:rPr>
          <w:sz w:val="28"/>
          <w:szCs w:val="28"/>
          <w:lang w:val="uk-UA"/>
        </w:rPr>
        <w:t>.</w:t>
      </w:r>
    </w:p>
    <w:p w:rsidR="00D42B00" w:rsidRPr="00D42B00" w:rsidRDefault="00D42B00" w:rsidP="00D42B00">
      <w:pPr>
        <w:spacing w:after="0" w:line="360" w:lineRule="auto"/>
        <w:ind w:firstLine="709"/>
        <w:jc w:val="both"/>
        <w:rPr>
          <w:sz w:val="28"/>
          <w:szCs w:val="28"/>
          <w:lang w:val="uk-UA"/>
        </w:rPr>
      </w:pPr>
      <w:proofErr w:type="spellStart"/>
      <w:r w:rsidRPr="00D42B00">
        <w:rPr>
          <w:sz w:val="28"/>
          <w:szCs w:val="28"/>
          <w:lang w:val="uk-UA"/>
        </w:rPr>
        <w:t>Дизуричн</w:t>
      </w:r>
      <w:r>
        <w:rPr>
          <w:sz w:val="28"/>
          <w:szCs w:val="28"/>
          <w:lang w:val="uk-UA"/>
        </w:rPr>
        <w:t>их</w:t>
      </w:r>
      <w:proofErr w:type="spellEnd"/>
      <w:r w:rsidRPr="00D42B00">
        <w:rPr>
          <w:sz w:val="28"/>
          <w:szCs w:val="28"/>
          <w:lang w:val="uk-UA"/>
        </w:rPr>
        <w:t xml:space="preserve"> явищ немає. Симптом по</w:t>
      </w:r>
      <w:r w:rsidR="00C05912">
        <w:rPr>
          <w:sz w:val="28"/>
          <w:szCs w:val="28"/>
          <w:lang w:val="uk-UA"/>
        </w:rPr>
        <w:t>стукуванн</w:t>
      </w:r>
      <w:r w:rsidRPr="00D42B00">
        <w:rPr>
          <w:sz w:val="28"/>
          <w:szCs w:val="28"/>
          <w:lang w:val="uk-UA"/>
        </w:rPr>
        <w:t>я негативний з обох сторін.</w:t>
      </w:r>
    </w:p>
    <w:p w:rsidR="00D42B00" w:rsidRPr="00D42B00" w:rsidRDefault="00D42B00" w:rsidP="00D42B00">
      <w:pPr>
        <w:spacing w:after="0" w:line="360" w:lineRule="auto"/>
        <w:ind w:firstLine="709"/>
        <w:jc w:val="both"/>
        <w:rPr>
          <w:sz w:val="28"/>
          <w:szCs w:val="28"/>
          <w:lang w:val="uk-UA"/>
        </w:rPr>
      </w:pPr>
      <w:r w:rsidRPr="00D42B00">
        <w:rPr>
          <w:sz w:val="28"/>
          <w:szCs w:val="28"/>
          <w:lang w:val="uk-UA"/>
        </w:rPr>
        <w:t xml:space="preserve">При клініко-лабораторному обстеженні в загальному аналізі крові з патологічних ознак - </w:t>
      </w:r>
      <w:proofErr w:type="spellStart"/>
      <w:r w:rsidRPr="00D42B00">
        <w:rPr>
          <w:sz w:val="28"/>
          <w:szCs w:val="28"/>
          <w:lang w:val="uk-UA"/>
        </w:rPr>
        <w:t>лімфопенія</w:t>
      </w:r>
      <w:proofErr w:type="spellEnd"/>
      <w:r w:rsidRPr="00D42B00">
        <w:rPr>
          <w:sz w:val="28"/>
          <w:szCs w:val="28"/>
          <w:lang w:val="uk-UA"/>
        </w:rPr>
        <w:t xml:space="preserve"> (1,7 × 10</w:t>
      </w:r>
      <w:r w:rsidRPr="00C05912">
        <w:rPr>
          <w:sz w:val="28"/>
          <w:szCs w:val="28"/>
          <w:vertAlign w:val="superscript"/>
          <w:lang w:val="uk-UA"/>
        </w:rPr>
        <w:t>3</w:t>
      </w:r>
      <w:r w:rsidRPr="00D42B00">
        <w:rPr>
          <w:sz w:val="28"/>
          <w:szCs w:val="28"/>
          <w:lang w:val="uk-UA"/>
        </w:rPr>
        <w:t xml:space="preserve"> / </w:t>
      </w:r>
      <w:proofErr w:type="spellStart"/>
      <w:r w:rsidRPr="00D42B00">
        <w:rPr>
          <w:sz w:val="28"/>
          <w:szCs w:val="28"/>
          <w:lang w:val="uk-UA"/>
        </w:rPr>
        <w:t>мкл</w:t>
      </w:r>
      <w:proofErr w:type="spellEnd"/>
      <w:r w:rsidRPr="00D42B00">
        <w:rPr>
          <w:sz w:val="28"/>
          <w:szCs w:val="28"/>
          <w:lang w:val="uk-UA"/>
        </w:rPr>
        <w:t>). В загальному аналізі сечі - без патології.</w:t>
      </w:r>
    </w:p>
    <w:p w:rsidR="00D42B00" w:rsidRDefault="00D42B00" w:rsidP="00D42B00">
      <w:pPr>
        <w:spacing w:after="0" w:line="360" w:lineRule="auto"/>
        <w:ind w:firstLine="709"/>
        <w:jc w:val="both"/>
        <w:rPr>
          <w:sz w:val="28"/>
          <w:szCs w:val="28"/>
          <w:lang w:val="uk-UA"/>
        </w:rPr>
      </w:pPr>
      <w:r w:rsidRPr="00D42B00">
        <w:rPr>
          <w:sz w:val="28"/>
          <w:szCs w:val="28"/>
          <w:lang w:val="uk-UA"/>
        </w:rPr>
        <w:t xml:space="preserve">В біохімічному аналізі крові виявлено лише </w:t>
      </w:r>
      <w:proofErr w:type="spellStart"/>
      <w:r w:rsidRPr="00D42B00">
        <w:rPr>
          <w:sz w:val="28"/>
          <w:szCs w:val="28"/>
          <w:lang w:val="uk-UA"/>
        </w:rPr>
        <w:t>амілаземі</w:t>
      </w:r>
      <w:r w:rsidR="00C05912">
        <w:rPr>
          <w:sz w:val="28"/>
          <w:szCs w:val="28"/>
          <w:lang w:val="uk-UA"/>
        </w:rPr>
        <w:t>ю</w:t>
      </w:r>
      <w:proofErr w:type="spellEnd"/>
      <w:r w:rsidRPr="00D42B00">
        <w:rPr>
          <w:sz w:val="28"/>
          <w:szCs w:val="28"/>
          <w:lang w:val="uk-UA"/>
        </w:rPr>
        <w:t xml:space="preserve"> (266 ммоль / л, N - 25-220 Од / л), </w:t>
      </w:r>
      <w:proofErr w:type="spellStart"/>
      <w:r w:rsidRPr="00D42B00">
        <w:rPr>
          <w:sz w:val="28"/>
          <w:szCs w:val="28"/>
          <w:lang w:val="uk-UA"/>
        </w:rPr>
        <w:t>ліпаземі</w:t>
      </w:r>
      <w:r w:rsidR="00C05912">
        <w:rPr>
          <w:sz w:val="28"/>
          <w:szCs w:val="28"/>
          <w:lang w:val="uk-UA"/>
        </w:rPr>
        <w:t>ю</w:t>
      </w:r>
      <w:proofErr w:type="spellEnd"/>
      <w:r w:rsidRPr="00D42B00">
        <w:rPr>
          <w:sz w:val="28"/>
          <w:szCs w:val="28"/>
          <w:lang w:val="uk-UA"/>
        </w:rPr>
        <w:t xml:space="preserve"> (101 Од / л, N - 13-45 Од / л), загальний білок - 64 г / л (N - 65-85 г / л), альбумін - 34 г / л (N - 33,3-57,1 г / л).</w:t>
      </w:r>
    </w:p>
    <w:p w:rsidR="00C05912" w:rsidRPr="00AE3AAA" w:rsidRDefault="00C05912" w:rsidP="00C05912">
      <w:pPr>
        <w:spacing w:after="0" w:line="360" w:lineRule="auto"/>
        <w:ind w:firstLine="709"/>
        <w:jc w:val="both"/>
        <w:rPr>
          <w:sz w:val="28"/>
          <w:szCs w:val="28"/>
          <w:lang w:val="uk-UA"/>
        </w:rPr>
      </w:pPr>
      <w:proofErr w:type="spellStart"/>
      <w:r w:rsidRPr="00AE3AAA">
        <w:rPr>
          <w:sz w:val="28"/>
          <w:szCs w:val="28"/>
          <w:lang w:val="uk-UA"/>
        </w:rPr>
        <w:t>Діастазурія</w:t>
      </w:r>
      <w:proofErr w:type="spellEnd"/>
      <w:r w:rsidRPr="00AE3AAA">
        <w:rPr>
          <w:sz w:val="28"/>
          <w:szCs w:val="28"/>
          <w:lang w:val="uk-UA"/>
        </w:rPr>
        <w:t xml:space="preserve"> (амілаза сечі - 1230 Од / л (N - 0-1000 ОД / л).</w:t>
      </w:r>
    </w:p>
    <w:p w:rsidR="00C05912" w:rsidRPr="00AE3AAA" w:rsidRDefault="00C05912" w:rsidP="00C05912">
      <w:pPr>
        <w:spacing w:after="0" w:line="360" w:lineRule="auto"/>
        <w:ind w:firstLine="709"/>
        <w:jc w:val="both"/>
        <w:rPr>
          <w:sz w:val="28"/>
          <w:szCs w:val="28"/>
          <w:lang w:val="uk-UA"/>
        </w:rPr>
      </w:pPr>
      <w:r w:rsidRPr="00AE3AAA">
        <w:rPr>
          <w:sz w:val="28"/>
          <w:szCs w:val="28"/>
          <w:lang w:val="uk-UA"/>
        </w:rPr>
        <w:lastRenderedPageBreak/>
        <w:t xml:space="preserve">При </w:t>
      </w:r>
      <w:proofErr w:type="spellStart"/>
      <w:r w:rsidRPr="00AE3AAA">
        <w:rPr>
          <w:sz w:val="28"/>
          <w:szCs w:val="28"/>
          <w:lang w:val="uk-UA"/>
        </w:rPr>
        <w:t>копролог</w:t>
      </w:r>
      <w:r w:rsidR="00AE3AAA" w:rsidRPr="00AE3AAA">
        <w:rPr>
          <w:sz w:val="28"/>
          <w:szCs w:val="28"/>
          <w:lang w:val="uk-UA"/>
        </w:rPr>
        <w:t>ічному</w:t>
      </w:r>
      <w:proofErr w:type="spellEnd"/>
      <w:r w:rsidRPr="00AE3AAA">
        <w:rPr>
          <w:sz w:val="28"/>
          <w:szCs w:val="28"/>
          <w:lang w:val="uk-UA"/>
        </w:rPr>
        <w:t xml:space="preserve"> дослідженні - </w:t>
      </w:r>
      <w:r w:rsidR="00AE3AAA" w:rsidRPr="00AE3AAA">
        <w:rPr>
          <w:sz w:val="28"/>
          <w:szCs w:val="28"/>
          <w:lang w:val="uk-UA"/>
        </w:rPr>
        <w:t>випорожнення</w:t>
      </w:r>
      <w:r w:rsidRPr="00AE3AAA">
        <w:rPr>
          <w:sz w:val="28"/>
          <w:szCs w:val="28"/>
          <w:lang w:val="uk-UA"/>
        </w:rPr>
        <w:t xml:space="preserve"> кашкоподібн</w:t>
      </w:r>
      <w:r w:rsidR="00AE3AAA" w:rsidRPr="00AE3AAA">
        <w:rPr>
          <w:sz w:val="28"/>
          <w:szCs w:val="28"/>
          <w:lang w:val="uk-UA"/>
        </w:rPr>
        <w:t>і</w:t>
      </w:r>
      <w:r w:rsidRPr="00AE3AAA">
        <w:rPr>
          <w:sz w:val="28"/>
          <w:szCs w:val="28"/>
          <w:lang w:val="uk-UA"/>
        </w:rPr>
        <w:t xml:space="preserve">, </w:t>
      </w:r>
      <w:proofErr w:type="spellStart"/>
      <w:r w:rsidRPr="00AE3AAA">
        <w:rPr>
          <w:sz w:val="28"/>
          <w:szCs w:val="28"/>
          <w:lang w:val="uk-UA"/>
        </w:rPr>
        <w:t>креаторея</w:t>
      </w:r>
      <w:proofErr w:type="spellEnd"/>
      <w:r w:rsidRPr="00AE3AAA">
        <w:rPr>
          <w:sz w:val="28"/>
          <w:szCs w:val="28"/>
          <w:lang w:val="uk-UA"/>
        </w:rPr>
        <w:t xml:space="preserve">, нейтральний жир, солі жирних кислот, </w:t>
      </w:r>
      <w:proofErr w:type="spellStart"/>
      <w:r w:rsidRPr="00AE3AAA">
        <w:rPr>
          <w:sz w:val="28"/>
          <w:szCs w:val="28"/>
          <w:lang w:val="uk-UA"/>
        </w:rPr>
        <w:t>амілорея</w:t>
      </w:r>
      <w:proofErr w:type="spellEnd"/>
      <w:r w:rsidRPr="00AE3AAA">
        <w:rPr>
          <w:sz w:val="28"/>
          <w:szCs w:val="28"/>
          <w:lang w:val="uk-UA"/>
        </w:rPr>
        <w:t xml:space="preserve">, при бактеріологічному посіві - надмірний ріст </w:t>
      </w:r>
      <w:proofErr w:type="spellStart"/>
      <w:r w:rsidRPr="00AE3AAA">
        <w:rPr>
          <w:sz w:val="28"/>
          <w:szCs w:val="28"/>
          <w:lang w:val="uk-UA"/>
        </w:rPr>
        <w:t>Proteus</w:t>
      </w:r>
      <w:proofErr w:type="spellEnd"/>
      <w:r w:rsidRPr="00AE3AAA">
        <w:rPr>
          <w:sz w:val="28"/>
          <w:szCs w:val="28"/>
          <w:lang w:val="uk-UA"/>
        </w:rPr>
        <w:t xml:space="preserve"> </w:t>
      </w:r>
      <w:proofErr w:type="spellStart"/>
      <w:r w:rsidRPr="00AE3AAA">
        <w:rPr>
          <w:sz w:val="28"/>
          <w:szCs w:val="28"/>
          <w:lang w:val="uk-UA"/>
        </w:rPr>
        <w:t>mirabilis</w:t>
      </w:r>
      <w:proofErr w:type="spellEnd"/>
      <w:r w:rsidRPr="00AE3AAA">
        <w:rPr>
          <w:sz w:val="28"/>
          <w:szCs w:val="28"/>
          <w:lang w:val="uk-UA"/>
        </w:rPr>
        <w:t>.</w:t>
      </w:r>
    </w:p>
    <w:p w:rsidR="00C05912" w:rsidRPr="00C05912" w:rsidRDefault="00C05912" w:rsidP="00C05912">
      <w:pPr>
        <w:spacing w:after="0" w:line="360" w:lineRule="auto"/>
        <w:ind w:firstLine="709"/>
        <w:jc w:val="both"/>
        <w:rPr>
          <w:sz w:val="28"/>
          <w:szCs w:val="28"/>
          <w:lang w:val="uk-UA"/>
        </w:rPr>
      </w:pPr>
      <w:r w:rsidRPr="00C05912">
        <w:rPr>
          <w:sz w:val="28"/>
          <w:szCs w:val="28"/>
          <w:lang w:val="uk-UA"/>
        </w:rPr>
        <w:t>Фекальн</w:t>
      </w:r>
      <w:r w:rsidR="00AE3AAA">
        <w:rPr>
          <w:sz w:val="28"/>
          <w:szCs w:val="28"/>
          <w:lang w:val="uk-UA"/>
        </w:rPr>
        <w:t>а</w:t>
      </w:r>
      <w:r w:rsidRPr="00C05912">
        <w:rPr>
          <w:sz w:val="28"/>
          <w:szCs w:val="28"/>
          <w:lang w:val="uk-UA"/>
        </w:rPr>
        <w:t xml:space="preserve"> еластаза</w:t>
      </w:r>
      <w:r w:rsidR="00480866">
        <w:rPr>
          <w:sz w:val="28"/>
          <w:szCs w:val="28"/>
          <w:lang w:val="uk-UA"/>
        </w:rPr>
        <w:t>-</w:t>
      </w:r>
      <w:r w:rsidRPr="00C05912">
        <w:rPr>
          <w:sz w:val="28"/>
          <w:szCs w:val="28"/>
          <w:lang w:val="uk-UA"/>
        </w:rPr>
        <w:t>1</w:t>
      </w:r>
      <w:r w:rsidR="00480866">
        <w:rPr>
          <w:sz w:val="28"/>
          <w:szCs w:val="28"/>
          <w:lang w:val="uk-UA"/>
        </w:rPr>
        <w:t xml:space="preserve"> </w:t>
      </w:r>
      <w:r w:rsidRPr="00C05912">
        <w:rPr>
          <w:sz w:val="28"/>
          <w:szCs w:val="28"/>
          <w:lang w:val="uk-UA"/>
        </w:rPr>
        <w:t>-</w:t>
      </w:r>
      <w:r w:rsidR="00480866">
        <w:rPr>
          <w:sz w:val="28"/>
          <w:szCs w:val="28"/>
          <w:lang w:val="uk-UA"/>
        </w:rPr>
        <w:t xml:space="preserve"> </w:t>
      </w:r>
      <w:r w:rsidRPr="00C05912">
        <w:rPr>
          <w:sz w:val="28"/>
          <w:szCs w:val="28"/>
          <w:lang w:val="uk-UA"/>
        </w:rPr>
        <w:t xml:space="preserve">125 </w:t>
      </w:r>
      <w:proofErr w:type="spellStart"/>
      <w:r w:rsidRPr="00C05912">
        <w:rPr>
          <w:sz w:val="28"/>
          <w:szCs w:val="28"/>
          <w:lang w:val="uk-UA"/>
        </w:rPr>
        <w:t>мкг</w:t>
      </w:r>
      <w:proofErr w:type="spellEnd"/>
      <w:r w:rsidRPr="00C05912">
        <w:rPr>
          <w:sz w:val="28"/>
          <w:szCs w:val="28"/>
          <w:lang w:val="uk-UA"/>
        </w:rPr>
        <w:t xml:space="preserve"> / г (N - 200-500 </w:t>
      </w:r>
      <w:proofErr w:type="spellStart"/>
      <w:r w:rsidRPr="00C05912">
        <w:rPr>
          <w:sz w:val="28"/>
          <w:szCs w:val="28"/>
          <w:lang w:val="uk-UA"/>
        </w:rPr>
        <w:t>мкг</w:t>
      </w:r>
      <w:proofErr w:type="spellEnd"/>
      <w:r w:rsidRPr="00C05912">
        <w:rPr>
          <w:sz w:val="28"/>
          <w:szCs w:val="28"/>
          <w:lang w:val="uk-UA"/>
        </w:rPr>
        <w:t xml:space="preserve"> / г).</w:t>
      </w:r>
    </w:p>
    <w:p w:rsidR="00C05912" w:rsidRPr="00C05912" w:rsidRDefault="00C05912" w:rsidP="00C05912">
      <w:pPr>
        <w:spacing w:after="0" w:line="360" w:lineRule="auto"/>
        <w:ind w:firstLine="709"/>
        <w:jc w:val="both"/>
        <w:rPr>
          <w:sz w:val="28"/>
          <w:szCs w:val="28"/>
          <w:lang w:val="uk-UA"/>
        </w:rPr>
      </w:pPr>
      <w:r w:rsidRPr="00C05912">
        <w:rPr>
          <w:sz w:val="28"/>
          <w:szCs w:val="28"/>
          <w:lang w:val="uk-UA"/>
        </w:rPr>
        <w:t xml:space="preserve">Водневий дихальний тест - 15 </w:t>
      </w:r>
      <w:proofErr w:type="spellStart"/>
      <w:r w:rsidRPr="00C05912">
        <w:rPr>
          <w:sz w:val="28"/>
          <w:szCs w:val="28"/>
          <w:lang w:val="uk-UA"/>
        </w:rPr>
        <w:t>ppm</w:t>
      </w:r>
      <w:proofErr w:type="spellEnd"/>
      <w:r w:rsidRPr="00C05912">
        <w:rPr>
          <w:sz w:val="28"/>
          <w:szCs w:val="28"/>
          <w:lang w:val="uk-UA"/>
        </w:rPr>
        <w:t xml:space="preserve"> (N - 0-10 </w:t>
      </w:r>
      <w:proofErr w:type="spellStart"/>
      <w:r w:rsidRPr="00C05912">
        <w:rPr>
          <w:sz w:val="28"/>
          <w:szCs w:val="28"/>
          <w:lang w:val="uk-UA"/>
        </w:rPr>
        <w:t>ppm</w:t>
      </w:r>
      <w:proofErr w:type="spellEnd"/>
      <w:r w:rsidRPr="00C05912">
        <w:rPr>
          <w:sz w:val="28"/>
          <w:szCs w:val="28"/>
          <w:lang w:val="uk-UA"/>
        </w:rPr>
        <w:t>).</w:t>
      </w:r>
    </w:p>
    <w:p w:rsidR="00C05912" w:rsidRPr="00C05912" w:rsidRDefault="00C05912" w:rsidP="00C05912">
      <w:pPr>
        <w:spacing w:after="0" w:line="360" w:lineRule="auto"/>
        <w:ind w:firstLine="709"/>
        <w:jc w:val="both"/>
        <w:rPr>
          <w:sz w:val="28"/>
          <w:szCs w:val="28"/>
          <w:lang w:val="uk-UA"/>
        </w:rPr>
      </w:pPr>
      <w:r w:rsidRPr="00C05912">
        <w:rPr>
          <w:sz w:val="28"/>
          <w:szCs w:val="28"/>
          <w:lang w:val="uk-UA"/>
        </w:rPr>
        <w:t>Ультразвукове дослідження черевної порожнини: дифузні зміни печінки і підшлункової залози.</w:t>
      </w:r>
    </w:p>
    <w:p w:rsidR="00C05912" w:rsidRPr="00C05912" w:rsidRDefault="00C05912" w:rsidP="00C05912">
      <w:pPr>
        <w:spacing w:after="0" w:line="360" w:lineRule="auto"/>
        <w:ind w:firstLine="709"/>
        <w:jc w:val="both"/>
        <w:rPr>
          <w:sz w:val="28"/>
          <w:szCs w:val="28"/>
          <w:lang w:val="uk-UA"/>
        </w:rPr>
      </w:pPr>
      <w:r w:rsidRPr="00C05912">
        <w:rPr>
          <w:sz w:val="28"/>
          <w:szCs w:val="28"/>
          <w:lang w:val="uk-UA"/>
        </w:rPr>
        <w:t xml:space="preserve">ЕГДС - поверхневий </w:t>
      </w:r>
      <w:proofErr w:type="spellStart"/>
      <w:r w:rsidRPr="00C05912">
        <w:rPr>
          <w:sz w:val="28"/>
          <w:szCs w:val="28"/>
          <w:lang w:val="uk-UA"/>
        </w:rPr>
        <w:t>гастродуоденіт</w:t>
      </w:r>
      <w:proofErr w:type="spellEnd"/>
      <w:r w:rsidRPr="00C05912">
        <w:rPr>
          <w:sz w:val="28"/>
          <w:szCs w:val="28"/>
          <w:lang w:val="uk-UA"/>
        </w:rPr>
        <w:t>.</w:t>
      </w:r>
    </w:p>
    <w:p w:rsidR="00C05912" w:rsidRPr="00C05912" w:rsidRDefault="00C05912" w:rsidP="00C05912">
      <w:pPr>
        <w:spacing w:after="0" w:line="360" w:lineRule="auto"/>
        <w:ind w:firstLine="709"/>
        <w:jc w:val="both"/>
        <w:rPr>
          <w:sz w:val="28"/>
          <w:szCs w:val="28"/>
          <w:lang w:val="uk-UA"/>
        </w:rPr>
      </w:pPr>
      <w:r w:rsidRPr="00C05912">
        <w:rPr>
          <w:sz w:val="28"/>
          <w:szCs w:val="28"/>
          <w:lang w:val="uk-UA"/>
        </w:rPr>
        <w:t xml:space="preserve">На підставі скарг пацієнта, даних </w:t>
      </w:r>
      <w:proofErr w:type="spellStart"/>
      <w:r w:rsidRPr="00C05912">
        <w:rPr>
          <w:sz w:val="28"/>
          <w:szCs w:val="28"/>
          <w:lang w:val="uk-UA"/>
        </w:rPr>
        <w:t>фізикального</w:t>
      </w:r>
      <w:proofErr w:type="spellEnd"/>
      <w:r w:rsidRPr="00C05912">
        <w:rPr>
          <w:sz w:val="28"/>
          <w:szCs w:val="28"/>
          <w:lang w:val="uk-UA"/>
        </w:rPr>
        <w:t xml:space="preserve"> огляду, лабораторно-інструментального обстеження пацієнта виставлен</w:t>
      </w:r>
      <w:r w:rsidR="00AE3AAA">
        <w:rPr>
          <w:sz w:val="28"/>
          <w:szCs w:val="28"/>
          <w:lang w:val="uk-UA"/>
        </w:rPr>
        <w:t>о</w:t>
      </w:r>
      <w:r w:rsidRPr="00C05912">
        <w:rPr>
          <w:sz w:val="28"/>
          <w:szCs w:val="28"/>
          <w:lang w:val="uk-UA"/>
        </w:rPr>
        <w:t xml:space="preserve"> діагноз: хронічний </w:t>
      </w:r>
      <w:proofErr w:type="spellStart"/>
      <w:r w:rsidRPr="00C05912">
        <w:rPr>
          <w:sz w:val="28"/>
          <w:szCs w:val="28"/>
          <w:lang w:val="uk-UA"/>
        </w:rPr>
        <w:t>токсико</w:t>
      </w:r>
      <w:proofErr w:type="spellEnd"/>
      <w:r w:rsidRPr="00C05912">
        <w:rPr>
          <w:sz w:val="28"/>
          <w:szCs w:val="28"/>
          <w:lang w:val="uk-UA"/>
        </w:rPr>
        <w:t xml:space="preserve">-метаболічний панкреатит, стадія С2 </w:t>
      </w:r>
      <w:r w:rsidR="00AE3AAA">
        <w:rPr>
          <w:sz w:val="28"/>
          <w:szCs w:val="28"/>
          <w:lang w:val="uk-UA"/>
        </w:rPr>
        <w:t>за</w:t>
      </w:r>
      <w:r w:rsidRPr="00C05912">
        <w:rPr>
          <w:sz w:val="28"/>
          <w:szCs w:val="28"/>
          <w:lang w:val="uk-UA"/>
        </w:rPr>
        <w:t xml:space="preserve"> </w:t>
      </w:r>
      <w:proofErr w:type="spellStart"/>
      <w:r w:rsidRPr="00C05912">
        <w:rPr>
          <w:sz w:val="28"/>
          <w:szCs w:val="28"/>
          <w:lang w:val="uk-UA"/>
        </w:rPr>
        <w:t>Buchler</w:t>
      </w:r>
      <w:proofErr w:type="spellEnd"/>
      <w:r w:rsidRPr="00C05912">
        <w:rPr>
          <w:sz w:val="28"/>
          <w:szCs w:val="28"/>
          <w:lang w:val="uk-UA"/>
        </w:rPr>
        <w:t>, загострення. ТН легкого ступеня (18 балів). Синдром надлишкового бактеріального росту в тонкій кишці. Ожиріння I ст.</w:t>
      </w:r>
    </w:p>
    <w:p w:rsidR="00C05912" w:rsidRPr="00C05912" w:rsidRDefault="00C05912" w:rsidP="00C05912">
      <w:pPr>
        <w:spacing w:after="0" w:line="360" w:lineRule="auto"/>
        <w:ind w:firstLine="709"/>
        <w:jc w:val="both"/>
        <w:rPr>
          <w:sz w:val="28"/>
          <w:szCs w:val="28"/>
          <w:lang w:val="uk-UA"/>
        </w:rPr>
      </w:pPr>
      <w:r w:rsidRPr="00C05912">
        <w:rPr>
          <w:sz w:val="28"/>
          <w:szCs w:val="28"/>
          <w:lang w:val="uk-UA"/>
        </w:rPr>
        <w:t>Пацієнт отримував комбіновану терапію (</w:t>
      </w:r>
      <w:proofErr w:type="spellStart"/>
      <w:r w:rsidRPr="00C05912">
        <w:rPr>
          <w:sz w:val="28"/>
          <w:szCs w:val="28"/>
          <w:lang w:val="uk-UA"/>
        </w:rPr>
        <w:t>креон</w:t>
      </w:r>
      <w:proofErr w:type="spellEnd"/>
      <w:r w:rsidRPr="00C05912">
        <w:rPr>
          <w:sz w:val="28"/>
          <w:szCs w:val="28"/>
          <w:lang w:val="uk-UA"/>
        </w:rPr>
        <w:t xml:space="preserve"> 30000 ОД, </w:t>
      </w:r>
      <w:proofErr w:type="spellStart"/>
      <w:r w:rsidRPr="00C05912">
        <w:rPr>
          <w:sz w:val="28"/>
          <w:szCs w:val="28"/>
          <w:lang w:val="uk-UA"/>
        </w:rPr>
        <w:t>еншур</w:t>
      </w:r>
      <w:proofErr w:type="spellEnd"/>
      <w:r w:rsidRPr="00C05912">
        <w:rPr>
          <w:sz w:val="28"/>
          <w:szCs w:val="28"/>
          <w:lang w:val="uk-UA"/>
        </w:rPr>
        <w:t xml:space="preserve"> 2), інгібітори протонної помпи. На тлі терапії больовий синдром був куп</w:t>
      </w:r>
      <w:r w:rsidR="00AE3AAA">
        <w:rPr>
          <w:sz w:val="28"/>
          <w:szCs w:val="28"/>
          <w:lang w:val="uk-UA"/>
        </w:rPr>
        <w:t>ова</w:t>
      </w:r>
      <w:r w:rsidRPr="00C05912">
        <w:rPr>
          <w:sz w:val="28"/>
          <w:szCs w:val="28"/>
          <w:lang w:val="uk-UA"/>
        </w:rPr>
        <w:t>ний на 6-ту добу, диспепсичні явища - в першу добу.</w:t>
      </w:r>
    </w:p>
    <w:p w:rsidR="00C05912" w:rsidRPr="00C05912" w:rsidRDefault="00C05912" w:rsidP="00C05912">
      <w:pPr>
        <w:spacing w:after="0" w:line="360" w:lineRule="auto"/>
        <w:ind w:firstLine="709"/>
        <w:jc w:val="both"/>
        <w:rPr>
          <w:sz w:val="28"/>
          <w:szCs w:val="28"/>
          <w:lang w:val="uk-UA"/>
        </w:rPr>
      </w:pPr>
      <w:r w:rsidRPr="00C05912">
        <w:rPr>
          <w:sz w:val="28"/>
          <w:szCs w:val="28"/>
          <w:lang w:val="uk-UA"/>
        </w:rPr>
        <w:t xml:space="preserve">До моменту закінчення стаціонарного етапу лікування в контрольних аналізах амілаза і ліпаза відповідали </w:t>
      </w:r>
      <w:proofErr w:type="spellStart"/>
      <w:r w:rsidRPr="00C05912">
        <w:rPr>
          <w:sz w:val="28"/>
          <w:szCs w:val="28"/>
          <w:lang w:val="uk-UA"/>
        </w:rPr>
        <w:t>референсним</w:t>
      </w:r>
      <w:proofErr w:type="spellEnd"/>
      <w:r w:rsidRPr="00C05912">
        <w:rPr>
          <w:sz w:val="28"/>
          <w:szCs w:val="28"/>
          <w:lang w:val="uk-UA"/>
        </w:rPr>
        <w:t xml:space="preserve"> значенням. Через 10 тижнів терапії</w:t>
      </w:r>
      <w:r w:rsidR="00AE3AAA">
        <w:rPr>
          <w:sz w:val="28"/>
          <w:szCs w:val="28"/>
          <w:lang w:val="uk-UA"/>
        </w:rPr>
        <w:t xml:space="preserve"> була</w:t>
      </w:r>
      <w:r w:rsidRPr="00C05912">
        <w:rPr>
          <w:sz w:val="28"/>
          <w:szCs w:val="28"/>
          <w:lang w:val="uk-UA"/>
        </w:rPr>
        <w:t xml:space="preserve"> відзначена нормалізація фекальної еластази-1. Крім того регресува</w:t>
      </w:r>
      <w:r w:rsidR="00AE3AAA">
        <w:rPr>
          <w:sz w:val="28"/>
          <w:szCs w:val="28"/>
          <w:lang w:val="uk-UA"/>
        </w:rPr>
        <w:t>ла</w:t>
      </w:r>
      <w:r w:rsidRPr="00C05912">
        <w:rPr>
          <w:sz w:val="28"/>
          <w:szCs w:val="28"/>
          <w:lang w:val="uk-UA"/>
        </w:rPr>
        <w:t xml:space="preserve"> екзокринна недостатність підшлункової залози, проте зберігалася ТН легкого ступеня, що вказувало на необхідність більш тривалого курсу комбінованої терапії.</w:t>
      </w:r>
    </w:p>
    <w:p w:rsidR="00C05912" w:rsidRPr="00C05912" w:rsidRDefault="00C05912" w:rsidP="00C05912">
      <w:pPr>
        <w:spacing w:after="0"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C05912">
        <w:rPr>
          <w:b/>
          <w:sz w:val="28"/>
          <w:szCs w:val="28"/>
          <w:lang w:val="uk-UA"/>
        </w:rPr>
        <w:t>Обговорення</w:t>
      </w:r>
    </w:p>
    <w:p w:rsidR="00C05912" w:rsidRDefault="00C05912" w:rsidP="00C05912">
      <w:pPr>
        <w:spacing w:after="0" w:line="360" w:lineRule="auto"/>
        <w:ind w:firstLine="709"/>
        <w:jc w:val="both"/>
        <w:rPr>
          <w:sz w:val="28"/>
          <w:szCs w:val="28"/>
          <w:lang w:val="uk-UA"/>
        </w:rPr>
      </w:pPr>
      <w:r w:rsidRPr="00C05912">
        <w:rPr>
          <w:sz w:val="28"/>
          <w:szCs w:val="28"/>
          <w:lang w:val="uk-UA"/>
        </w:rPr>
        <w:t>В даний час на зміну старим поняттям «маразм» і «</w:t>
      </w:r>
      <w:proofErr w:type="spellStart"/>
      <w:r w:rsidRPr="00C05912">
        <w:rPr>
          <w:sz w:val="28"/>
          <w:szCs w:val="28"/>
          <w:lang w:val="uk-UA"/>
        </w:rPr>
        <w:t>квашиоркор</w:t>
      </w:r>
      <w:proofErr w:type="spellEnd"/>
      <w:r w:rsidRPr="00C05912">
        <w:rPr>
          <w:sz w:val="28"/>
          <w:szCs w:val="28"/>
          <w:lang w:val="uk-UA"/>
        </w:rPr>
        <w:t>» прийшли нові визначення, такі як «</w:t>
      </w:r>
      <w:proofErr w:type="spellStart"/>
      <w:r w:rsidRPr="00C05912">
        <w:rPr>
          <w:sz w:val="28"/>
          <w:szCs w:val="28"/>
          <w:lang w:val="uk-UA"/>
        </w:rPr>
        <w:t>саркопенія</w:t>
      </w:r>
      <w:proofErr w:type="spellEnd"/>
      <w:r w:rsidRPr="00C05912">
        <w:rPr>
          <w:sz w:val="28"/>
          <w:szCs w:val="28"/>
          <w:lang w:val="uk-UA"/>
        </w:rPr>
        <w:t>», «</w:t>
      </w:r>
      <w:proofErr w:type="spellStart"/>
      <w:r w:rsidRPr="00C05912">
        <w:rPr>
          <w:sz w:val="28"/>
          <w:szCs w:val="28"/>
          <w:lang w:val="uk-UA"/>
        </w:rPr>
        <w:t>пресаркопенія</w:t>
      </w:r>
      <w:proofErr w:type="spellEnd"/>
      <w:r w:rsidRPr="00C05912">
        <w:rPr>
          <w:sz w:val="28"/>
          <w:szCs w:val="28"/>
          <w:lang w:val="uk-UA"/>
        </w:rPr>
        <w:t>» «</w:t>
      </w:r>
      <w:proofErr w:type="spellStart"/>
      <w:r w:rsidRPr="00C05912">
        <w:rPr>
          <w:sz w:val="28"/>
          <w:szCs w:val="28"/>
          <w:lang w:val="uk-UA"/>
        </w:rPr>
        <w:t>саркопеніч</w:t>
      </w:r>
      <w:r w:rsidR="00AE3AAA">
        <w:rPr>
          <w:sz w:val="28"/>
          <w:szCs w:val="28"/>
          <w:lang w:val="uk-UA"/>
        </w:rPr>
        <w:t>н</w:t>
      </w:r>
      <w:r w:rsidRPr="00C05912">
        <w:rPr>
          <w:sz w:val="28"/>
          <w:szCs w:val="28"/>
          <w:lang w:val="uk-UA"/>
        </w:rPr>
        <w:t>е</w:t>
      </w:r>
      <w:proofErr w:type="spellEnd"/>
      <w:r w:rsidRPr="00C05912">
        <w:rPr>
          <w:sz w:val="28"/>
          <w:szCs w:val="28"/>
          <w:lang w:val="uk-UA"/>
        </w:rPr>
        <w:t xml:space="preserve"> ожиріння», «</w:t>
      </w:r>
      <w:proofErr w:type="spellStart"/>
      <w:r w:rsidRPr="00C05912">
        <w:rPr>
          <w:sz w:val="28"/>
          <w:szCs w:val="28"/>
          <w:lang w:val="uk-UA"/>
        </w:rPr>
        <w:t>остеосаркопенія</w:t>
      </w:r>
      <w:proofErr w:type="spellEnd"/>
      <w:r w:rsidRPr="00C05912">
        <w:rPr>
          <w:sz w:val="28"/>
          <w:szCs w:val="28"/>
          <w:lang w:val="uk-UA"/>
        </w:rPr>
        <w:t>». На наш погляд, введення цих клінічних термінів у лікарську практику доцільн</w:t>
      </w:r>
      <w:r w:rsidR="00AE3AAA">
        <w:rPr>
          <w:sz w:val="28"/>
          <w:szCs w:val="28"/>
          <w:lang w:val="uk-UA"/>
        </w:rPr>
        <w:t>іше</w:t>
      </w:r>
      <w:r w:rsidRPr="00C05912">
        <w:rPr>
          <w:sz w:val="28"/>
          <w:szCs w:val="28"/>
          <w:lang w:val="uk-UA"/>
        </w:rPr>
        <w:t xml:space="preserve">, </w:t>
      </w:r>
      <w:r w:rsidR="00AE3AAA">
        <w:rPr>
          <w:sz w:val="28"/>
          <w:szCs w:val="28"/>
          <w:lang w:val="uk-UA"/>
        </w:rPr>
        <w:t>оскільки</w:t>
      </w:r>
      <w:r w:rsidRPr="00C05912">
        <w:rPr>
          <w:sz w:val="28"/>
          <w:szCs w:val="28"/>
          <w:lang w:val="uk-UA"/>
        </w:rPr>
        <w:t xml:space="preserve"> дозволять детально охарактеризувати ТЗ з урахуванням жирового і м'язового складу і визначенням м'язової функції.</w:t>
      </w:r>
    </w:p>
    <w:p w:rsidR="00AE3AAA" w:rsidRPr="00797BA9" w:rsidRDefault="00AE3AAA" w:rsidP="00AE3AAA">
      <w:pPr>
        <w:spacing w:after="0" w:line="360" w:lineRule="auto"/>
        <w:ind w:firstLine="709"/>
        <w:jc w:val="both"/>
        <w:rPr>
          <w:sz w:val="28"/>
          <w:szCs w:val="28"/>
          <w:lang w:val="uk-UA"/>
        </w:rPr>
      </w:pPr>
      <w:r w:rsidRPr="00797BA9">
        <w:rPr>
          <w:sz w:val="28"/>
          <w:szCs w:val="28"/>
          <w:lang w:val="uk-UA"/>
        </w:rPr>
        <w:t>Залежно від етіологіч</w:t>
      </w:r>
      <w:r w:rsidR="00797BA9" w:rsidRPr="00797BA9">
        <w:rPr>
          <w:sz w:val="28"/>
          <w:szCs w:val="28"/>
          <w:lang w:val="uk-UA"/>
        </w:rPr>
        <w:t>н</w:t>
      </w:r>
      <w:r w:rsidRPr="00797BA9">
        <w:rPr>
          <w:sz w:val="28"/>
          <w:szCs w:val="28"/>
          <w:lang w:val="uk-UA"/>
        </w:rPr>
        <w:t xml:space="preserve">ого </w:t>
      </w:r>
      <w:proofErr w:type="spellStart"/>
      <w:r w:rsidRPr="00797BA9">
        <w:rPr>
          <w:sz w:val="28"/>
          <w:szCs w:val="28"/>
          <w:lang w:val="uk-UA"/>
        </w:rPr>
        <w:t>фактора</w:t>
      </w:r>
      <w:proofErr w:type="spellEnd"/>
      <w:r w:rsidRPr="00797BA9">
        <w:rPr>
          <w:sz w:val="28"/>
          <w:szCs w:val="28"/>
          <w:lang w:val="uk-UA"/>
        </w:rPr>
        <w:t xml:space="preserve"> виділяють первинну (пов'язана зі старінням організму) і вторинну </w:t>
      </w:r>
      <w:proofErr w:type="spellStart"/>
      <w:r w:rsidRPr="00797BA9">
        <w:rPr>
          <w:sz w:val="28"/>
          <w:szCs w:val="28"/>
          <w:lang w:val="uk-UA"/>
        </w:rPr>
        <w:t>саркопенію</w:t>
      </w:r>
      <w:proofErr w:type="spellEnd"/>
      <w:r w:rsidRPr="00797BA9">
        <w:rPr>
          <w:sz w:val="28"/>
          <w:szCs w:val="28"/>
          <w:lang w:val="uk-UA"/>
        </w:rPr>
        <w:t xml:space="preserve"> [11].</w:t>
      </w:r>
    </w:p>
    <w:p w:rsidR="00AE3AAA" w:rsidRPr="00AE3AAA" w:rsidRDefault="00AE3AAA" w:rsidP="00AE3AAA">
      <w:pPr>
        <w:spacing w:after="0" w:line="360" w:lineRule="auto"/>
        <w:ind w:firstLine="709"/>
        <w:jc w:val="both"/>
        <w:rPr>
          <w:sz w:val="28"/>
          <w:szCs w:val="28"/>
          <w:lang w:val="uk-UA"/>
        </w:rPr>
      </w:pPr>
      <w:r w:rsidRPr="00AE3AAA">
        <w:rPr>
          <w:sz w:val="28"/>
          <w:szCs w:val="28"/>
          <w:lang w:val="uk-UA"/>
        </w:rPr>
        <w:lastRenderedPageBreak/>
        <w:t xml:space="preserve">Вторинна </w:t>
      </w:r>
      <w:proofErr w:type="spellStart"/>
      <w:r w:rsidRPr="00AE3AAA">
        <w:rPr>
          <w:sz w:val="28"/>
          <w:szCs w:val="28"/>
          <w:lang w:val="uk-UA"/>
        </w:rPr>
        <w:t>саркопенія</w:t>
      </w:r>
      <w:proofErr w:type="spellEnd"/>
      <w:r w:rsidRPr="00AE3AAA">
        <w:rPr>
          <w:sz w:val="28"/>
          <w:szCs w:val="28"/>
          <w:lang w:val="uk-UA"/>
        </w:rPr>
        <w:t xml:space="preserve"> може бути обумовлена ​​низькою фізичною активністю, порушенням харчування і хронічними захворюваннями. Дані про поширеність </w:t>
      </w:r>
      <w:proofErr w:type="spellStart"/>
      <w:r w:rsidRPr="00AE3AAA">
        <w:rPr>
          <w:sz w:val="28"/>
          <w:szCs w:val="28"/>
          <w:lang w:val="uk-UA"/>
        </w:rPr>
        <w:t>саркопені</w:t>
      </w:r>
      <w:r w:rsidR="00797BA9">
        <w:rPr>
          <w:sz w:val="28"/>
          <w:szCs w:val="28"/>
          <w:lang w:val="uk-UA"/>
        </w:rPr>
        <w:t>ї</w:t>
      </w:r>
      <w:proofErr w:type="spellEnd"/>
      <w:r w:rsidRPr="00AE3AAA">
        <w:rPr>
          <w:sz w:val="28"/>
          <w:szCs w:val="28"/>
          <w:lang w:val="uk-UA"/>
        </w:rPr>
        <w:t xml:space="preserve"> різняться: у пацієнтів з онкологічними захворюваннями </w:t>
      </w:r>
      <w:proofErr w:type="spellStart"/>
      <w:r w:rsidRPr="00AE3AAA">
        <w:rPr>
          <w:sz w:val="28"/>
          <w:szCs w:val="28"/>
          <w:lang w:val="uk-UA"/>
        </w:rPr>
        <w:t>саркопенія</w:t>
      </w:r>
      <w:proofErr w:type="spellEnd"/>
      <w:r w:rsidRPr="00AE3AAA">
        <w:rPr>
          <w:sz w:val="28"/>
          <w:szCs w:val="28"/>
          <w:lang w:val="uk-UA"/>
        </w:rPr>
        <w:t xml:space="preserve"> спостерігається у 15-50%, у хворих з печінковою недостатністю - у 30-45%, і у хворих в критичному стані - у 60-70% [17, 21].</w:t>
      </w:r>
    </w:p>
    <w:p w:rsidR="00AE3AAA" w:rsidRPr="00AE3AAA" w:rsidRDefault="00AE3AAA" w:rsidP="00AE3AAA">
      <w:pPr>
        <w:spacing w:after="0" w:line="360" w:lineRule="auto"/>
        <w:ind w:firstLine="709"/>
        <w:jc w:val="both"/>
        <w:rPr>
          <w:sz w:val="28"/>
          <w:szCs w:val="28"/>
          <w:lang w:val="uk-UA"/>
        </w:rPr>
      </w:pPr>
      <w:proofErr w:type="spellStart"/>
      <w:r w:rsidRPr="00AE3AAA">
        <w:rPr>
          <w:sz w:val="28"/>
          <w:szCs w:val="28"/>
          <w:lang w:val="uk-UA"/>
        </w:rPr>
        <w:t>Саркопенія</w:t>
      </w:r>
      <w:proofErr w:type="spellEnd"/>
      <w:r w:rsidRPr="00AE3AAA">
        <w:rPr>
          <w:sz w:val="28"/>
          <w:szCs w:val="28"/>
          <w:lang w:val="uk-UA"/>
        </w:rPr>
        <w:t xml:space="preserve"> нерідко поєднується з іншими змінами складу тіла - зниженою кістковою масою (</w:t>
      </w:r>
      <w:proofErr w:type="spellStart"/>
      <w:r w:rsidRPr="00AE3AAA">
        <w:rPr>
          <w:sz w:val="28"/>
          <w:szCs w:val="28"/>
          <w:lang w:val="uk-UA"/>
        </w:rPr>
        <w:t>саркоостеопороз</w:t>
      </w:r>
      <w:proofErr w:type="spellEnd"/>
      <w:r w:rsidRPr="00AE3AAA">
        <w:rPr>
          <w:sz w:val="28"/>
          <w:szCs w:val="28"/>
          <w:lang w:val="uk-UA"/>
        </w:rPr>
        <w:t xml:space="preserve"> або </w:t>
      </w:r>
      <w:proofErr w:type="spellStart"/>
      <w:r w:rsidRPr="00AE3AAA">
        <w:rPr>
          <w:sz w:val="28"/>
          <w:szCs w:val="28"/>
          <w:lang w:val="uk-UA"/>
        </w:rPr>
        <w:t>остеосаркопенія</w:t>
      </w:r>
      <w:proofErr w:type="spellEnd"/>
      <w:r w:rsidRPr="00AE3AAA">
        <w:rPr>
          <w:sz w:val="28"/>
          <w:szCs w:val="28"/>
          <w:lang w:val="uk-UA"/>
        </w:rPr>
        <w:t>), підвищено</w:t>
      </w:r>
      <w:r w:rsidR="00797BA9">
        <w:rPr>
          <w:sz w:val="28"/>
          <w:szCs w:val="28"/>
          <w:lang w:val="uk-UA"/>
        </w:rPr>
        <w:t>ю</w:t>
      </w:r>
      <w:r w:rsidRPr="00AE3AAA">
        <w:rPr>
          <w:sz w:val="28"/>
          <w:szCs w:val="28"/>
          <w:lang w:val="uk-UA"/>
        </w:rPr>
        <w:t xml:space="preserve"> жирово</w:t>
      </w:r>
      <w:r w:rsidR="00797BA9">
        <w:rPr>
          <w:sz w:val="28"/>
          <w:szCs w:val="28"/>
          <w:lang w:val="uk-UA"/>
        </w:rPr>
        <w:t>ю</w:t>
      </w:r>
      <w:r w:rsidRPr="00AE3AAA">
        <w:rPr>
          <w:sz w:val="28"/>
          <w:szCs w:val="28"/>
          <w:lang w:val="uk-UA"/>
        </w:rPr>
        <w:t xml:space="preserve"> масою (</w:t>
      </w:r>
      <w:proofErr w:type="spellStart"/>
      <w:r w:rsidRPr="00AE3AAA">
        <w:rPr>
          <w:sz w:val="28"/>
          <w:szCs w:val="28"/>
          <w:lang w:val="uk-UA"/>
        </w:rPr>
        <w:t>саркопеніч</w:t>
      </w:r>
      <w:r w:rsidR="00797BA9">
        <w:rPr>
          <w:sz w:val="28"/>
          <w:szCs w:val="28"/>
          <w:lang w:val="uk-UA"/>
        </w:rPr>
        <w:t>н</w:t>
      </w:r>
      <w:r w:rsidRPr="00AE3AAA">
        <w:rPr>
          <w:sz w:val="28"/>
          <w:szCs w:val="28"/>
          <w:lang w:val="uk-UA"/>
        </w:rPr>
        <w:t>е</w:t>
      </w:r>
      <w:proofErr w:type="spellEnd"/>
      <w:r w:rsidRPr="00AE3AAA">
        <w:rPr>
          <w:sz w:val="28"/>
          <w:szCs w:val="28"/>
          <w:lang w:val="uk-UA"/>
        </w:rPr>
        <w:t xml:space="preserve"> ожиріння), або комбінацією цих змін (</w:t>
      </w:r>
      <w:proofErr w:type="spellStart"/>
      <w:r w:rsidRPr="00AE3AAA">
        <w:rPr>
          <w:sz w:val="28"/>
          <w:szCs w:val="28"/>
          <w:lang w:val="uk-UA"/>
        </w:rPr>
        <w:t>остеосаркопеніч</w:t>
      </w:r>
      <w:r w:rsidR="00797BA9">
        <w:rPr>
          <w:sz w:val="28"/>
          <w:szCs w:val="28"/>
          <w:lang w:val="uk-UA"/>
        </w:rPr>
        <w:t>н</w:t>
      </w:r>
      <w:r w:rsidRPr="00AE3AAA">
        <w:rPr>
          <w:sz w:val="28"/>
          <w:szCs w:val="28"/>
          <w:lang w:val="uk-UA"/>
        </w:rPr>
        <w:t>е</w:t>
      </w:r>
      <w:proofErr w:type="spellEnd"/>
      <w:r w:rsidRPr="00AE3AAA">
        <w:rPr>
          <w:sz w:val="28"/>
          <w:szCs w:val="28"/>
          <w:lang w:val="uk-UA"/>
        </w:rPr>
        <w:t xml:space="preserve"> ожиріння).</w:t>
      </w:r>
    </w:p>
    <w:p w:rsidR="00AE3AAA" w:rsidRPr="00AE3AAA" w:rsidRDefault="00AE3AAA" w:rsidP="00AE3AAA">
      <w:pPr>
        <w:spacing w:after="0" w:line="360" w:lineRule="auto"/>
        <w:ind w:firstLine="709"/>
        <w:jc w:val="both"/>
        <w:rPr>
          <w:sz w:val="28"/>
          <w:szCs w:val="28"/>
          <w:lang w:val="uk-UA"/>
        </w:rPr>
      </w:pPr>
      <w:r w:rsidRPr="00AE3AAA">
        <w:rPr>
          <w:sz w:val="28"/>
          <w:szCs w:val="28"/>
          <w:lang w:val="uk-UA"/>
        </w:rPr>
        <w:t xml:space="preserve">За даними N. </w:t>
      </w:r>
      <w:proofErr w:type="spellStart"/>
      <w:r w:rsidRPr="00AE3AAA">
        <w:rPr>
          <w:sz w:val="28"/>
          <w:szCs w:val="28"/>
          <w:lang w:val="uk-UA"/>
        </w:rPr>
        <w:t>Kawao</w:t>
      </w:r>
      <w:proofErr w:type="spellEnd"/>
      <w:r w:rsidRPr="00AE3AAA">
        <w:rPr>
          <w:sz w:val="28"/>
          <w:szCs w:val="28"/>
          <w:lang w:val="uk-UA"/>
        </w:rPr>
        <w:t>, кістково-м'язов</w:t>
      </w:r>
      <w:r w:rsidR="00797BA9">
        <w:rPr>
          <w:sz w:val="28"/>
          <w:szCs w:val="28"/>
          <w:lang w:val="uk-UA"/>
        </w:rPr>
        <w:t>а</w:t>
      </w:r>
      <w:r w:rsidRPr="00AE3AAA">
        <w:rPr>
          <w:sz w:val="28"/>
          <w:szCs w:val="28"/>
          <w:lang w:val="uk-UA"/>
        </w:rPr>
        <w:t xml:space="preserve"> взаємодія регулюється біологічно активними речовинами, синтезовани</w:t>
      </w:r>
      <w:r w:rsidR="00797BA9">
        <w:rPr>
          <w:sz w:val="28"/>
          <w:szCs w:val="28"/>
          <w:lang w:val="uk-UA"/>
        </w:rPr>
        <w:t>ми</w:t>
      </w:r>
      <w:r w:rsidRPr="00AE3AAA">
        <w:rPr>
          <w:sz w:val="28"/>
          <w:szCs w:val="28"/>
          <w:lang w:val="uk-UA"/>
        </w:rPr>
        <w:t xml:space="preserve"> кістково</w:t>
      </w:r>
      <w:r w:rsidR="00797BA9">
        <w:rPr>
          <w:sz w:val="28"/>
          <w:szCs w:val="28"/>
          <w:lang w:val="uk-UA"/>
        </w:rPr>
        <w:t>ю</w:t>
      </w:r>
      <w:r w:rsidRPr="00AE3AAA">
        <w:rPr>
          <w:sz w:val="28"/>
          <w:szCs w:val="28"/>
          <w:lang w:val="uk-UA"/>
        </w:rPr>
        <w:t xml:space="preserve"> і м'язово</w:t>
      </w:r>
      <w:r w:rsidR="00797BA9">
        <w:rPr>
          <w:sz w:val="28"/>
          <w:szCs w:val="28"/>
          <w:lang w:val="uk-UA"/>
        </w:rPr>
        <w:t>ю</w:t>
      </w:r>
      <w:r w:rsidRPr="00AE3AAA">
        <w:rPr>
          <w:sz w:val="28"/>
          <w:szCs w:val="28"/>
          <w:lang w:val="uk-UA"/>
        </w:rPr>
        <w:t xml:space="preserve"> тканиною [16]. Так</w:t>
      </w:r>
      <w:r w:rsidR="00797BA9">
        <w:rPr>
          <w:sz w:val="28"/>
          <w:szCs w:val="28"/>
          <w:lang w:val="uk-UA"/>
        </w:rPr>
        <w:t>ою</w:t>
      </w:r>
      <w:r w:rsidRPr="00AE3AAA">
        <w:rPr>
          <w:sz w:val="28"/>
          <w:szCs w:val="28"/>
          <w:lang w:val="uk-UA"/>
        </w:rPr>
        <w:t xml:space="preserve"> речовиною є </w:t>
      </w:r>
      <w:proofErr w:type="spellStart"/>
      <w:r w:rsidRPr="00AE3AAA">
        <w:rPr>
          <w:sz w:val="28"/>
          <w:szCs w:val="28"/>
          <w:lang w:val="uk-UA"/>
        </w:rPr>
        <w:t>м</w:t>
      </w:r>
      <w:r w:rsidR="00797BA9">
        <w:rPr>
          <w:sz w:val="28"/>
          <w:szCs w:val="28"/>
          <w:lang w:val="uk-UA"/>
        </w:rPr>
        <w:t>і</w:t>
      </w:r>
      <w:r w:rsidRPr="00AE3AAA">
        <w:rPr>
          <w:sz w:val="28"/>
          <w:szCs w:val="28"/>
          <w:lang w:val="uk-UA"/>
        </w:rPr>
        <w:t>остатин</w:t>
      </w:r>
      <w:proofErr w:type="spellEnd"/>
      <w:r w:rsidRPr="00AE3AAA">
        <w:rPr>
          <w:sz w:val="28"/>
          <w:szCs w:val="28"/>
          <w:lang w:val="uk-UA"/>
        </w:rPr>
        <w:t xml:space="preserve">, вироблення якого посилюється при іммобілізації, інфекціях, травмі </w:t>
      </w:r>
      <w:r w:rsidR="00797BA9">
        <w:rPr>
          <w:sz w:val="28"/>
          <w:szCs w:val="28"/>
          <w:lang w:val="uk-UA"/>
        </w:rPr>
        <w:t>й</w:t>
      </w:r>
      <w:r w:rsidRPr="00AE3AAA">
        <w:rPr>
          <w:sz w:val="28"/>
          <w:szCs w:val="28"/>
          <w:lang w:val="uk-UA"/>
        </w:rPr>
        <w:t xml:space="preserve"> ін. [15]. </w:t>
      </w:r>
      <w:proofErr w:type="spellStart"/>
      <w:r w:rsidRPr="00AE3AAA">
        <w:rPr>
          <w:sz w:val="28"/>
          <w:szCs w:val="28"/>
          <w:lang w:val="uk-UA"/>
        </w:rPr>
        <w:t>М</w:t>
      </w:r>
      <w:r w:rsidR="00797BA9">
        <w:rPr>
          <w:sz w:val="28"/>
          <w:szCs w:val="28"/>
          <w:lang w:val="uk-UA"/>
        </w:rPr>
        <w:t>і</w:t>
      </w:r>
      <w:r w:rsidRPr="00AE3AAA">
        <w:rPr>
          <w:sz w:val="28"/>
          <w:szCs w:val="28"/>
          <w:lang w:val="uk-UA"/>
        </w:rPr>
        <w:t>остатин</w:t>
      </w:r>
      <w:proofErr w:type="spellEnd"/>
      <w:r w:rsidRPr="00AE3AAA">
        <w:rPr>
          <w:sz w:val="28"/>
          <w:szCs w:val="28"/>
          <w:lang w:val="uk-UA"/>
        </w:rPr>
        <w:t xml:space="preserve"> пригнічує ріст і диференціювання м'язової тканини, володіє </w:t>
      </w:r>
      <w:proofErr w:type="spellStart"/>
      <w:r w:rsidRPr="00AE3AAA">
        <w:rPr>
          <w:sz w:val="28"/>
          <w:szCs w:val="28"/>
          <w:lang w:val="uk-UA"/>
        </w:rPr>
        <w:t>ант</w:t>
      </w:r>
      <w:r w:rsidR="00797BA9">
        <w:rPr>
          <w:sz w:val="28"/>
          <w:szCs w:val="28"/>
          <w:lang w:val="uk-UA"/>
        </w:rPr>
        <w:t>и</w:t>
      </w:r>
      <w:r w:rsidRPr="00AE3AAA">
        <w:rPr>
          <w:sz w:val="28"/>
          <w:szCs w:val="28"/>
          <w:lang w:val="uk-UA"/>
        </w:rPr>
        <w:t>остеогенн</w:t>
      </w:r>
      <w:r w:rsidR="00797BA9">
        <w:rPr>
          <w:sz w:val="28"/>
          <w:szCs w:val="28"/>
          <w:lang w:val="uk-UA"/>
        </w:rPr>
        <w:t>ою</w:t>
      </w:r>
      <w:proofErr w:type="spellEnd"/>
      <w:r w:rsidRPr="00AE3AAA">
        <w:rPr>
          <w:sz w:val="28"/>
          <w:szCs w:val="28"/>
          <w:lang w:val="uk-UA"/>
        </w:rPr>
        <w:t xml:space="preserve"> дією.</w:t>
      </w:r>
    </w:p>
    <w:p w:rsidR="00AE3AAA" w:rsidRPr="00AE3AAA" w:rsidRDefault="00AE3AAA" w:rsidP="00AE3AAA">
      <w:pPr>
        <w:spacing w:after="0" w:line="360" w:lineRule="auto"/>
        <w:ind w:firstLine="709"/>
        <w:jc w:val="both"/>
        <w:rPr>
          <w:sz w:val="28"/>
          <w:szCs w:val="28"/>
          <w:lang w:val="uk-UA"/>
        </w:rPr>
      </w:pPr>
      <w:r w:rsidRPr="00AE3AAA">
        <w:rPr>
          <w:sz w:val="28"/>
          <w:szCs w:val="28"/>
          <w:lang w:val="uk-UA"/>
        </w:rPr>
        <w:t xml:space="preserve">Крім того, кожна атака ХП супроводжується реакцією </w:t>
      </w:r>
      <w:proofErr w:type="spellStart"/>
      <w:r w:rsidRPr="00AE3AAA">
        <w:rPr>
          <w:sz w:val="28"/>
          <w:szCs w:val="28"/>
          <w:lang w:val="uk-UA"/>
        </w:rPr>
        <w:t>гіперметаболізм</w:t>
      </w:r>
      <w:r w:rsidR="00797BA9">
        <w:rPr>
          <w:sz w:val="28"/>
          <w:szCs w:val="28"/>
          <w:lang w:val="uk-UA"/>
        </w:rPr>
        <w:t>у</w:t>
      </w:r>
      <w:proofErr w:type="spellEnd"/>
      <w:r w:rsidRPr="00AE3AAA">
        <w:rPr>
          <w:sz w:val="28"/>
          <w:szCs w:val="28"/>
          <w:lang w:val="uk-UA"/>
        </w:rPr>
        <w:t xml:space="preserve"> (сумарн</w:t>
      </w:r>
      <w:r w:rsidR="00797BA9">
        <w:rPr>
          <w:sz w:val="28"/>
          <w:szCs w:val="28"/>
          <w:lang w:val="uk-UA"/>
        </w:rPr>
        <w:t>а</w:t>
      </w:r>
      <w:r w:rsidRPr="00AE3AAA">
        <w:rPr>
          <w:sz w:val="28"/>
          <w:szCs w:val="28"/>
          <w:lang w:val="uk-UA"/>
        </w:rPr>
        <w:t xml:space="preserve"> метаболічн</w:t>
      </w:r>
      <w:r w:rsidR="00797BA9">
        <w:rPr>
          <w:sz w:val="28"/>
          <w:szCs w:val="28"/>
          <w:lang w:val="uk-UA"/>
        </w:rPr>
        <w:t>а</w:t>
      </w:r>
      <w:r w:rsidRPr="00AE3AAA">
        <w:rPr>
          <w:sz w:val="28"/>
          <w:szCs w:val="28"/>
          <w:lang w:val="uk-UA"/>
        </w:rPr>
        <w:t xml:space="preserve"> відповідь організму на </w:t>
      </w:r>
      <w:proofErr w:type="spellStart"/>
      <w:r w:rsidRPr="00AE3AAA">
        <w:rPr>
          <w:sz w:val="28"/>
          <w:szCs w:val="28"/>
          <w:lang w:val="uk-UA"/>
        </w:rPr>
        <w:t>генералізовану</w:t>
      </w:r>
      <w:proofErr w:type="spellEnd"/>
      <w:r w:rsidRPr="00AE3AAA">
        <w:rPr>
          <w:sz w:val="28"/>
          <w:szCs w:val="28"/>
          <w:lang w:val="uk-UA"/>
        </w:rPr>
        <w:t xml:space="preserve"> запальну реакцію) [18], що при</w:t>
      </w:r>
      <w:r w:rsidR="00480866">
        <w:rPr>
          <w:sz w:val="28"/>
          <w:szCs w:val="28"/>
          <w:lang w:val="uk-UA"/>
        </w:rPr>
        <w:t>з</w:t>
      </w:r>
      <w:r w:rsidRPr="00AE3AAA">
        <w:rPr>
          <w:sz w:val="28"/>
          <w:szCs w:val="28"/>
          <w:lang w:val="uk-UA"/>
        </w:rPr>
        <w:t xml:space="preserve">водить до протеолізу скелетної мускулатури і до зниження рівня амінокислот на 40% від нормальних значень. В результаті відбувається зниження загального обсягу м'язової маси на 15% [25], що є причиною </w:t>
      </w:r>
      <w:proofErr w:type="spellStart"/>
      <w:r w:rsidRPr="00AE3AAA">
        <w:rPr>
          <w:sz w:val="28"/>
          <w:szCs w:val="28"/>
          <w:lang w:val="uk-UA"/>
        </w:rPr>
        <w:t>саркопені</w:t>
      </w:r>
      <w:r w:rsidR="00797BA9">
        <w:rPr>
          <w:sz w:val="28"/>
          <w:szCs w:val="28"/>
          <w:lang w:val="uk-UA"/>
        </w:rPr>
        <w:t>ї</w:t>
      </w:r>
      <w:proofErr w:type="spellEnd"/>
      <w:r w:rsidRPr="00AE3AAA">
        <w:rPr>
          <w:sz w:val="28"/>
          <w:szCs w:val="28"/>
          <w:lang w:val="uk-UA"/>
        </w:rPr>
        <w:t xml:space="preserve"> у хворих </w:t>
      </w:r>
      <w:r w:rsidR="00480866">
        <w:rPr>
          <w:sz w:val="28"/>
          <w:szCs w:val="28"/>
          <w:lang w:val="uk-UA"/>
        </w:rPr>
        <w:t>на</w:t>
      </w:r>
      <w:r w:rsidRPr="00AE3AAA">
        <w:rPr>
          <w:sz w:val="28"/>
          <w:szCs w:val="28"/>
          <w:lang w:val="uk-UA"/>
        </w:rPr>
        <w:t xml:space="preserve"> ХП.</w:t>
      </w:r>
    </w:p>
    <w:p w:rsidR="00AE3AAA" w:rsidRPr="00AE3AAA" w:rsidRDefault="00AE3AAA" w:rsidP="00AE3AAA">
      <w:pPr>
        <w:spacing w:after="0" w:line="360" w:lineRule="auto"/>
        <w:ind w:firstLine="709"/>
        <w:jc w:val="both"/>
        <w:rPr>
          <w:sz w:val="28"/>
          <w:szCs w:val="28"/>
          <w:lang w:val="uk-UA"/>
        </w:rPr>
      </w:pPr>
      <w:proofErr w:type="spellStart"/>
      <w:r w:rsidRPr="00AE3AAA">
        <w:rPr>
          <w:sz w:val="28"/>
          <w:szCs w:val="28"/>
          <w:lang w:val="uk-UA"/>
        </w:rPr>
        <w:t>Саркопеніч</w:t>
      </w:r>
      <w:r w:rsidR="00797BA9">
        <w:rPr>
          <w:sz w:val="28"/>
          <w:szCs w:val="28"/>
          <w:lang w:val="uk-UA"/>
        </w:rPr>
        <w:t>н</w:t>
      </w:r>
      <w:r w:rsidRPr="00AE3AAA">
        <w:rPr>
          <w:sz w:val="28"/>
          <w:szCs w:val="28"/>
          <w:lang w:val="uk-UA"/>
        </w:rPr>
        <w:t>е</w:t>
      </w:r>
      <w:proofErr w:type="spellEnd"/>
      <w:r w:rsidRPr="00AE3AAA">
        <w:rPr>
          <w:sz w:val="28"/>
          <w:szCs w:val="28"/>
          <w:lang w:val="uk-UA"/>
        </w:rPr>
        <w:t xml:space="preserve"> і </w:t>
      </w:r>
      <w:proofErr w:type="spellStart"/>
      <w:r w:rsidRPr="00AE3AAA">
        <w:rPr>
          <w:sz w:val="28"/>
          <w:szCs w:val="28"/>
          <w:lang w:val="uk-UA"/>
        </w:rPr>
        <w:t>остеосаркопеніч</w:t>
      </w:r>
      <w:r w:rsidR="00797BA9">
        <w:rPr>
          <w:sz w:val="28"/>
          <w:szCs w:val="28"/>
          <w:lang w:val="uk-UA"/>
        </w:rPr>
        <w:t>н</w:t>
      </w:r>
      <w:r w:rsidRPr="00AE3AAA">
        <w:rPr>
          <w:sz w:val="28"/>
          <w:szCs w:val="28"/>
          <w:lang w:val="uk-UA"/>
        </w:rPr>
        <w:t>е</w:t>
      </w:r>
      <w:proofErr w:type="spellEnd"/>
      <w:r w:rsidRPr="00AE3AAA">
        <w:rPr>
          <w:sz w:val="28"/>
          <w:szCs w:val="28"/>
          <w:lang w:val="uk-UA"/>
        </w:rPr>
        <w:t xml:space="preserve"> ожиріння - найбільш несприятливі складні метаболічні порушення, розвиток яких корелює з високим рівнем </w:t>
      </w:r>
      <w:proofErr w:type="spellStart"/>
      <w:r w:rsidRPr="00AE3AAA">
        <w:rPr>
          <w:sz w:val="28"/>
          <w:szCs w:val="28"/>
          <w:lang w:val="uk-UA"/>
        </w:rPr>
        <w:t>коморбідності</w:t>
      </w:r>
      <w:proofErr w:type="spellEnd"/>
      <w:r w:rsidRPr="00AE3AAA">
        <w:rPr>
          <w:sz w:val="28"/>
          <w:szCs w:val="28"/>
          <w:lang w:val="uk-UA"/>
        </w:rPr>
        <w:t xml:space="preserve">, </w:t>
      </w:r>
      <w:proofErr w:type="spellStart"/>
      <w:r w:rsidRPr="00AE3AAA">
        <w:rPr>
          <w:sz w:val="28"/>
          <w:szCs w:val="28"/>
          <w:lang w:val="uk-UA"/>
        </w:rPr>
        <w:t>кардіоваскулярного</w:t>
      </w:r>
      <w:proofErr w:type="spellEnd"/>
      <w:r w:rsidRPr="00AE3AAA">
        <w:rPr>
          <w:sz w:val="28"/>
          <w:szCs w:val="28"/>
          <w:lang w:val="uk-UA"/>
        </w:rPr>
        <w:t xml:space="preserve"> ризику і смертності [10].</w:t>
      </w:r>
    </w:p>
    <w:p w:rsidR="00AE3AAA" w:rsidRDefault="00AE3AAA" w:rsidP="00AE3AAA">
      <w:pPr>
        <w:spacing w:after="0" w:line="360" w:lineRule="auto"/>
        <w:ind w:firstLine="709"/>
        <w:jc w:val="both"/>
        <w:rPr>
          <w:sz w:val="28"/>
          <w:szCs w:val="28"/>
          <w:lang w:val="uk-UA"/>
        </w:rPr>
      </w:pPr>
      <w:proofErr w:type="spellStart"/>
      <w:r w:rsidRPr="00AE3AAA">
        <w:rPr>
          <w:sz w:val="28"/>
          <w:szCs w:val="28"/>
          <w:lang w:val="uk-UA"/>
        </w:rPr>
        <w:t>Саркопенія</w:t>
      </w:r>
      <w:proofErr w:type="spellEnd"/>
      <w:r w:rsidRPr="00AE3AAA">
        <w:rPr>
          <w:sz w:val="28"/>
          <w:szCs w:val="28"/>
          <w:lang w:val="uk-UA"/>
        </w:rPr>
        <w:t xml:space="preserve"> і ожиріння </w:t>
      </w:r>
      <w:r w:rsidR="00797BA9">
        <w:rPr>
          <w:sz w:val="28"/>
          <w:szCs w:val="28"/>
          <w:lang w:val="uk-UA"/>
        </w:rPr>
        <w:t>володі</w:t>
      </w:r>
      <w:r w:rsidRPr="00AE3AAA">
        <w:rPr>
          <w:sz w:val="28"/>
          <w:szCs w:val="28"/>
          <w:lang w:val="uk-UA"/>
        </w:rPr>
        <w:t xml:space="preserve">ють </w:t>
      </w:r>
      <w:proofErr w:type="spellStart"/>
      <w:r w:rsidRPr="00AE3AAA">
        <w:rPr>
          <w:sz w:val="28"/>
          <w:szCs w:val="28"/>
          <w:lang w:val="uk-UA"/>
        </w:rPr>
        <w:t>вза</w:t>
      </w:r>
      <w:r w:rsidR="00797BA9">
        <w:rPr>
          <w:sz w:val="28"/>
          <w:szCs w:val="28"/>
          <w:lang w:val="uk-UA"/>
        </w:rPr>
        <w:t>є</w:t>
      </w:r>
      <w:r w:rsidRPr="00AE3AAA">
        <w:rPr>
          <w:sz w:val="28"/>
          <w:szCs w:val="28"/>
          <w:lang w:val="uk-UA"/>
        </w:rPr>
        <w:t>мо</w:t>
      </w:r>
      <w:r w:rsidR="00797BA9">
        <w:rPr>
          <w:sz w:val="28"/>
          <w:szCs w:val="28"/>
          <w:lang w:val="uk-UA"/>
        </w:rPr>
        <w:t>посилю</w:t>
      </w:r>
      <w:r w:rsidR="00480866">
        <w:rPr>
          <w:sz w:val="28"/>
          <w:szCs w:val="28"/>
          <w:lang w:val="uk-UA"/>
        </w:rPr>
        <w:t>вальн</w:t>
      </w:r>
      <w:r w:rsidR="00797BA9">
        <w:rPr>
          <w:sz w:val="28"/>
          <w:szCs w:val="28"/>
          <w:lang w:val="uk-UA"/>
        </w:rPr>
        <w:t>ою</w:t>
      </w:r>
      <w:proofErr w:type="spellEnd"/>
      <w:r w:rsidRPr="00AE3AAA">
        <w:rPr>
          <w:sz w:val="28"/>
          <w:szCs w:val="28"/>
          <w:lang w:val="uk-UA"/>
        </w:rPr>
        <w:t xml:space="preserve"> дією: </w:t>
      </w:r>
      <w:proofErr w:type="spellStart"/>
      <w:r w:rsidRPr="00AE3AAA">
        <w:rPr>
          <w:sz w:val="28"/>
          <w:szCs w:val="28"/>
          <w:lang w:val="uk-UA"/>
        </w:rPr>
        <w:t>саркопенія</w:t>
      </w:r>
      <w:proofErr w:type="spellEnd"/>
      <w:r w:rsidRPr="00AE3AAA">
        <w:rPr>
          <w:sz w:val="28"/>
          <w:szCs w:val="28"/>
          <w:lang w:val="uk-UA"/>
        </w:rPr>
        <w:t xml:space="preserve"> призводить до зниження фізичної активності і, як наслідок, до збільшення жирової маси, тоді як розвиток ожиріння супроводжується підвищенням продукції </w:t>
      </w:r>
      <w:proofErr w:type="spellStart"/>
      <w:r w:rsidRPr="00AE3AAA">
        <w:rPr>
          <w:sz w:val="28"/>
          <w:szCs w:val="28"/>
          <w:lang w:val="uk-UA"/>
        </w:rPr>
        <w:t>прозапальних</w:t>
      </w:r>
      <w:proofErr w:type="spellEnd"/>
      <w:r w:rsidRPr="00AE3AAA">
        <w:rPr>
          <w:sz w:val="28"/>
          <w:szCs w:val="28"/>
          <w:lang w:val="uk-UA"/>
        </w:rPr>
        <w:t xml:space="preserve"> цитокінів, порушенням регуляції секреції </w:t>
      </w:r>
      <w:proofErr w:type="spellStart"/>
      <w:r w:rsidRPr="00AE3AAA">
        <w:rPr>
          <w:sz w:val="28"/>
          <w:szCs w:val="28"/>
          <w:lang w:val="uk-UA"/>
        </w:rPr>
        <w:t>лептину</w:t>
      </w:r>
      <w:proofErr w:type="spellEnd"/>
      <w:r w:rsidRPr="00AE3AAA">
        <w:rPr>
          <w:sz w:val="28"/>
          <w:szCs w:val="28"/>
          <w:lang w:val="uk-UA"/>
        </w:rPr>
        <w:t xml:space="preserve"> та </w:t>
      </w:r>
      <w:proofErr w:type="spellStart"/>
      <w:r w:rsidRPr="00AE3AAA">
        <w:rPr>
          <w:sz w:val="28"/>
          <w:szCs w:val="28"/>
          <w:lang w:val="uk-UA"/>
        </w:rPr>
        <w:t>адипонектину</w:t>
      </w:r>
      <w:proofErr w:type="spellEnd"/>
      <w:r w:rsidRPr="00AE3AAA">
        <w:rPr>
          <w:sz w:val="28"/>
          <w:szCs w:val="28"/>
          <w:lang w:val="uk-UA"/>
        </w:rPr>
        <w:t xml:space="preserve">, зниженням чутливості м'язів до інсуліну, що ще більше посилює </w:t>
      </w:r>
      <w:proofErr w:type="spellStart"/>
      <w:r w:rsidRPr="00AE3AAA">
        <w:rPr>
          <w:sz w:val="28"/>
          <w:szCs w:val="28"/>
          <w:lang w:val="uk-UA"/>
        </w:rPr>
        <w:t>саркопені</w:t>
      </w:r>
      <w:r w:rsidR="00797BA9">
        <w:rPr>
          <w:sz w:val="28"/>
          <w:szCs w:val="28"/>
          <w:lang w:val="uk-UA"/>
        </w:rPr>
        <w:t>ю</w:t>
      </w:r>
      <w:proofErr w:type="spellEnd"/>
      <w:r w:rsidRPr="00AE3AAA">
        <w:rPr>
          <w:sz w:val="28"/>
          <w:szCs w:val="28"/>
          <w:lang w:val="uk-UA"/>
        </w:rPr>
        <w:t>.</w:t>
      </w:r>
    </w:p>
    <w:p w:rsidR="00123D23" w:rsidRPr="00123D23" w:rsidRDefault="00123D23" w:rsidP="00123D23">
      <w:pPr>
        <w:spacing w:after="0" w:line="360" w:lineRule="auto"/>
        <w:ind w:firstLine="709"/>
        <w:jc w:val="both"/>
        <w:rPr>
          <w:sz w:val="28"/>
          <w:szCs w:val="28"/>
          <w:lang w:val="uk-UA"/>
        </w:rPr>
      </w:pPr>
      <w:r w:rsidRPr="00123D23">
        <w:rPr>
          <w:sz w:val="28"/>
          <w:szCs w:val="28"/>
          <w:lang w:val="uk-UA"/>
        </w:rPr>
        <w:lastRenderedPageBreak/>
        <w:t xml:space="preserve">В даний час відсутня будь-яка статистика наявності комбінації ожиріння і ТН у ​​хворих з ХП. У нашому дослідженні у 15 (10%) з 148 пацієнтів відзначено поєднання ожиріння </w:t>
      </w:r>
      <w:r>
        <w:rPr>
          <w:sz w:val="28"/>
          <w:szCs w:val="28"/>
          <w:lang w:val="uk-UA"/>
        </w:rPr>
        <w:t>та</w:t>
      </w:r>
      <w:r w:rsidRPr="00123D23">
        <w:rPr>
          <w:sz w:val="28"/>
          <w:szCs w:val="28"/>
          <w:lang w:val="uk-UA"/>
        </w:rPr>
        <w:t xml:space="preserve"> ТН. Були проаналізовані як російські, так і зарубіжні медичні ресурси (</w:t>
      </w:r>
      <w:proofErr w:type="spellStart"/>
      <w:r w:rsidRPr="00123D23">
        <w:rPr>
          <w:sz w:val="28"/>
          <w:szCs w:val="28"/>
          <w:lang w:val="uk-UA"/>
        </w:rPr>
        <w:t>Pubmed</w:t>
      </w:r>
      <w:proofErr w:type="spellEnd"/>
      <w:r w:rsidRPr="00123D23">
        <w:rPr>
          <w:sz w:val="28"/>
          <w:szCs w:val="28"/>
          <w:lang w:val="uk-UA"/>
        </w:rPr>
        <w:t xml:space="preserve">, </w:t>
      </w:r>
      <w:proofErr w:type="spellStart"/>
      <w:r w:rsidRPr="00123D23">
        <w:rPr>
          <w:sz w:val="28"/>
          <w:szCs w:val="28"/>
          <w:lang w:val="uk-UA"/>
        </w:rPr>
        <w:t>eLibrary</w:t>
      </w:r>
      <w:proofErr w:type="spellEnd"/>
      <w:r w:rsidRPr="00123D23">
        <w:rPr>
          <w:sz w:val="28"/>
          <w:szCs w:val="28"/>
          <w:lang w:val="uk-UA"/>
        </w:rPr>
        <w:t xml:space="preserve">, </w:t>
      </w:r>
      <w:proofErr w:type="spellStart"/>
      <w:r w:rsidRPr="00123D23">
        <w:rPr>
          <w:sz w:val="28"/>
          <w:szCs w:val="28"/>
          <w:lang w:val="uk-UA"/>
        </w:rPr>
        <w:t>Енц</w:t>
      </w:r>
      <w:r>
        <w:rPr>
          <w:sz w:val="28"/>
          <w:szCs w:val="28"/>
          <w:lang w:val="uk-UA"/>
        </w:rPr>
        <w:t>и</w:t>
      </w:r>
      <w:r w:rsidRPr="00123D23">
        <w:rPr>
          <w:sz w:val="28"/>
          <w:szCs w:val="28"/>
          <w:lang w:val="uk-UA"/>
        </w:rPr>
        <w:t>кломедія</w:t>
      </w:r>
      <w:proofErr w:type="spellEnd"/>
      <w:r w:rsidRPr="00123D23">
        <w:rPr>
          <w:sz w:val="28"/>
          <w:szCs w:val="28"/>
          <w:lang w:val="uk-UA"/>
        </w:rPr>
        <w:t>). Однак публікації, присвячені цій проблемі, нечисленні.</w:t>
      </w:r>
    </w:p>
    <w:p w:rsidR="00123D23" w:rsidRPr="00123D23" w:rsidRDefault="00123D23" w:rsidP="00123D23">
      <w:pPr>
        <w:spacing w:after="0" w:line="360" w:lineRule="auto"/>
        <w:ind w:firstLine="709"/>
        <w:jc w:val="both"/>
        <w:rPr>
          <w:sz w:val="28"/>
          <w:szCs w:val="28"/>
          <w:lang w:val="uk-UA"/>
        </w:rPr>
      </w:pPr>
      <w:r w:rsidRPr="00123D23">
        <w:rPr>
          <w:sz w:val="28"/>
          <w:szCs w:val="28"/>
          <w:lang w:val="uk-UA"/>
        </w:rPr>
        <w:t xml:space="preserve">У роботі А.Б. </w:t>
      </w:r>
      <w:proofErr w:type="spellStart"/>
      <w:r w:rsidRPr="00123D23">
        <w:rPr>
          <w:sz w:val="28"/>
          <w:szCs w:val="28"/>
          <w:lang w:val="uk-UA"/>
        </w:rPr>
        <w:t>Москальово</w:t>
      </w:r>
      <w:r w:rsidR="00D2478F">
        <w:rPr>
          <w:sz w:val="28"/>
          <w:szCs w:val="28"/>
          <w:lang w:val="uk-UA"/>
        </w:rPr>
        <w:t>ї</w:t>
      </w:r>
      <w:proofErr w:type="spellEnd"/>
      <w:r w:rsidRPr="00123D23">
        <w:rPr>
          <w:sz w:val="28"/>
          <w:szCs w:val="28"/>
          <w:lang w:val="uk-UA"/>
        </w:rPr>
        <w:t xml:space="preserve"> ретроспективно були проаналізовані 344 амбулаторні карти пацієнтів </w:t>
      </w:r>
      <w:r w:rsidR="00D2478F">
        <w:rPr>
          <w:sz w:val="28"/>
          <w:szCs w:val="28"/>
          <w:lang w:val="uk-UA"/>
        </w:rPr>
        <w:t>і</w:t>
      </w:r>
      <w:r w:rsidRPr="00123D23">
        <w:rPr>
          <w:sz w:val="28"/>
          <w:szCs w:val="28"/>
          <w:lang w:val="uk-UA"/>
        </w:rPr>
        <w:t>з ожирінням, з них у 232 пацієнтів була виявлена ​​ТН різного ступеня [6].</w:t>
      </w:r>
    </w:p>
    <w:p w:rsidR="00123D23" w:rsidRPr="00123D23" w:rsidRDefault="00123D23" w:rsidP="00123D23">
      <w:pPr>
        <w:spacing w:after="0" w:line="360" w:lineRule="auto"/>
        <w:ind w:firstLine="709"/>
        <w:jc w:val="both"/>
        <w:rPr>
          <w:sz w:val="28"/>
          <w:szCs w:val="28"/>
          <w:lang w:val="uk-UA"/>
        </w:rPr>
      </w:pPr>
      <w:r w:rsidRPr="00123D23">
        <w:rPr>
          <w:sz w:val="28"/>
          <w:szCs w:val="28"/>
          <w:lang w:val="uk-UA"/>
        </w:rPr>
        <w:t xml:space="preserve">У дослідженні В.К. Лядова і </w:t>
      </w:r>
      <w:proofErr w:type="spellStart"/>
      <w:r w:rsidRPr="00123D23">
        <w:rPr>
          <w:sz w:val="28"/>
          <w:szCs w:val="28"/>
          <w:lang w:val="uk-UA"/>
        </w:rPr>
        <w:t>співавт</w:t>
      </w:r>
      <w:proofErr w:type="spellEnd"/>
      <w:r w:rsidRPr="00123D23">
        <w:rPr>
          <w:sz w:val="28"/>
          <w:szCs w:val="28"/>
          <w:lang w:val="uk-UA"/>
        </w:rPr>
        <w:t xml:space="preserve">. оцінювали </w:t>
      </w:r>
      <w:proofErr w:type="spellStart"/>
      <w:r w:rsidRPr="00123D23">
        <w:rPr>
          <w:sz w:val="28"/>
          <w:szCs w:val="28"/>
          <w:lang w:val="uk-UA"/>
        </w:rPr>
        <w:t>скелетно</w:t>
      </w:r>
      <w:proofErr w:type="spellEnd"/>
      <w:r w:rsidRPr="00123D23">
        <w:rPr>
          <w:sz w:val="28"/>
          <w:szCs w:val="28"/>
          <w:lang w:val="uk-UA"/>
        </w:rPr>
        <w:t>-м'язовий індекс L3 по КТ 22 пацієнт</w:t>
      </w:r>
      <w:r w:rsidR="00D2478F">
        <w:rPr>
          <w:sz w:val="28"/>
          <w:szCs w:val="28"/>
          <w:lang w:val="uk-UA"/>
        </w:rPr>
        <w:t>ів</w:t>
      </w:r>
      <w:r w:rsidRPr="00123D23">
        <w:rPr>
          <w:sz w:val="28"/>
          <w:szCs w:val="28"/>
          <w:lang w:val="uk-UA"/>
        </w:rPr>
        <w:t xml:space="preserve"> з хронічним </w:t>
      </w:r>
      <w:proofErr w:type="spellStart"/>
      <w:r w:rsidRPr="00123D23">
        <w:rPr>
          <w:sz w:val="28"/>
          <w:szCs w:val="28"/>
          <w:lang w:val="uk-UA"/>
        </w:rPr>
        <w:t>кальцифікуючи</w:t>
      </w:r>
      <w:r w:rsidR="00D2478F">
        <w:rPr>
          <w:sz w:val="28"/>
          <w:szCs w:val="28"/>
          <w:lang w:val="uk-UA"/>
        </w:rPr>
        <w:t>м</w:t>
      </w:r>
      <w:proofErr w:type="spellEnd"/>
      <w:r w:rsidRPr="00123D23">
        <w:rPr>
          <w:sz w:val="28"/>
          <w:szCs w:val="28"/>
          <w:lang w:val="uk-UA"/>
        </w:rPr>
        <w:t xml:space="preserve"> і / або </w:t>
      </w:r>
      <w:proofErr w:type="spellStart"/>
      <w:r w:rsidRPr="00123D23">
        <w:rPr>
          <w:sz w:val="28"/>
          <w:szCs w:val="28"/>
          <w:lang w:val="uk-UA"/>
        </w:rPr>
        <w:t>псевдотуморозн</w:t>
      </w:r>
      <w:r w:rsidR="00D2478F">
        <w:rPr>
          <w:sz w:val="28"/>
          <w:szCs w:val="28"/>
          <w:lang w:val="uk-UA"/>
        </w:rPr>
        <w:t>им</w:t>
      </w:r>
      <w:proofErr w:type="spellEnd"/>
      <w:r w:rsidRPr="00123D23">
        <w:rPr>
          <w:sz w:val="28"/>
          <w:szCs w:val="28"/>
          <w:lang w:val="uk-UA"/>
        </w:rPr>
        <w:t xml:space="preserve"> панкреатитом (16 чоловіків і 6 жінок у віці від 29 до 63 років). </w:t>
      </w:r>
      <w:proofErr w:type="spellStart"/>
      <w:r w:rsidRPr="00123D23">
        <w:rPr>
          <w:sz w:val="28"/>
          <w:szCs w:val="28"/>
          <w:lang w:val="uk-UA"/>
        </w:rPr>
        <w:t>Саркопені</w:t>
      </w:r>
      <w:r w:rsidR="00D2478F">
        <w:rPr>
          <w:sz w:val="28"/>
          <w:szCs w:val="28"/>
          <w:lang w:val="uk-UA"/>
        </w:rPr>
        <w:t>ю</w:t>
      </w:r>
      <w:proofErr w:type="spellEnd"/>
      <w:r w:rsidRPr="00123D23">
        <w:rPr>
          <w:sz w:val="28"/>
          <w:szCs w:val="28"/>
          <w:lang w:val="uk-UA"/>
        </w:rPr>
        <w:t xml:space="preserve"> бул</w:t>
      </w:r>
      <w:r w:rsidR="00D2478F">
        <w:rPr>
          <w:sz w:val="28"/>
          <w:szCs w:val="28"/>
          <w:lang w:val="uk-UA"/>
        </w:rPr>
        <w:t>о</w:t>
      </w:r>
      <w:r w:rsidRPr="00123D23">
        <w:rPr>
          <w:sz w:val="28"/>
          <w:szCs w:val="28"/>
          <w:lang w:val="uk-UA"/>
        </w:rPr>
        <w:t xml:space="preserve"> виявлен</w:t>
      </w:r>
      <w:r w:rsidR="00D2478F">
        <w:rPr>
          <w:sz w:val="28"/>
          <w:szCs w:val="28"/>
          <w:lang w:val="uk-UA"/>
        </w:rPr>
        <w:t>о</w:t>
      </w:r>
      <w:r w:rsidRPr="00123D23">
        <w:rPr>
          <w:sz w:val="28"/>
          <w:szCs w:val="28"/>
          <w:lang w:val="uk-UA"/>
        </w:rPr>
        <w:t xml:space="preserve"> ​​у 15 (68%) хворих: у 13 чоловіків і у 2 жінок. У одного пацієнта маса тіла була зниженою (ІМТ - 15,9 кг / м</w:t>
      </w:r>
      <w:r w:rsidRPr="00D2478F">
        <w:rPr>
          <w:sz w:val="28"/>
          <w:szCs w:val="28"/>
          <w:vertAlign w:val="superscript"/>
          <w:lang w:val="uk-UA"/>
        </w:rPr>
        <w:t>2</w:t>
      </w:r>
      <w:r w:rsidRPr="00123D23">
        <w:rPr>
          <w:sz w:val="28"/>
          <w:szCs w:val="28"/>
          <w:lang w:val="uk-UA"/>
        </w:rPr>
        <w:t>), у 5 хворих - надлишково</w:t>
      </w:r>
      <w:r w:rsidR="00D2478F">
        <w:rPr>
          <w:sz w:val="28"/>
          <w:szCs w:val="28"/>
          <w:lang w:val="uk-UA"/>
        </w:rPr>
        <w:t>ю</w:t>
      </w:r>
      <w:r w:rsidRPr="00123D23">
        <w:rPr>
          <w:sz w:val="28"/>
          <w:szCs w:val="28"/>
          <w:lang w:val="uk-UA"/>
        </w:rPr>
        <w:t xml:space="preserve"> (ІМТ - 25,0-29,9 кг / м</w:t>
      </w:r>
      <w:r w:rsidRPr="00D2478F">
        <w:rPr>
          <w:sz w:val="28"/>
          <w:szCs w:val="28"/>
          <w:vertAlign w:val="superscript"/>
          <w:lang w:val="uk-UA"/>
        </w:rPr>
        <w:t>2</w:t>
      </w:r>
      <w:r w:rsidRPr="00123D23">
        <w:rPr>
          <w:sz w:val="28"/>
          <w:szCs w:val="28"/>
          <w:lang w:val="uk-UA"/>
        </w:rPr>
        <w:t xml:space="preserve">). Лише у одного пацієнта з 5 хворих з підвищеною масою тіла виявлено </w:t>
      </w:r>
      <w:proofErr w:type="spellStart"/>
      <w:r w:rsidRPr="00123D23">
        <w:rPr>
          <w:sz w:val="28"/>
          <w:szCs w:val="28"/>
          <w:lang w:val="uk-UA"/>
        </w:rPr>
        <w:t>саркопені</w:t>
      </w:r>
      <w:r w:rsidR="00D2478F">
        <w:rPr>
          <w:sz w:val="28"/>
          <w:szCs w:val="28"/>
          <w:lang w:val="uk-UA"/>
        </w:rPr>
        <w:t>ю</w:t>
      </w:r>
      <w:proofErr w:type="spellEnd"/>
      <w:r w:rsidRPr="00123D23">
        <w:rPr>
          <w:sz w:val="28"/>
          <w:szCs w:val="28"/>
          <w:lang w:val="uk-UA"/>
        </w:rPr>
        <w:t xml:space="preserve"> [4].</w:t>
      </w:r>
    </w:p>
    <w:p w:rsidR="00123D23" w:rsidRPr="00123D23" w:rsidRDefault="00123D23" w:rsidP="00123D23">
      <w:pPr>
        <w:spacing w:after="0" w:line="360" w:lineRule="auto"/>
        <w:ind w:firstLine="709"/>
        <w:jc w:val="both"/>
        <w:rPr>
          <w:sz w:val="28"/>
          <w:szCs w:val="28"/>
          <w:lang w:val="uk-UA"/>
        </w:rPr>
      </w:pPr>
      <w:r w:rsidRPr="00123D23">
        <w:rPr>
          <w:sz w:val="28"/>
          <w:szCs w:val="28"/>
          <w:lang w:val="uk-UA"/>
        </w:rPr>
        <w:t>У нашого пацієнта ТН перш за все обумовлена ​​екзокринно</w:t>
      </w:r>
      <w:r w:rsidR="00D2478F">
        <w:rPr>
          <w:sz w:val="28"/>
          <w:szCs w:val="28"/>
          <w:lang w:val="uk-UA"/>
        </w:rPr>
        <w:t>ю</w:t>
      </w:r>
      <w:r w:rsidRPr="00123D23">
        <w:rPr>
          <w:sz w:val="28"/>
          <w:szCs w:val="28"/>
          <w:lang w:val="uk-UA"/>
        </w:rPr>
        <w:t xml:space="preserve"> недостатністю підшлункової залози, проте важливу роль </w:t>
      </w:r>
      <w:r w:rsidR="00D2478F">
        <w:rPr>
          <w:sz w:val="28"/>
          <w:szCs w:val="28"/>
          <w:lang w:val="uk-UA"/>
        </w:rPr>
        <w:t>відігр</w:t>
      </w:r>
      <w:r w:rsidRPr="00123D23">
        <w:rPr>
          <w:sz w:val="28"/>
          <w:szCs w:val="28"/>
          <w:lang w:val="uk-UA"/>
        </w:rPr>
        <w:t xml:space="preserve">ає і малорухливий спосіб життя, незбалансоване харчування і пристрасть до алкоголю (6 літрів пива 2-3 рази </w:t>
      </w:r>
      <w:r w:rsidR="00D2478F">
        <w:rPr>
          <w:sz w:val="28"/>
          <w:szCs w:val="28"/>
          <w:lang w:val="uk-UA"/>
        </w:rPr>
        <w:t>за</w:t>
      </w:r>
      <w:r w:rsidRPr="00123D23">
        <w:rPr>
          <w:sz w:val="28"/>
          <w:szCs w:val="28"/>
          <w:lang w:val="uk-UA"/>
        </w:rPr>
        <w:t xml:space="preserve"> тиждень). Призначення </w:t>
      </w:r>
      <w:proofErr w:type="spellStart"/>
      <w:r w:rsidRPr="00123D23">
        <w:rPr>
          <w:sz w:val="28"/>
          <w:szCs w:val="28"/>
          <w:lang w:val="uk-UA"/>
        </w:rPr>
        <w:t>ферментозам</w:t>
      </w:r>
      <w:r w:rsidR="00D2478F">
        <w:rPr>
          <w:sz w:val="28"/>
          <w:szCs w:val="28"/>
          <w:lang w:val="uk-UA"/>
        </w:rPr>
        <w:t>існої</w:t>
      </w:r>
      <w:proofErr w:type="spellEnd"/>
      <w:r w:rsidRPr="00123D23">
        <w:rPr>
          <w:sz w:val="28"/>
          <w:szCs w:val="28"/>
          <w:lang w:val="uk-UA"/>
        </w:rPr>
        <w:t xml:space="preserve"> терапії дозволило в швидкі терміни нормалізувати функцію П</w:t>
      </w:r>
      <w:r w:rsidR="00D2478F">
        <w:rPr>
          <w:sz w:val="28"/>
          <w:szCs w:val="28"/>
          <w:lang w:val="uk-UA"/>
        </w:rPr>
        <w:t>З</w:t>
      </w:r>
      <w:r w:rsidRPr="00123D23">
        <w:rPr>
          <w:sz w:val="28"/>
          <w:szCs w:val="28"/>
          <w:lang w:val="uk-UA"/>
        </w:rPr>
        <w:t xml:space="preserve">. Пацієнта П. слід віднести до групи ризику </w:t>
      </w:r>
      <w:r w:rsidR="00D2478F">
        <w:rPr>
          <w:sz w:val="28"/>
          <w:szCs w:val="28"/>
          <w:lang w:val="uk-UA"/>
        </w:rPr>
        <w:t>за</w:t>
      </w:r>
      <w:r w:rsidRPr="00123D23">
        <w:rPr>
          <w:sz w:val="28"/>
          <w:szCs w:val="28"/>
          <w:lang w:val="uk-UA"/>
        </w:rPr>
        <w:t xml:space="preserve"> розвитк</w:t>
      </w:r>
      <w:r w:rsidR="00D2478F">
        <w:rPr>
          <w:sz w:val="28"/>
          <w:szCs w:val="28"/>
          <w:lang w:val="uk-UA"/>
        </w:rPr>
        <w:t>ом</w:t>
      </w:r>
      <w:r w:rsidRPr="00123D23">
        <w:rPr>
          <w:sz w:val="28"/>
          <w:szCs w:val="28"/>
          <w:lang w:val="uk-UA"/>
        </w:rPr>
        <w:t xml:space="preserve"> </w:t>
      </w:r>
      <w:proofErr w:type="spellStart"/>
      <w:r w:rsidRPr="00123D23">
        <w:rPr>
          <w:sz w:val="28"/>
          <w:szCs w:val="28"/>
          <w:lang w:val="uk-UA"/>
        </w:rPr>
        <w:t>саркопені</w:t>
      </w:r>
      <w:r w:rsidR="00D2478F">
        <w:rPr>
          <w:sz w:val="28"/>
          <w:szCs w:val="28"/>
          <w:lang w:val="uk-UA"/>
        </w:rPr>
        <w:t>ї</w:t>
      </w:r>
      <w:proofErr w:type="spellEnd"/>
      <w:r w:rsidR="00D2478F">
        <w:rPr>
          <w:sz w:val="28"/>
          <w:szCs w:val="28"/>
          <w:lang w:val="uk-UA"/>
        </w:rPr>
        <w:t xml:space="preserve"> </w:t>
      </w:r>
      <w:r w:rsidRPr="00123D23">
        <w:rPr>
          <w:sz w:val="28"/>
          <w:szCs w:val="28"/>
          <w:lang w:val="uk-UA"/>
        </w:rPr>
        <w:t xml:space="preserve">і ще більш грізного стану - </w:t>
      </w:r>
      <w:proofErr w:type="spellStart"/>
      <w:r w:rsidRPr="00123D23">
        <w:rPr>
          <w:sz w:val="28"/>
          <w:szCs w:val="28"/>
          <w:lang w:val="uk-UA"/>
        </w:rPr>
        <w:t>саркопеніч</w:t>
      </w:r>
      <w:r w:rsidR="00D2478F">
        <w:rPr>
          <w:sz w:val="28"/>
          <w:szCs w:val="28"/>
          <w:lang w:val="uk-UA"/>
        </w:rPr>
        <w:t>н</w:t>
      </w:r>
      <w:r w:rsidRPr="00123D23">
        <w:rPr>
          <w:sz w:val="28"/>
          <w:szCs w:val="28"/>
          <w:lang w:val="uk-UA"/>
        </w:rPr>
        <w:t>ого</w:t>
      </w:r>
      <w:proofErr w:type="spellEnd"/>
      <w:r w:rsidRPr="00123D23">
        <w:rPr>
          <w:sz w:val="28"/>
          <w:szCs w:val="28"/>
          <w:lang w:val="uk-UA"/>
        </w:rPr>
        <w:t xml:space="preserve"> ожиріння.</w:t>
      </w:r>
    </w:p>
    <w:p w:rsidR="00123D23" w:rsidRPr="00123D23" w:rsidRDefault="00123D23" w:rsidP="00123D23">
      <w:pPr>
        <w:spacing w:after="0" w:line="360" w:lineRule="auto"/>
        <w:ind w:firstLine="709"/>
        <w:jc w:val="both"/>
        <w:rPr>
          <w:sz w:val="28"/>
          <w:szCs w:val="28"/>
          <w:lang w:val="uk-UA"/>
        </w:rPr>
      </w:pPr>
      <w:r w:rsidRPr="00123D23">
        <w:rPr>
          <w:sz w:val="28"/>
          <w:szCs w:val="28"/>
          <w:lang w:val="uk-UA"/>
        </w:rPr>
        <w:t>Подібні пацієнти вимагають індивідуального підходу в діагностиці та лікуванні таких станів, необхідно створення алгоритмів їх ведення. Повинні бути переглянуті антропометричні критерії, тому що їх застосування мало</w:t>
      </w:r>
      <w:r w:rsidR="00D2478F">
        <w:rPr>
          <w:sz w:val="28"/>
          <w:szCs w:val="28"/>
          <w:lang w:val="uk-UA"/>
        </w:rPr>
        <w:t>і</w:t>
      </w:r>
      <w:r w:rsidRPr="00123D23">
        <w:rPr>
          <w:sz w:val="28"/>
          <w:szCs w:val="28"/>
          <w:lang w:val="uk-UA"/>
        </w:rPr>
        <w:t>нформативн</w:t>
      </w:r>
      <w:r w:rsidR="00D2478F">
        <w:rPr>
          <w:sz w:val="28"/>
          <w:szCs w:val="28"/>
          <w:lang w:val="uk-UA"/>
        </w:rPr>
        <w:t>е</w:t>
      </w:r>
      <w:r w:rsidRPr="00123D23">
        <w:rPr>
          <w:sz w:val="28"/>
          <w:szCs w:val="28"/>
          <w:lang w:val="uk-UA"/>
        </w:rPr>
        <w:t xml:space="preserve">. Використання лише ІМТ є спірним </w:t>
      </w:r>
      <w:r w:rsidR="00D2478F">
        <w:rPr>
          <w:sz w:val="28"/>
          <w:szCs w:val="28"/>
          <w:lang w:val="uk-UA"/>
        </w:rPr>
        <w:t>через</w:t>
      </w:r>
      <w:r w:rsidRPr="00123D23">
        <w:rPr>
          <w:sz w:val="28"/>
          <w:szCs w:val="28"/>
          <w:lang w:val="uk-UA"/>
        </w:rPr>
        <w:t xml:space="preserve"> відсутніст</w:t>
      </w:r>
      <w:r w:rsidR="00D2478F">
        <w:rPr>
          <w:sz w:val="28"/>
          <w:szCs w:val="28"/>
          <w:lang w:val="uk-UA"/>
        </w:rPr>
        <w:t>ь</w:t>
      </w:r>
      <w:r w:rsidRPr="00123D23">
        <w:rPr>
          <w:sz w:val="28"/>
          <w:szCs w:val="28"/>
          <w:lang w:val="uk-UA"/>
        </w:rPr>
        <w:t xml:space="preserve"> справжнього стандарту діагностики ТН, а також відсутня оцінка зниження обсягу м'язової тканини [22]. Крім того, у пацієнта ТН може бути і з нормальним, і навіть з підвищеним ІМТ [5, 23].</w:t>
      </w:r>
    </w:p>
    <w:p w:rsidR="00123D23" w:rsidRDefault="00123D23" w:rsidP="00123D23">
      <w:pPr>
        <w:spacing w:after="0" w:line="360" w:lineRule="auto"/>
        <w:ind w:firstLine="709"/>
        <w:jc w:val="both"/>
        <w:rPr>
          <w:sz w:val="28"/>
          <w:szCs w:val="28"/>
          <w:lang w:val="uk-UA"/>
        </w:rPr>
      </w:pPr>
      <w:r w:rsidRPr="00123D23">
        <w:rPr>
          <w:sz w:val="28"/>
          <w:szCs w:val="28"/>
          <w:lang w:val="uk-UA"/>
        </w:rPr>
        <w:t>Необхідна оптимізація і впровадження в реальну клінічну практику біохімічних та інструментальних методів оцінки ТН.</w:t>
      </w:r>
    </w:p>
    <w:p w:rsidR="00A653FB" w:rsidRPr="00C75F2D" w:rsidRDefault="00A653FB" w:rsidP="00A653FB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C75F2D">
        <w:rPr>
          <w:b/>
          <w:sz w:val="28"/>
          <w:szCs w:val="28"/>
        </w:rPr>
        <w:lastRenderedPageBreak/>
        <w:t>Л</w:t>
      </w:r>
      <w:r w:rsidR="00D2478F">
        <w:rPr>
          <w:b/>
          <w:sz w:val="28"/>
          <w:szCs w:val="28"/>
          <w:lang w:val="uk-UA"/>
        </w:rPr>
        <w:t>і</w:t>
      </w:r>
      <w:r w:rsidRPr="00C75F2D">
        <w:rPr>
          <w:b/>
          <w:sz w:val="28"/>
          <w:szCs w:val="28"/>
        </w:rPr>
        <w:t>тература:</w:t>
      </w:r>
    </w:p>
    <w:p w:rsidR="001C117F" w:rsidRPr="00C75F2D" w:rsidRDefault="001C117F" w:rsidP="001C117F">
      <w:pPr>
        <w:pStyle w:val="ac"/>
        <w:numPr>
          <w:ilvl w:val="0"/>
          <w:numId w:val="13"/>
        </w:numPr>
        <w:spacing w:after="0" w:line="360" w:lineRule="auto"/>
        <w:jc w:val="both"/>
        <w:rPr>
          <w:sz w:val="28"/>
          <w:szCs w:val="28"/>
          <w:lang w:val="en-US"/>
        </w:rPr>
      </w:pPr>
      <w:bookmarkStart w:id="0" w:name="_Ref24316760"/>
      <w:bookmarkStart w:id="1" w:name="_Ref24316803"/>
      <w:proofErr w:type="spellStart"/>
      <w:r w:rsidRPr="00C75F2D">
        <w:rPr>
          <w:sz w:val="28"/>
          <w:szCs w:val="28"/>
        </w:rPr>
        <w:t>Баланова</w:t>
      </w:r>
      <w:proofErr w:type="spellEnd"/>
      <w:r w:rsidRPr="00C75F2D">
        <w:rPr>
          <w:sz w:val="28"/>
          <w:szCs w:val="28"/>
        </w:rPr>
        <w:t xml:space="preserve"> Ю. А., Концевая А. В., Шальнова С. А. Распространенность поведенческих факторов риска сердечнососудистых заболеваний в российской популяции по результатам исследования ЭССЕ-РФ. </w:t>
      </w:r>
      <w:r w:rsidRPr="00C75F2D">
        <w:rPr>
          <w:i/>
          <w:sz w:val="28"/>
          <w:szCs w:val="28"/>
        </w:rPr>
        <w:t>Профилак</w:t>
      </w:r>
      <w:bookmarkStart w:id="2" w:name="_GoBack"/>
      <w:bookmarkEnd w:id="2"/>
      <w:r w:rsidRPr="00C75F2D">
        <w:rPr>
          <w:i/>
          <w:sz w:val="28"/>
          <w:szCs w:val="28"/>
        </w:rPr>
        <w:t>тическая медицина</w:t>
      </w:r>
      <w:r w:rsidRPr="00C75F2D">
        <w:rPr>
          <w:sz w:val="28"/>
          <w:szCs w:val="28"/>
        </w:rPr>
        <w:t xml:space="preserve">. </w:t>
      </w:r>
      <w:r w:rsidRPr="00C75F2D">
        <w:rPr>
          <w:sz w:val="28"/>
          <w:szCs w:val="28"/>
          <w:lang w:val="en-US"/>
        </w:rPr>
        <w:t xml:space="preserve">2014. № 5. </w:t>
      </w:r>
      <w:r w:rsidRPr="00C75F2D">
        <w:rPr>
          <w:sz w:val="28"/>
          <w:szCs w:val="28"/>
        </w:rPr>
        <w:t xml:space="preserve">С. </w:t>
      </w:r>
      <w:r w:rsidRPr="00C75F2D">
        <w:rPr>
          <w:sz w:val="28"/>
          <w:szCs w:val="28"/>
          <w:lang w:val="en-US"/>
        </w:rPr>
        <w:t>42</w:t>
      </w:r>
      <w:r w:rsidRPr="00C75F2D">
        <w:rPr>
          <w:sz w:val="28"/>
          <w:szCs w:val="28"/>
        </w:rPr>
        <w:t>–</w:t>
      </w:r>
      <w:r w:rsidRPr="00C75F2D">
        <w:rPr>
          <w:sz w:val="28"/>
          <w:szCs w:val="28"/>
          <w:lang w:val="en-US"/>
        </w:rPr>
        <w:t>52.</w:t>
      </w:r>
      <w:bookmarkEnd w:id="0"/>
    </w:p>
    <w:p w:rsidR="001C117F" w:rsidRPr="00C75F2D" w:rsidRDefault="001C117F" w:rsidP="001C117F">
      <w:pPr>
        <w:pStyle w:val="ac"/>
        <w:numPr>
          <w:ilvl w:val="0"/>
          <w:numId w:val="13"/>
        </w:numPr>
        <w:spacing w:after="0" w:line="360" w:lineRule="auto"/>
        <w:jc w:val="both"/>
        <w:rPr>
          <w:sz w:val="28"/>
          <w:szCs w:val="28"/>
          <w:lang w:val="en-US"/>
        </w:rPr>
      </w:pPr>
      <w:bookmarkStart w:id="3" w:name="_Ref24316785"/>
      <w:r w:rsidRPr="00C75F2D">
        <w:rPr>
          <w:sz w:val="28"/>
          <w:szCs w:val="28"/>
        </w:rPr>
        <w:t>Кучерявый Ю.</w:t>
      </w:r>
      <w:r w:rsidRPr="00C75F2D">
        <w:rPr>
          <w:rFonts w:eastAsiaTheme="minorEastAsia"/>
          <w:sz w:val="28"/>
          <w:szCs w:val="28"/>
          <w:lang w:eastAsia="zh-CN"/>
        </w:rPr>
        <w:t xml:space="preserve"> </w:t>
      </w:r>
      <w:r w:rsidRPr="00C75F2D">
        <w:rPr>
          <w:sz w:val="28"/>
          <w:szCs w:val="28"/>
        </w:rPr>
        <w:t xml:space="preserve">А., Москалева А. Б., Свиридова А. В. </w:t>
      </w:r>
      <w:proofErr w:type="spellStart"/>
      <w:r w:rsidRPr="00C75F2D">
        <w:rPr>
          <w:sz w:val="28"/>
          <w:szCs w:val="28"/>
        </w:rPr>
        <w:t>Нутритивный</w:t>
      </w:r>
      <w:proofErr w:type="spellEnd"/>
      <w:r w:rsidRPr="00C75F2D">
        <w:rPr>
          <w:sz w:val="28"/>
          <w:szCs w:val="28"/>
        </w:rPr>
        <w:t xml:space="preserve"> статус как фактор риска осложнений хронического панкреатита и развития панкреатической недостаточности. </w:t>
      </w:r>
      <w:proofErr w:type="spellStart"/>
      <w:r w:rsidRPr="00C75F2D">
        <w:rPr>
          <w:i/>
          <w:sz w:val="28"/>
          <w:szCs w:val="28"/>
        </w:rPr>
        <w:t>Эксперим</w:t>
      </w:r>
      <w:proofErr w:type="spellEnd"/>
      <w:r w:rsidRPr="00C75F2D">
        <w:rPr>
          <w:i/>
          <w:sz w:val="28"/>
          <w:szCs w:val="28"/>
        </w:rPr>
        <w:t xml:space="preserve">. клин. </w:t>
      </w:r>
      <w:proofErr w:type="spellStart"/>
      <w:r w:rsidRPr="00C75F2D">
        <w:rPr>
          <w:i/>
          <w:sz w:val="28"/>
          <w:szCs w:val="28"/>
        </w:rPr>
        <w:t>гастроэнтерол</w:t>
      </w:r>
      <w:proofErr w:type="spellEnd"/>
      <w:r w:rsidRPr="00C75F2D">
        <w:rPr>
          <w:sz w:val="28"/>
          <w:szCs w:val="28"/>
        </w:rPr>
        <w:t xml:space="preserve">. </w:t>
      </w:r>
      <w:r w:rsidRPr="00C75F2D">
        <w:rPr>
          <w:sz w:val="28"/>
          <w:szCs w:val="28"/>
          <w:lang w:val="en-US"/>
        </w:rPr>
        <w:t xml:space="preserve">2012. № 7. </w:t>
      </w:r>
      <w:r w:rsidRPr="00C75F2D">
        <w:rPr>
          <w:sz w:val="28"/>
          <w:szCs w:val="28"/>
        </w:rPr>
        <w:t>С</w:t>
      </w:r>
      <w:r w:rsidRPr="00C75F2D">
        <w:rPr>
          <w:sz w:val="28"/>
          <w:szCs w:val="28"/>
          <w:lang w:val="en-US"/>
        </w:rPr>
        <w:t>. 10–16.</w:t>
      </w:r>
      <w:bookmarkEnd w:id="3"/>
    </w:p>
    <w:p w:rsidR="001C117F" w:rsidRPr="00C75F2D" w:rsidRDefault="001C117F" w:rsidP="001C117F">
      <w:pPr>
        <w:pStyle w:val="ac"/>
        <w:numPr>
          <w:ilvl w:val="0"/>
          <w:numId w:val="13"/>
        </w:numPr>
        <w:spacing w:after="0" w:line="360" w:lineRule="auto"/>
        <w:jc w:val="both"/>
        <w:rPr>
          <w:sz w:val="28"/>
          <w:szCs w:val="28"/>
          <w:lang w:val="en-US"/>
        </w:rPr>
      </w:pPr>
      <w:bookmarkStart w:id="4" w:name="_Ref24316820"/>
      <w:proofErr w:type="spellStart"/>
      <w:r w:rsidRPr="00C75F2D">
        <w:rPr>
          <w:sz w:val="28"/>
          <w:szCs w:val="28"/>
        </w:rPr>
        <w:t>Луфт</w:t>
      </w:r>
      <w:proofErr w:type="spellEnd"/>
      <w:r w:rsidRPr="00C75F2D">
        <w:rPr>
          <w:sz w:val="28"/>
          <w:szCs w:val="28"/>
        </w:rPr>
        <w:t xml:space="preserve"> В. М., Костюченко А. Л. Клиническое питание в интенсивной медицине. Практическое руководство. Санкт-Петербург, </w:t>
      </w:r>
      <w:r w:rsidRPr="00C75F2D">
        <w:rPr>
          <w:sz w:val="28"/>
          <w:szCs w:val="28"/>
          <w:lang w:val="en-US"/>
        </w:rPr>
        <w:t xml:space="preserve">2002. 173 </w:t>
      </w:r>
      <w:r w:rsidRPr="00C75F2D">
        <w:rPr>
          <w:sz w:val="28"/>
          <w:szCs w:val="28"/>
        </w:rPr>
        <w:t>с</w:t>
      </w:r>
      <w:r w:rsidRPr="00C75F2D">
        <w:rPr>
          <w:sz w:val="28"/>
          <w:szCs w:val="28"/>
          <w:lang w:val="en-US"/>
        </w:rPr>
        <w:t>.</w:t>
      </w:r>
      <w:bookmarkEnd w:id="4"/>
    </w:p>
    <w:p w:rsidR="001C117F" w:rsidRPr="00C75F2D" w:rsidRDefault="001C117F" w:rsidP="001C117F">
      <w:pPr>
        <w:pStyle w:val="ac"/>
        <w:numPr>
          <w:ilvl w:val="0"/>
          <w:numId w:val="13"/>
        </w:numPr>
        <w:spacing w:after="0" w:line="360" w:lineRule="auto"/>
        <w:jc w:val="both"/>
        <w:rPr>
          <w:sz w:val="28"/>
          <w:szCs w:val="28"/>
          <w:lang w:val="en-US"/>
        </w:rPr>
      </w:pPr>
      <w:bookmarkStart w:id="5" w:name="_Ref24316905"/>
      <w:r w:rsidRPr="00C75F2D">
        <w:rPr>
          <w:sz w:val="28"/>
          <w:szCs w:val="28"/>
        </w:rPr>
        <w:t xml:space="preserve">Лядов В. К., Буланова Е. А., Синицын В. Е. Возможности КТ при выявлении </w:t>
      </w:r>
      <w:proofErr w:type="spellStart"/>
      <w:r w:rsidRPr="00C75F2D">
        <w:rPr>
          <w:sz w:val="28"/>
          <w:szCs w:val="28"/>
        </w:rPr>
        <w:t>саркопении</w:t>
      </w:r>
      <w:proofErr w:type="spellEnd"/>
      <w:r w:rsidRPr="00C75F2D">
        <w:rPr>
          <w:sz w:val="28"/>
          <w:szCs w:val="28"/>
        </w:rPr>
        <w:t xml:space="preserve"> у больных с опухолевыми и воспалительными заболеваниями поджелудочной железы. </w:t>
      </w:r>
      <w:r w:rsidRPr="00C75F2D">
        <w:rPr>
          <w:i/>
          <w:sz w:val="28"/>
          <w:szCs w:val="28"/>
        </w:rPr>
        <w:t>Диагностическая и интервенционная радиология</w:t>
      </w:r>
      <w:r w:rsidRPr="00C75F2D">
        <w:rPr>
          <w:sz w:val="28"/>
          <w:szCs w:val="28"/>
        </w:rPr>
        <w:t xml:space="preserve">. </w:t>
      </w:r>
      <w:r w:rsidRPr="00C75F2D">
        <w:rPr>
          <w:sz w:val="28"/>
          <w:szCs w:val="28"/>
          <w:lang w:val="en-US"/>
        </w:rPr>
        <w:t xml:space="preserve">2012. № 6 (1). </w:t>
      </w:r>
      <w:r w:rsidRPr="00C75F2D">
        <w:rPr>
          <w:sz w:val="28"/>
          <w:szCs w:val="28"/>
        </w:rPr>
        <w:t xml:space="preserve">С. </w:t>
      </w:r>
      <w:r w:rsidRPr="00C75F2D">
        <w:rPr>
          <w:sz w:val="28"/>
          <w:szCs w:val="28"/>
          <w:lang w:val="en-US"/>
        </w:rPr>
        <w:t>13</w:t>
      </w:r>
      <w:r w:rsidRPr="00C75F2D">
        <w:rPr>
          <w:sz w:val="28"/>
          <w:szCs w:val="28"/>
        </w:rPr>
        <w:t>–</w:t>
      </w:r>
      <w:r w:rsidRPr="00C75F2D">
        <w:rPr>
          <w:sz w:val="28"/>
          <w:szCs w:val="28"/>
          <w:lang w:val="en-US"/>
        </w:rPr>
        <w:t>18.</w:t>
      </w:r>
      <w:bookmarkEnd w:id="5"/>
    </w:p>
    <w:p w:rsidR="001C117F" w:rsidRPr="00C75F2D" w:rsidRDefault="001C117F" w:rsidP="001C117F">
      <w:pPr>
        <w:pStyle w:val="ac"/>
        <w:numPr>
          <w:ilvl w:val="0"/>
          <w:numId w:val="13"/>
        </w:numPr>
        <w:spacing w:after="0" w:line="360" w:lineRule="auto"/>
        <w:jc w:val="both"/>
        <w:rPr>
          <w:sz w:val="28"/>
          <w:szCs w:val="28"/>
        </w:rPr>
      </w:pPr>
      <w:bookmarkStart w:id="6" w:name="_Ref24316919"/>
      <w:proofErr w:type="spellStart"/>
      <w:r w:rsidRPr="00C75F2D">
        <w:rPr>
          <w:sz w:val="28"/>
          <w:szCs w:val="28"/>
        </w:rPr>
        <w:t>Маев</w:t>
      </w:r>
      <w:proofErr w:type="spellEnd"/>
      <w:r w:rsidRPr="00C75F2D">
        <w:rPr>
          <w:sz w:val="28"/>
          <w:szCs w:val="28"/>
        </w:rPr>
        <w:t xml:space="preserve"> И. В., </w:t>
      </w:r>
      <w:proofErr w:type="spellStart"/>
      <w:r w:rsidRPr="00C75F2D">
        <w:rPr>
          <w:sz w:val="28"/>
          <w:szCs w:val="28"/>
        </w:rPr>
        <w:t>Казюлин</w:t>
      </w:r>
      <w:proofErr w:type="spellEnd"/>
      <w:r w:rsidRPr="00C75F2D">
        <w:rPr>
          <w:sz w:val="28"/>
          <w:szCs w:val="28"/>
        </w:rPr>
        <w:t xml:space="preserve"> А. Н., </w:t>
      </w:r>
      <w:proofErr w:type="spellStart"/>
      <w:r w:rsidRPr="00C75F2D">
        <w:rPr>
          <w:sz w:val="28"/>
          <w:szCs w:val="28"/>
        </w:rPr>
        <w:t>Баранская</w:t>
      </w:r>
      <w:proofErr w:type="spellEnd"/>
      <w:r w:rsidRPr="00C75F2D">
        <w:rPr>
          <w:sz w:val="28"/>
          <w:szCs w:val="28"/>
        </w:rPr>
        <w:t xml:space="preserve"> Е. К. Нарушения питания как причинный фактор развития и усугубления панкреатита. </w:t>
      </w:r>
      <w:proofErr w:type="spellStart"/>
      <w:r w:rsidRPr="00C75F2D">
        <w:rPr>
          <w:i/>
          <w:sz w:val="28"/>
          <w:szCs w:val="28"/>
        </w:rPr>
        <w:t>Фарматека</w:t>
      </w:r>
      <w:proofErr w:type="spellEnd"/>
      <w:r w:rsidRPr="00C75F2D">
        <w:rPr>
          <w:sz w:val="28"/>
          <w:szCs w:val="28"/>
        </w:rPr>
        <w:t xml:space="preserve">. </w:t>
      </w:r>
      <w:r w:rsidRPr="00C75F2D">
        <w:rPr>
          <w:sz w:val="28"/>
          <w:szCs w:val="28"/>
          <w:lang w:val="en-US"/>
        </w:rPr>
        <w:t xml:space="preserve">2011. № 12. </w:t>
      </w:r>
      <w:r w:rsidRPr="00C75F2D">
        <w:rPr>
          <w:sz w:val="28"/>
          <w:szCs w:val="28"/>
        </w:rPr>
        <w:t xml:space="preserve">С. </w:t>
      </w:r>
      <w:r w:rsidRPr="00C75F2D">
        <w:rPr>
          <w:sz w:val="28"/>
          <w:szCs w:val="28"/>
          <w:lang w:val="en-US"/>
        </w:rPr>
        <w:t>38</w:t>
      </w:r>
      <w:r w:rsidRPr="00C75F2D">
        <w:rPr>
          <w:sz w:val="28"/>
          <w:szCs w:val="28"/>
        </w:rPr>
        <w:t>–</w:t>
      </w:r>
      <w:r w:rsidRPr="00C75F2D">
        <w:rPr>
          <w:sz w:val="28"/>
          <w:szCs w:val="28"/>
          <w:lang w:val="en-US"/>
        </w:rPr>
        <w:t>45.</w:t>
      </w:r>
      <w:bookmarkEnd w:id="6"/>
    </w:p>
    <w:p w:rsidR="001C117F" w:rsidRPr="00C75F2D" w:rsidRDefault="001C117F" w:rsidP="001C117F">
      <w:pPr>
        <w:pStyle w:val="ac"/>
        <w:numPr>
          <w:ilvl w:val="0"/>
          <w:numId w:val="13"/>
        </w:numPr>
        <w:spacing w:after="0" w:line="360" w:lineRule="auto"/>
        <w:jc w:val="both"/>
        <w:rPr>
          <w:sz w:val="28"/>
          <w:szCs w:val="28"/>
        </w:rPr>
      </w:pPr>
      <w:bookmarkStart w:id="7" w:name="_Ref24316899"/>
      <w:r w:rsidRPr="00C75F2D">
        <w:rPr>
          <w:sz w:val="28"/>
          <w:szCs w:val="28"/>
        </w:rPr>
        <w:t xml:space="preserve">Москалева А. Б. Оценка </w:t>
      </w:r>
      <w:proofErr w:type="spellStart"/>
      <w:r w:rsidRPr="00C75F2D">
        <w:rPr>
          <w:sz w:val="28"/>
          <w:szCs w:val="28"/>
        </w:rPr>
        <w:t>нутритивного</w:t>
      </w:r>
      <w:proofErr w:type="spellEnd"/>
      <w:r w:rsidRPr="00C75F2D">
        <w:rPr>
          <w:sz w:val="28"/>
          <w:szCs w:val="28"/>
        </w:rPr>
        <w:t xml:space="preserve"> статуса при хроническом панкреатите: </w:t>
      </w:r>
      <w:proofErr w:type="spellStart"/>
      <w:r w:rsidRPr="00C75F2D">
        <w:rPr>
          <w:sz w:val="28"/>
          <w:szCs w:val="28"/>
        </w:rPr>
        <w:t>автореф</w:t>
      </w:r>
      <w:proofErr w:type="spellEnd"/>
      <w:r w:rsidRPr="00C75F2D">
        <w:rPr>
          <w:sz w:val="28"/>
          <w:szCs w:val="28"/>
        </w:rPr>
        <w:t xml:space="preserve">. </w:t>
      </w:r>
      <w:proofErr w:type="spellStart"/>
      <w:r w:rsidRPr="00C75F2D">
        <w:rPr>
          <w:sz w:val="28"/>
          <w:szCs w:val="28"/>
        </w:rPr>
        <w:t>дис</w:t>
      </w:r>
      <w:proofErr w:type="spellEnd"/>
      <w:r w:rsidRPr="00C75F2D">
        <w:rPr>
          <w:sz w:val="28"/>
          <w:szCs w:val="28"/>
        </w:rPr>
        <w:t>. ... канд. мед. наук 14.01.04, 14.01.28. Москва</w:t>
      </w:r>
      <w:r w:rsidRPr="00C75F2D">
        <w:rPr>
          <w:sz w:val="28"/>
          <w:szCs w:val="28"/>
          <w:lang w:val="en-US"/>
        </w:rPr>
        <w:t>,</w:t>
      </w:r>
      <w:r w:rsidRPr="00C75F2D">
        <w:rPr>
          <w:sz w:val="28"/>
          <w:szCs w:val="28"/>
        </w:rPr>
        <w:t xml:space="preserve"> 2012</w:t>
      </w:r>
      <w:r w:rsidRPr="00C75F2D">
        <w:rPr>
          <w:sz w:val="28"/>
          <w:szCs w:val="28"/>
          <w:lang w:val="en-US"/>
        </w:rPr>
        <w:t>.</w:t>
      </w:r>
      <w:r w:rsidRPr="00C75F2D">
        <w:rPr>
          <w:sz w:val="28"/>
          <w:szCs w:val="28"/>
        </w:rPr>
        <w:t xml:space="preserve"> 25 с.</w:t>
      </w:r>
      <w:bookmarkEnd w:id="7"/>
    </w:p>
    <w:p w:rsidR="001C117F" w:rsidRPr="00C75F2D" w:rsidRDefault="001C117F" w:rsidP="001C117F">
      <w:pPr>
        <w:pStyle w:val="ac"/>
        <w:numPr>
          <w:ilvl w:val="0"/>
          <w:numId w:val="13"/>
        </w:numPr>
        <w:spacing w:after="0" w:line="360" w:lineRule="auto"/>
        <w:jc w:val="both"/>
        <w:rPr>
          <w:sz w:val="28"/>
          <w:szCs w:val="28"/>
        </w:rPr>
      </w:pPr>
      <w:bookmarkStart w:id="8" w:name="_Ref24316765"/>
      <w:r w:rsidRPr="00C75F2D">
        <w:rPr>
          <w:sz w:val="28"/>
          <w:szCs w:val="28"/>
        </w:rPr>
        <w:t>Неполноценное питание, 2018. URL: http://www.who.int/ru/news-room/fact-sheets/detail/malnutrition (дата обращения: 03.10.2018).</w:t>
      </w:r>
      <w:bookmarkEnd w:id="8"/>
    </w:p>
    <w:p w:rsidR="001C117F" w:rsidRPr="00C75F2D" w:rsidRDefault="001C117F" w:rsidP="001C117F">
      <w:pPr>
        <w:pStyle w:val="ac"/>
        <w:numPr>
          <w:ilvl w:val="0"/>
          <w:numId w:val="13"/>
        </w:numPr>
        <w:spacing w:after="0" w:line="360" w:lineRule="auto"/>
        <w:jc w:val="both"/>
        <w:rPr>
          <w:sz w:val="28"/>
          <w:szCs w:val="28"/>
        </w:rPr>
      </w:pPr>
      <w:bookmarkStart w:id="9" w:name="_Ref24316756"/>
      <w:r w:rsidRPr="00C75F2D">
        <w:rPr>
          <w:sz w:val="28"/>
          <w:szCs w:val="28"/>
        </w:rPr>
        <w:t>Ожирение и избыточный вес, 2018. URL: http://www.who.int/ru/news-room/fact-sheets/detail/obesity-and-overweight (дата обращения: 03.10.2018).</w:t>
      </w:r>
      <w:bookmarkEnd w:id="9"/>
    </w:p>
    <w:p w:rsidR="001C117F" w:rsidRPr="00C75F2D" w:rsidRDefault="001C117F" w:rsidP="00AF4110">
      <w:pPr>
        <w:pStyle w:val="ac"/>
        <w:numPr>
          <w:ilvl w:val="0"/>
          <w:numId w:val="13"/>
        </w:numPr>
        <w:spacing w:after="0" w:line="360" w:lineRule="auto"/>
        <w:jc w:val="both"/>
        <w:rPr>
          <w:sz w:val="28"/>
          <w:szCs w:val="28"/>
          <w:lang w:val="en-US"/>
        </w:rPr>
      </w:pPr>
      <w:proofErr w:type="spellStart"/>
      <w:r w:rsidRPr="00C75F2D">
        <w:rPr>
          <w:sz w:val="28"/>
          <w:szCs w:val="28"/>
          <w:lang w:val="en-US"/>
        </w:rPr>
        <w:t>Affronti</w:t>
      </w:r>
      <w:proofErr w:type="spellEnd"/>
      <w:r w:rsidRPr="00C75F2D">
        <w:rPr>
          <w:sz w:val="28"/>
          <w:szCs w:val="28"/>
          <w:lang w:val="en-US"/>
        </w:rPr>
        <w:t xml:space="preserve"> J. Chronic pancreatitis and exocrine insufficiency. </w:t>
      </w:r>
      <w:r w:rsidRPr="00C75F2D">
        <w:rPr>
          <w:i/>
          <w:sz w:val="28"/>
          <w:szCs w:val="28"/>
          <w:lang w:val="en-US"/>
        </w:rPr>
        <w:t>Prim. Care</w:t>
      </w:r>
      <w:r w:rsidRPr="00C75F2D">
        <w:rPr>
          <w:sz w:val="28"/>
          <w:szCs w:val="28"/>
          <w:lang w:val="en-US"/>
        </w:rPr>
        <w:t>. 2011. Vol. 38. P. 515–537.</w:t>
      </w:r>
      <w:bookmarkEnd w:id="1"/>
    </w:p>
    <w:p w:rsidR="001C117F" w:rsidRPr="00C75F2D" w:rsidRDefault="001C117F" w:rsidP="00AF4110">
      <w:pPr>
        <w:pStyle w:val="ac"/>
        <w:numPr>
          <w:ilvl w:val="0"/>
          <w:numId w:val="13"/>
        </w:numPr>
        <w:spacing w:after="0" w:line="360" w:lineRule="auto"/>
        <w:jc w:val="both"/>
        <w:rPr>
          <w:sz w:val="28"/>
          <w:szCs w:val="28"/>
        </w:rPr>
      </w:pPr>
      <w:bookmarkStart w:id="10" w:name="_Ref24316894"/>
      <w:r w:rsidRPr="00C75F2D">
        <w:rPr>
          <w:sz w:val="28"/>
          <w:szCs w:val="28"/>
          <w:lang w:val="en-US"/>
        </w:rPr>
        <w:t xml:space="preserve">Choi K. M. Sarcopenia and sarcopenic obesity. </w:t>
      </w:r>
      <w:r w:rsidRPr="00C75F2D">
        <w:rPr>
          <w:i/>
          <w:sz w:val="28"/>
          <w:szCs w:val="28"/>
          <w:lang w:val="en-US"/>
        </w:rPr>
        <w:t>Korean J. Intern. Med</w:t>
      </w:r>
      <w:r w:rsidRPr="00D5438D">
        <w:rPr>
          <w:sz w:val="28"/>
          <w:szCs w:val="28"/>
          <w:lang w:val="en-US"/>
        </w:rPr>
        <w:t xml:space="preserve">. 2016. </w:t>
      </w:r>
      <w:r w:rsidRPr="00C75F2D">
        <w:rPr>
          <w:sz w:val="28"/>
          <w:szCs w:val="28"/>
          <w:lang w:val="en-US"/>
        </w:rPr>
        <w:t>Vol</w:t>
      </w:r>
      <w:r w:rsidRPr="00D5438D">
        <w:rPr>
          <w:sz w:val="28"/>
          <w:szCs w:val="28"/>
          <w:lang w:val="en-US"/>
        </w:rPr>
        <w:t xml:space="preserve">. 31, </w:t>
      </w:r>
      <w:r w:rsidRPr="00C75F2D">
        <w:rPr>
          <w:sz w:val="28"/>
          <w:szCs w:val="28"/>
          <w:lang w:val="en-US"/>
        </w:rPr>
        <w:t>No</w:t>
      </w:r>
      <w:r w:rsidRPr="00D5438D">
        <w:rPr>
          <w:sz w:val="28"/>
          <w:szCs w:val="28"/>
          <w:lang w:val="en-US"/>
        </w:rPr>
        <w:t xml:space="preserve"> 6. </w:t>
      </w:r>
      <w:r w:rsidRPr="00C75F2D">
        <w:rPr>
          <w:sz w:val="28"/>
          <w:szCs w:val="28"/>
          <w:lang w:val="en-US"/>
        </w:rPr>
        <w:t>P</w:t>
      </w:r>
      <w:r w:rsidRPr="00C75F2D">
        <w:rPr>
          <w:sz w:val="28"/>
          <w:szCs w:val="28"/>
        </w:rPr>
        <w:t>. 1054–1060.</w:t>
      </w:r>
      <w:bookmarkEnd w:id="10"/>
    </w:p>
    <w:p w:rsidR="001C117F" w:rsidRPr="00C75F2D" w:rsidRDefault="001C117F" w:rsidP="00AF4110">
      <w:pPr>
        <w:pStyle w:val="ac"/>
        <w:numPr>
          <w:ilvl w:val="0"/>
          <w:numId w:val="13"/>
        </w:numPr>
        <w:spacing w:after="0" w:line="360" w:lineRule="auto"/>
        <w:jc w:val="both"/>
        <w:rPr>
          <w:sz w:val="28"/>
          <w:szCs w:val="28"/>
          <w:lang w:val="en-US"/>
        </w:rPr>
      </w:pPr>
      <w:bookmarkStart w:id="11" w:name="_Ref24316869"/>
      <w:r w:rsidRPr="00D5438D">
        <w:rPr>
          <w:sz w:val="28"/>
          <w:szCs w:val="28"/>
          <w:lang w:val="en-US"/>
        </w:rPr>
        <w:lastRenderedPageBreak/>
        <w:t>Cruz-</w:t>
      </w:r>
      <w:proofErr w:type="spellStart"/>
      <w:r w:rsidRPr="00D5438D">
        <w:rPr>
          <w:sz w:val="28"/>
          <w:szCs w:val="28"/>
          <w:lang w:val="en-US"/>
        </w:rPr>
        <w:t>Jentoft</w:t>
      </w:r>
      <w:proofErr w:type="spellEnd"/>
      <w:r w:rsidRPr="00D5438D">
        <w:rPr>
          <w:sz w:val="28"/>
          <w:szCs w:val="28"/>
          <w:lang w:val="en-US"/>
        </w:rPr>
        <w:t xml:space="preserve"> A.</w:t>
      </w:r>
      <w:r w:rsidRPr="00C75F2D">
        <w:rPr>
          <w:sz w:val="28"/>
          <w:szCs w:val="28"/>
          <w:lang w:val="en-US"/>
        </w:rPr>
        <w:t xml:space="preserve"> </w:t>
      </w:r>
      <w:r w:rsidRPr="00D5438D">
        <w:rPr>
          <w:sz w:val="28"/>
          <w:szCs w:val="28"/>
          <w:lang w:val="en-US"/>
        </w:rPr>
        <w:t xml:space="preserve">J., </w:t>
      </w:r>
      <w:proofErr w:type="spellStart"/>
      <w:r w:rsidRPr="00D5438D">
        <w:rPr>
          <w:sz w:val="28"/>
          <w:szCs w:val="28"/>
          <w:lang w:val="en-US"/>
        </w:rPr>
        <w:t>Baeyens</w:t>
      </w:r>
      <w:proofErr w:type="spellEnd"/>
      <w:r w:rsidRPr="00D5438D">
        <w:rPr>
          <w:sz w:val="28"/>
          <w:szCs w:val="28"/>
          <w:lang w:val="en-US"/>
        </w:rPr>
        <w:t xml:space="preserve"> J.</w:t>
      </w:r>
      <w:r w:rsidRPr="00C75F2D">
        <w:rPr>
          <w:sz w:val="28"/>
          <w:szCs w:val="28"/>
          <w:lang w:val="en-US"/>
        </w:rPr>
        <w:t xml:space="preserve"> </w:t>
      </w:r>
      <w:r w:rsidRPr="00D5438D">
        <w:rPr>
          <w:sz w:val="28"/>
          <w:szCs w:val="28"/>
          <w:lang w:val="en-US"/>
        </w:rPr>
        <w:t>P., Bauer J.</w:t>
      </w:r>
      <w:r w:rsidRPr="00C75F2D">
        <w:rPr>
          <w:sz w:val="28"/>
          <w:szCs w:val="28"/>
          <w:lang w:val="en-US"/>
        </w:rPr>
        <w:t xml:space="preserve"> </w:t>
      </w:r>
      <w:r w:rsidRPr="00D5438D">
        <w:rPr>
          <w:sz w:val="28"/>
          <w:szCs w:val="28"/>
          <w:lang w:val="en-US"/>
        </w:rPr>
        <w:t xml:space="preserve">M. Sarcopenia: European consensus on definition and diagnosis: report of the European Working Group on Sarcopenia in Older People. </w:t>
      </w:r>
      <w:proofErr w:type="spellStart"/>
      <w:r w:rsidRPr="00C75F2D">
        <w:rPr>
          <w:i/>
          <w:sz w:val="28"/>
          <w:szCs w:val="28"/>
        </w:rPr>
        <w:t>Age</w:t>
      </w:r>
      <w:proofErr w:type="spellEnd"/>
      <w:r w:rsidRPr="00C75F2D">
        <w:rPr>
          <w:i/>
          <w:sz w:val="28"/>
          <w:szCs w:val="28"/>
        </w:rPr>
        <w:t xml:space="preserve"> </w:t>
      </w:r>
      <w:proofErr w:type="spellStart"/>
      <w:r w:rsidRPr="00C75F2D">
        <w:rPr>
          <w:i/>
          <w:sz w:val="28"/>
          <w:szCs w:val="28"/>
        </w:rPr>
        <w:t>Ageing</w:t>
      </w:r>
      <w:proofErr w:type="spellEnd"/>
      <w:r w:rsidRPr="00C75F2D">
        <w:rPr>
          <w:sz w:val="28"/>
          <w:szCs w:val="28"/>
        </w:rPr>
        <w:t xml:space="preserve">. </w:t>
      </w:r>
      <w:r w:rsidRPr="00C75F2D">
        <w:rPr>
          <w:sz w:val="28"/>
          <w:szCs w:val="28"/>
          <w:lang w:val="en-US"/>
        </w:rPr>
        <w:t>2010. Vol. 39, No 4. P. 412–423.</w:t>
      </w:r>
      <w:bookmarkEnd w:id="11"/>
    </w:p>
    <w:p w:rsidR="001C117F" w:rsidRPr="00C75F2D" w:rsidRDefault="001C117F" w:rsidP="00AF4110">
      <w:pPr>
        <w:pStyle w:val="ac"/>
        <w:numPr>
          <w:ilvl w:val="0"/>
          <w:numId w:val="13"/>
        </w:numPr>
        <w:spacing w:after="0" w:line="360" w:lineRule="auto"/>
        <w:jc w:val="both"/>
        <w:rPr>
          <w:sz w:val="28"/>
          <w:szCs w:val="28"/>
          <w:lang w:val="en-US"/>
        </w:rPr>
      </w:pPr>
      <w:bookmarkStart w:id="12" w:name="_Ref24316790"/>
      <w:r w:rsidRPr="00C75F2D">
        <w:rPr>
          <w:sz w:val="28"/>
          <w:szCs w:val="28"/>
          <w:lang w:val="en-US"/>
        </w:rPr>
        <w:t xml:space="preserve">Duggan S., O’Sullivan M., Feehan S. Nutrition treatment of deficiency and malnutrition in chronic pancreatitis: a review. </w:t>
      </w:r>
      <w:proofErr w:type="spellStart"/>
      <w:r w:rsidRPr="00C75F2D">
        <w:rPr>
          <w:i/>
          <w:sz w:val="28"/>
          <w:szCs w:val="28"/>
          <w:lang w:val="en-US"/>
        </w:rPr>
        <w:t>Nutr</w:t>
      </w:r>
      <w:proofErr w:type="spellEnd"/>
      <w:r w:rsidRPr="00C75F2D">
        <w:rPr>
          <w:i/>
          <w:sz w:val="28"/>
          <w:szCs w:val="28"/>
          <w:lang w:val="en-US"/>
        </w:rPr>
        <w:t xml:space="preserve">. Clin. </w:t>
      </w:r>
      <w:proofErr w:type="spellStart"/>
      <w:r w:rsidRPr="00C75F2D">
        <w:rPr>
          <w:i/>
          <w:sz w:val="28"/>
          <w:szCs w:val="28"/>
          <w:lang w:val="en-US"/>
        </w:rPr>
        <w:t>Pract</w:t>
      </w:r>
      <w:proofErr w:type="spellEnd"/>
      <w:r w:rsidRPr="00C75F2D">
        <w:rPr>
          <w:sz w:val="28"/>
          <w:szCs w:val="28"/>
          <w:lang w:val="en-US"/>
        </w:rPr>
        <w:t>. 2010. Vol. 25. P. 362–370.</w:t>
      </w:r>
      <w:bookmarkEnd w:id="12"/>
    </w:p>
    <w:p w:rsidR="001C117F" w:rsidRPr="00C75F2D" w:rsidRDefault="001C117F" w:rsidP="00AF4110">
      <w:pPr>
        <w:pStyle w:val="ac"/>
        <w:numPr>
          <w:ilvl w:val="0"/>
          <w:numId w:val="13"/>
        </w:numPr>
        <w:spacing w:after="0" w:line="360" w:lineRule="auto"/>
        <w:jc w:val="both"/>
        <w:rPr>
          <w:sz w:val="28"/>
          <w:szCs w:val="28"/>
        </w:rPr>
      </w:pPr>
      <w:bookmarkStart w:id="13" w:name="_Ref24316782"/>
      <w:proofErr w:type="spellStart"/>
      <w:r w:rsidRPr="00C75F2D">
        <w:rPr>
          <w:sz w:val="28"/>
          <w:szCs w:val="28"/>
          <w:lang w:val="en-US"/>
        </w:rPr>
        <w:t>Frossard</w:t>
      </w:r>
      <w:proofErr w:type="spellEnd"/>
      <w:r w:rsidRPr="00C75F2D">
        <w:rPr>
          <w:sz w:val="28"/>
          <w:szCs w:val="28"/>
          <w:lang w:val="en-US"/>
        </w:rPr>
        <w:t xml:space="preserve"> J. L., </w:t>
      </w:r>
      <w:proofErr w:type="spellStart"/>
      <w:r w:rsidRPr="00C75F2D">
        <w:rPr>
          <w:sz w:val="28"/>
          <w:szCs w:val="28"/>
          <w:lang w:val="en-US"/>
        </w:rPr>
        <w:t>Lescuyer</w:t>
      </w:r>
      <w:proofErr w:type="spellEnd"/>
      <w:r w:rsidRPr="00C75F2D">
        <w:rPr>
          <w:sz w:val="28"/>
          <w:szCs w:val="28"/>
          <w:lang w:val="en-US"/>
        </w:rPr>
        <w:t xml:space="preserve"> P., Pastor C. M. Experimental evidence of obesity as a risk factor for severe acute pancreatitis. </w:t>
      </w:r>
      <w:proofErr w:type="spellStart"/>
      <w:r w:rsidRPr="00C75F2D">
        <w:rPr>
          <w:i/>
          <w:sz w:val="28"/>
          <w:szCs w:val="28"/>
          <w:lang w:val="en-US"/>
        </w:rPr>
        <w:t>Wor</w:t>
      </w:r>
      <w:r w:rsidRPr="00C75F2D">
        <w:rPr>
          <w:i/>
          <w:sz w:val="28"/>
          <w:szCs w:val="28"/>
        </w:rPr>
        <w:t>ld</w:t>
      </w:r>
      <w:proofErr w:type="spellEnd"/>
      <w:r w:rsidRPr="00C75F2D">
        <w:rPr>
          <w:i/>
          <w:sz w:val="28"/>
          <w:szCs w:val="28"/>
        </w:rPr>
        <w:t xml:space="preserve"> J. </w:t>
      </w:r>
      <w:proofErr w:type="spellStart"/>
      <w:r w:rsidRPr="00C75F2D">
        <w:rPr>
          <w:i/>
          <w:sz w:val="28"/>
          <w:szCs w:val="28"/>
        </w:rPr>
        <w:t>Gastroenterol</w:t>
      </w:r>
      <w:proofErr w:type="spellEnd"/>
      <w:r w:rsidRPr="00C75F2D">
        <w:rPr>
          <w:sz w:val="28"/>
          <w:szCs w:val="28"/>
        </w:rPr>
        <w:t xml:space="preserve">. 2009. </w:t>
      </w:r>
      <w:r w:rsidRPr="00C75F2D">
        <w:rPr>
          <w:sz w:val="28"/>
          <w:szCs w:val="28"/>
          <w:lang w:val="en-US"/>
        </w:rPr>
        <w:t>Vol</w:t>
      </w:r>
      <w:r w:rsidRPr="00C75F2D">
        <w:rPr>
          <w:sz w:val="28"/>
          <w:szCs w:val="28"/>
        </w:rPr>
        <w:t xml:space="preserve">. 15, </w:t>
      </w:r>
      <w:r w:rsidRPr="00C75F2D">
        <w:rPr>
          <w:sz w:val="28"/>
          <w:szCs w:val="28"/>
          <w:lang w:val="en-US"/>
        </w:rPr>
        <w:t>No</w:t>
      </w:r>
      <w:r w:rsidRPr="00C75F2D">
        <w:rPr>
          <w:sz w:val="28"/>
          <w:szCs w:val="28"/>
        </w:rPr>
        <w:t xml:space="preserve"> 42. </w:t>
      </w:r>
      <w:r w:rsidRPr="00C75F2D">
        <w:rPr>
          <w:sz w:val="28"/>
          <w:szCs w:val="28"/>
          <w:lang w:val="en-US"/>
        </w:rPr>
        <w:t>P</w:t>
      </w:r>
      <w:r w:rsidRPr="00C75F2D">
        <w:rPr>
          <w:sz w:val="28"/>
          <w:szCs w:val="28"/>
        </w:rPr>
        <w:t>. 5260–5265.</w:t>
      </w:r>
      <w:bookmarkEnd w:id="13"/>
    </w:p>
    <w:p w:rsidR="001C117F" w:rsidRPr="00C75F2D" w:rsidRDefault="001C117F" w:rsidP="00AF4110">
      <w:pPr>
        <w:pStyle w:val="ac"/>
        <w:numPr>
          <w:ilvl w:val="0"/>
          <w:numId w:val="13"/>
        </w:numPr>
        <w:spacing w:after="0" w:line="360" w:lineRule="auto"/>
        <w:jc w:val="both"/>
        <w:rPr>
          <w:sz w:val="28"/>
          <w:szCs w:val="28"/>
          <w:lang w:val="en-US"/>
        </w:rPr>
      </w:pPr>
      <w:bookmarkStart w:id="14" w:name="_Ref24316769"/>
      <w:proofErr w:type="spellStart"/>
      <w:r w:rsidRPr="00D5438D">
        <w:rPr>
          <w:sz w:val="28"/>
          <w:szCs w:val="28"/>
          <w:lang w:val="en-US"/>
        </w:rPr>
        <w:t>Jin</w:t>
      </w:r>
      <w:proofErr w:type="spellEnd"/>
      <w:r w:rsidRPr="00D5438D">
        <w:rPr>
          <w:sz w:val="28"/>
          <w:szCs w:val="28"/>
          <w:lang w:val="en-US"/>
        </w:rPr>
        <w:t xml:space="preserve"> Y., Li X. Analysis of Current Status on a New Public Health Nutrition Service Pattern in China: A Nutrition Outpatient Clinic-Based Study. </w:t>
      </w:r>
      <w:proofErr w:type="spellStart"/>
      <w:r w:rsidRPr="00C75F2D">
        <w:rPr>
          <w:i/>
          <w:sz w:val="28"/>
          <w:szCs w:val="28"/>
        </w:rPr>
        <w:t>BioMed</w:t>
      </w:r>
      <w:proofErr w:type="spellEnd"/>
      <w:r w:rsidRPr="00C75F2D">
        <w:rPr>
          <w:i/>
          <w:sz w:val="28"/>
          <w:szCs w:val="28"/>
        </w:rPr>
        <w:t xml:space="preserve"> </w:t>
      </w:r>
      <w:proofErr w:type="spellStart"/>
      <w:r w:rsidRPr="00C75F2D">
        <w:rPr>
          <w:i/>
          <w:sz w:val="28"/>
          <w:szCs w:val="28"/>
        </w:rPr>
        <w:t>Research</w:t>
      </w:r>
      <w:proofErr w:type="spellEnd"/>
      <w:r w:rsidRPr="00C75F2D">
        <w:rPr>
          <w:i/>
          <w:sz w:val="28"/>
          <w:szCs w:val="28"/>
        </w:rPr>
        <w:t xml:space="preserve"> </w:t>
      </w:r>
      <w:proofErr w:type="spellStart"/>
      <w:r w:rsidRPr="00C75F2D">
        <w:rPr>
          <w:i/>
          <w:sz w:val="28"/>
          <w:szCs w:val="28"/>
        </w:rPr>
        <w:t>International</w:t>
      </w:r>
      <w:proofErr w:type="spellEnd"/>
      <w:r w:rsidRPr="00C75F2D">
        <w:rPr>
          <w:sz w:val="28"/>
          <w:szCs w:val="28"/>
        </w:rPr>
        <w:t xml:space="preserve">. </w:t>
      </w:r>
      <w:r w:rsidRPr="00C75F2D">
        <w:rPr>
          <w:sz w:val="28"/>
          <w:szCs w:val="28"/>
          <w:lang w:val="en-US"/>
        </w:rPr>
        <w:t xml:space="preserve">2018. № 9. </w:t>
      </w:r>
      <w:r w:rsidRPr="00C75F2D">
        <w:rPr>
          <w:sz w:val="28"/>
          <w:szCs w:val="28"/>
        </w:rPr>
        <w:t xml:space="preserve">С. </w:t>
      </w:r>
      <w:r w:rsidRPr="00C75F2D">
        <w:rPr>
          <w:sz w:val="28"/>
          <w:szCs w:val="28"/>
          <w:lang w:val="en-US"/>
        </w:rPr>
        <w:t>1</w:t>
      </w:r>
      <w:r w:rsidRPr="00C75F2D">
        <w:rPr>
          <w:sz w:val="28"/>
          <w:szCs w:val="28"/>
        </w:rPr>
        <w:t>–</w:t>
      </w:r>
      <w:r w:rsidRPr="00C75F2D">
        <w:rPr>
          <w:sz w:val="28"/>
          <w:szCs w:val="28"/>
          <w:lang w:val="en-US"/>
        </w:rPr>
        <w:t>6.</w:t>
      </w:r>
      <w:bookmarkEnd w:id="14"/>
    </w:p>
    <w:p w:rsidR="001C117F" w:rsidRPr="00C75F2D" w:rsidRDefault="001C117F" w:rsidP="00AF4110">
      <w:pPr>
        <w:pStyle w:val="ac"/>
        <w:numPr>
          <w:ilvl w:val="0"/>
          <w:numId w:val="13"/>
        </w:numPr>
        <w:spacing w:after="0" w:line="360" w:lineRule="auto"/>
        <w:jc w:val="both"/>
        <w:rPr>
          <w:sz w:val="28"/>
          <w:szCs w:val="28"/>
          <w:lang w:val="en-US"/>
        </w:rPr>
      </w:pPr>
      <w:bookmarkStart w:id="15" w:name="_Ref24316882"/>
      <w:proofErr w:type="spellStart"/>
      <w:r w:rsidRPr="00C75F2D">
        <w:rPr>
          <w:sz w:val="28"/>
          <w:szCs w:val="28"/>
          <w:lang w:val="en-US"/>
        </w:rPr>
        <w:t>Kaji</w:t>
      </w:r>
      <w:proofErr w:type="spellEnd"/>
      <w:r w:rsidRPr="00C75F2D">
        <w:rPr>
          <w:sz w:val="28"/>
          <w:szCs w:val="28"/>
          <w:lang w:val="en-US"/>
        </w:rPr>
        <w:t xml:space="preserve"> H. Effects of myokines on bone. </w:t>
      </w:r>
      <w:proofErr w:type="spellStart"/>
      <w:r w:rsidRPr="00C75F2D">
        <w:rPr>
          <w:i/>
          <w:sz w:val="28"/>
          <w:szCs w:val="28"/>
          <w:lang w:val="en-US"/>
        </w:rPr>
        <w:t>Bonekey</w:t>
      </w:r>
      <w:proofErr w:type="spellEnd"/>
      <w:r w:rsidRPr="00C75F2D">
        <w:rPr>
          <w:i/>
          <w:sz w:val="28"/>
          <w:szCs w:val="28"/>
          <w:lang w:val="en-US"/>
        </w:rPr>
        <w:t xml:space="preserve"> Rep</w:t>
      </w:r>
      <w:r w:rsidRPr="00C75F2D">
        <w:rPr>
          <w:sz w:val="28"/>
          <w:szCs w:val="28"/>
          <w:lang w:val="en-US"/>
        </w:rPr>
        <w:t>. 2016. Vol. 5. P. 826.</w:t>
      </w:r>
      <w:bookmarkEnd w:id="15"/>
    </w:p>
    <w:p w:rsidR="001C117F" w:rsidRPr="00C75F2D" w:rsidRDefault="001C117F" w:rsidP="00AF4110">
      <w:pPr>
        <w:pStyle w:val="ac"/>
        <w:numPr>
          <w:ilvl w:val="0"/>
          <w:numId w:val="13"/>
        </w:numPr>
        <w:spacing w:after="0" w:line="360" w:lineRule="auto"/>
        <w:jc w:val="both"/>
        <w:rPr>
          <w:sz w:val="28"/>
          <w:szCs w:val="28"/>
          <w:lang w:val="en-US"/>
        </w:rPr>
      </w:pPr>
      <w:bookmarkStart w:id="16" w:name="_Ref24316878"/>
      <w:proofErr w:type="spellStart"/>
      <w:r w:rsidRPr="00C75F2D">
        <w:rPr>
          <w:sz w:val="28"/>
          <w:szCs w:val="28"/>
          <w:lang w:val="en-US"/>
        </w:rPr>
        <w:t>Kawao</w:t>
      </w:r>
      <w:proofErr w:type="spellEnd"/>
      <w:r w:rsidRPr="00C75F2D">
        <w:rPr>
          <w:sz w:val="28"/>
          <w:szCs w:val="28"/>
          <w:lang w:val="en-US"/>
        </w:rPr>
        <w:t xml:space="preserve"> N., </w:t>
      </w:r>
      <w:proofErr w:type="spellStart"/>
      <w:r w:rsidRPr="00C75F2D">
        <w:rPr>
          <w:sz w:val="28"/>
          <w:szCs w:val="28"/>
          <w:lang w:val="en-US"/>
        </w:rPr>
        <w:t>Kaji</w:t>
      </w:r>
      <w:proofErr w:type="spellEnd"/>
      <w:r w:rsidRPr="00C75F2D">
        <w:rPr>
          <w:sz w:val="28"/>
          <w:szCs w:val="28"/>
          <w:lang w:val="en-US"/>
        </w:rPr>
        <w:t xml:space="preserve"> H. Interactions between muscle tissues and bone metabolism. </w:t>
      </w:r>
      <w:r w:rsidRPr="00C75F2D">
        <w:rPr>
          <w:i/>
          <w:sz w:val="28"/>
          <w:szCs w:val="28"/>
          <w:lang w:val="en-US"/>
        </w:rPr>
        <w:t xml:space="preserve">J. Cell </w:t>
      </w:r>
      <w:proofErr w:type="spellStart"/>
      <w:r w:rsidRPr="00C75F2D">
        <w:rPr>
          <w:i/>
          <w:sz w:val="28"/>
          <w:szCs w:val="28"/>
          <w:lang w:val="en-US"/>
        </w:rPr>
        <w:t>Biochem</w:t>
      </w:r>
      <w:proofErr w:type="spellEnd"/>
      <w:r w:rsidRPr="00C75F2D">
        <w:rPr>
          <w:sz w:val="28"/>
          <w:szCs w:val="28"/>
          <w:lang w:val="en-US"/>
        </w:rPr>
        <w:t>. 2015. Vol. 116, No 5. P. 687–695.</w:t>
      </w:r>
      <w:bookmarkEnd w:id="16"/>
    </w:p>
    <w:p w:rsidR="001C117F" w:rsidRPr="00C75F2D" w:rsidRDefault="001C117F" w:rsidP="00AF4110">
      <w:pPr>
        <w:pStyle w:val="ac"/>
        <w:numPr>
          <w:ilvl w:val="0"/>
          <w:numId w:val="13"/>
        </w:numPr>
        <w:spacing w:after="0" w:line="360" w:lineRule="auto"/>
        <w:jc w:val="both"/>
        <w:rPr>
          <w:sz w:val="28"/>
          <w:szCs w:val="28"/>
          <w:lang w:val="en-US"/>
        </w:rPr>
      </w:pPr>
      <w:bookmarkStart w:id="17" w:name="_Ref24316875"/>
      <w:proofErr w:type="spellStart"/>
      <w:r w:rsidRPr="00C75F2D">
        <w:rPr>
          <w:sz w:val="28"/>
          <w:szCs w:val="28"/>
          <w:lang w:val="en-US"/>
        </w:rPr>
        <w:t>Kizilarslanoglu</w:t>
      </w:r>
      <w:proofErr w:type="spellEnd"/>
      <w:r w:rsidRPr="00C75F2D">
        <w:rPr>
          <w:sz w:val="28"/>
          <w:szCs w:val="28"/>
          <w:lang w:val="en-US"/>
        </w:rPr>
        <w:t xml:space="preserve"> M. C., </w:t>
      </w:r>
      <w:proofErr w:type="spellStart"/>
      <w:r w:rsidRPr="00C75F2D">
        <w:rPr>
          <w:sz w:val="28"/>
          <w:szCs w:val="28"/>
          <w:lang w:val="en-US"/>
        </w:rPr>
        <w:t>Kuyumcu</w:t>
      </w:r>
      <w:proofErr w:type="spellEnd"/>
      <w:r w:rsidRPr="00C75F2D">
        <w:rPr>
          <w:sz w:val="28"/>
          <w:szCs w:val="28"/>
          <w:lang w:val="en-US"/>
        </w:rPr>
        <w:t xml:space="preserve"> M. E., </w:t>
      </w:r>
      <w:proofErr w:type="spellStart"/>
      <w:r w:rsidRPr="00C75F2D">
        <w:rPr>
          <w:sz w:val="28"/>
          <w:szCs w:val="28"/>
          <w:lang w:val="en-US"/>
        </w:rPr>
        <w:t>Yesil</w:t>
      </w:r>
      <w:proofErr w:type="spellEnd"/>
      <w:r w:rsidRPr="00C75F2D">
        <w:rPr>
          <w:sz w:val="28"/>
          <w:szCs w:val="28"/>
          <w:lang w:val="en-US"/>
        </w:rPr>
        <w:t xml:space="preserve"> Y., </w:t>
      </w:r>
      <w:proofErr w:type="spellStart"/>
      <w:r w:rsidRPr="00C75F2D">
        <w:rPr>
          <w:sz w:val="28"/>
          <w:szCs w:val="28"/>
          <w:lang w:val="en-US"/>
        </w:rPr>
        <w:t>Halil</w:t>
      </w:r>
      <w:proofErr w:type="spellEnd"/>
      <w:r w:rsidRPr="00C75F2D">
        <w:rPr>
          <w:sz w:val="28"/>
          <w:szCs w:val="28"/>
          <w:lang w:val="en-US"/>
        </w:rPr>
        <w:t xml:space="preserve"> M. Sarcopenia in critically ill patients. </w:t>
      </w:r>
      <w:r w:rsidRPr="00C75F2D">
        <w:rPr>
          <w:i/>
          <w:sz w:val="28"/>
          <w:szCs w:val="28"/>
          <w:lang w:val="en-US"/>
        </w:rPr>
        <w:t xml:space="preserve">J. </w:t>
      </w:r>
      <w:proofErr w:type="spellStart"/>
      <w:r w:rsidRPr="00C75F2D">
        <w:rPr>
          <w:i/>
          <w:sz w:val="28"/>
          <w:szCs w:val="28"/>
          <w:lang w:val="en-US"/>
        </w:rPr>
        <w:t>Anesth</w:t>
      </w:r>
      <w:proofErr w:type="spellEnd"/>
      <w:r w:rsidRPr="00C75F2D">
        <w:rPr>
          <w:sz w:val="28"/>
          <w:szCs w:val="28"/>
          <w:lang w:val="en-US"/>
        </w:rPr>
        <w:t>. 2016. Vol. 30, No 5. P. 884–890.</w:t>
      </w:r>
      <w:bookmarkEnd w:id="17"/>
    </w:p>
    <w:p w:rsidR="001C117F" w:rsidRPr="00C75F2D" w:rsidRDefault="001C117F" w:rsidP="00AF4110">
      <w:pPr>
        <w:pStyle w:val="ac"/>
        <w:numPr>
          <w:ilvl w:val="0"/>
          <w:numId w:val="13"/>
        </w:numPr>
        <w:spacing w:after="0" w:line="360" w:lineRule="auto"/>
        <w:jc w:val="both"/>
        <w:rPr>
          <w:sz w:val="28"/>
          <w:szCs w:val="28"/>
          <w:lang w:val="en-US"/>
        </w:rPr>
      </w:pPr>
      <w:bookmarkStart w:id="18" w:name="_Ref24316807"/>
      <w:proofErr w:type="spellStart"/>
      <w:r w:rsidRPr="00C75F2D">
        <w:rPr>
          <w:sz w:val="28"/>
          <w:szCs w:val="28"/>
          <w:lang w:val="en-US"/>
        </w:rPr>
        <w:t>Kucheryavyy</w:t>
      </w:r>
      <w:proofErr w:type="spellEnd"/>
      <w:r w:rsidRPr="00C75F2D">
        <w:rPr>
          <w:sz w:val="28"/>
          <w:szCs w:val="28"/>
          <w:lang w:val="en-US"/>
        </w:rPr>
        <w:t xml:space="preserve"> Y. A., Andreev D. N. Nutritional status in patients with chronic pancreatitis. </w:t>
      </w:r>
      <w:r w:rsidRPr="00C75F2D">
        <w:rPr>
          <w:i/>
          <w:sz w:val="28"/>
          <w:szCs w:val="28"/>
          <w:lang w:val="en-US"/>
        </w:rPr>
        <w:t xml:space="preserve">J. </w:t>
      </w:r>
      <w:proofErr w:type="spellStart"/>
      <w:r w:rsidRPr="00C75F2D">
        <w:rPr>
          <w:i/>
          <w:sz w:val="28"/>
          <w:szCs w:val="28"/>
          <w:lang w:val="en-US"/>
        </w:rPr>
        <w:t>Nutr</w:t>
      </w:r>
      <w:proofErr w:type="spellEnd"/>
      <w:r w:rsidRPr="00C75F2D">
        <w:rPr>
          <w:i/>
          <w:sz w:val="28"/>
          <w:szCs w:val="28"/>
          <w:lang w:val="en-US"/>
        </w:rPr>
        <w:t xml:space="preserve">. </w:t>
      </w:r>
      <w:proofErr w:type="spellStart"/>
      <w:r w:rsidRPr="00C75F2D">
        <w:rPr>
          <w:i/>
          <w:sz w:val="28"/>
          <w:szCs w:val="28"/>
          <w:lang w:val="en-US"/>
        </w:rPr>
        <w:t>Ther</w:t>
      </w:r>
      <w:proofErr w:type="spellEnd"/>
      <w:r w:rsidRPr="00C75F2D">
        <w:rPr>
          <w:sz w:val="28"/>
          <w:szCs w:val="28"/>
          <w:lang w:val="en-US"/>
        </w:rPr>
        <w:t>. 2014. Vol. 3. P. 122–132.</w:t>
      </w:r>
      <w:bookmarkEnd w:id="18"/>
    </w:p>
    <w:p w:rsidR="001C117F" w:rsidRPr="00C75F2D" w:rsidRDefault="001C117F" w:rsidP="00AF4110">
      <w:pPr>
        <w:pStyle w:val="ac"/>
        <w:numPr>
          <w:ilvl w:val="0"/>
          <w:numId w:val="13"/>
        </w:numPr>
        <w:spacing w:after="0" w:line="360" w:lineRule="auto"/>
        <w:jc w:val="both"/>
        <w:rPr>
          <w:sz w:val="28"/>
          <w:szCs w:val="28"/>
          <w:lang w:val="en-US"/>
        </w:rPr>
      </w:pPr>
      <w:bookmarkStart w:id="19" w:name="_Ref24316773"/>
      <w:proofErr w:type="spellStart"/>
      <w:r w:rsidRPr="00C75F2D">
        <w:rPr>
          <w:sz w:val="28"/>
          <w:szCs w:val="28"/>
          <w:lang w:val="en-US"/>
        </w:rPr>
        <w:t>Lowenfels</w:t>
      </w:r>
      <w:proofErr w:type="spellEnd"/>
      <w:r w:rsidRPr="00C75F2D">
        <w:rPr>
          <w:sz w:val="28"/>
          <w:szCs w:val="28"/>
          <w:lang w:val="en-US"/>
        </w:rPr>
        <w:t xml:space="preserve"> A.</w:t>
      </w:r>
      <w:r w:rsidRPr="00D5438D">
        <w:rPr>
          <w:sz w:val="28"/>
          <w:szCs w:val="28"/>
          <w:lang w:val="en-US"/>
        </w:rPr>
        <w:t xml:space="preserve"> </w:t>
      </w:r>
      <w:r w:rsidRPr="00C75F2D">
        <w:rPr>
          <w:sz w:val="28"/>
          <w:szCs w:val="28"/>
          <w:lang w:val="en-US"/>
        </w:rPr>
        <w:t>B., Maisonneuve P., Sullivan T. The changing character of acute pancreatitis: epidemiology, etiology, and progn</w:t>
      </w:r>
      <w:r w:rsidRPr="00D5438D">
        <w:rPr>
          <w:sz w:val="28"/>
          <w:szCs w:val="28"/>
          <w:lang w:val="en-US"/>
        </w:rPr>
        <w:t xml:space="preserve">osis. </w:t>
      </w:r>
      <w:proofErr w:type="spellStart"/>
      <w:r w:rsidRPr="00C75F2D">
        <w:rPr>
          <w:i/>
          <w:sz w:val="28"/>
          <w:szCs w:val="28"/>
        </w:rPr>
        <w:t>Curr</w:t>
      </w:r>
      <w:proofErr w:type="spellEnd"/>
      <w:r w:rsidRPr="00C75F2D">
        <w:rPr>
          <w:i/>
          <w:sz w:val="28"/>
          <w:szCs w:val="28"/>
        </w:rPr>
        <w:t xml:space="preserve">. </w:t>
      </w:r>
      <w:proofErr w:type="spellStart"/>
      <w:r w:rsidRPr="00C75F2D">
        <w:rPr>
          <w:i/>
          <w:sz w:val="28"/>
          <w:szCs w:val="28"/>
        </w:rPr>
        <w:t>Gastroenterol</w:t>
      </w:r>
      <w:proofErr w:type="spellEnd"/>
      <w:r w:rsidRPr="00C75F2D">
        <w:rPr>
          <w:i/>
          <w:sz w:val="28"/>
          <w:szCs w:val="28"/>
        </w:rPr>
        <w:t xml:space="preserve">. </w:t>
      </w:r>
      <w:proofErr w:type="spellStart"/>
      <w:r w:rsidRPr="00C75F2D">
        <w:rPr>
          <w:i/>
          <w:sz w:val="28"/>
          <w:szCs w:val="28"/>
        </w:rPr>
        <w:t>Rep</w:t>
      </w:r>
      <w:proofErr w:type="spellEnd"/>
      <w:r w:rsidRPr="00C75F2D">
        <w:rPr>
          <w:sz w:val="28"/>
          <w:szCs w:val="28"/>
        </w:rPr>
        <w:t xml:space="preserve">. 2009. </w:t>
      </w:r>
      <w:r w:rsidRPr="00C75F2D">
        <w:rPr>
          <w:sz w:val="28"/>
          <w:szCs w:val="28"/>
          <w:lang w:val="en-US"/>
        </w:rPr>
        <w:t>Vol. 11, No 2. P. 97–103.</w:t>
      </w:r>
      <w:bookmarkEnd w:id="19"/>
    </w:p>
    <w:p w:rsidR="001C117F" w:rsidRPr="00C75F2D" w:rsidRDefault="001C117F" w:rsidP="00AF4110">
      <w:pPr>
        <w:pStyle w:val="ac"/>
        <w:numPr>
          <w:ilvl w:val="0"/>
          <w:numId w:val="13"/>
        </w:numPr>
        <w:spacing w:after="0" w:line="360" w:lineRule="auto"/>
        <w:jc w:val="both"/>
        <w:rPr>
          <w:sz w:val="28"/>
          <w:szCs w:val="28"/>
          <w:lang w:val="en-US"/>
        </w:rPr>
      </w:pPr>
      <w:bookmarkStart w:id="20" w:name="_Ref24316777"/>
      <w:r w:rsidRPr="00C75F2D">
        <w:rPr>
          <w:sz w:val="28"/>
          <w:szCs w:val="28"/>
          <w:lang w:val="en-US"/>
        </w:rPr>
        <w:t xml:space="preserve">Ma M. H., Bai H. X., Park A. J. Risk factors associated with biliary pancreatitis in children. </w:t>
      </w:r>
      <w:r w:rsidRPr="00C75F2D">
        <w:rPr>
          <w:i/>
          <w:sz w:val="28"/>
          <w:szCs w:val="28"/>
          <w:lang w:val="en-US"/>
        </w:rPr>
        <w:t xml:space="preserve">J. </w:t>
      </w:r>
      <w:proofErr w:type="spellStart"/>
      <w:r w:rsidRPr="00C75F2D">
        <w:rPr>
          <w:i/>
          <w:sz w:val="28"/>
          <w:szCs w:val="28"/>
          <w:lang w:val="en-US"/>
        </w:rPr>
        <w:t>Pediatr</w:t>
      </w:r>
      <w:proofErr w:type="spellEnd"/>
      <w:r w:rsidRPr="00C75F2D">
        <w:rPr>
          <w:i/>
          <w:sz w:val="28"/>
          <w:szCs w:val="28"/>
          <w:lang w:val="en-US"/>
        </w:rPr>
        <w:t>. Gastroenterol</w:t>
      </w:r>
      <w:r w:rsidRPr="00C75F2D">
        <w:rPr>
          <w:i/>
          <w:sz w:val="28"/>
          <w:szCs w:val="28"/>
        </w:rPr>
        <w:t xml:space="preserve">. </w:t>
      </w:r>
      <w:proofErr w:type="spellStart"/>
      <w:r w:rsidRPr="00C75F2D">
        <w:rPr>
          <w:i/>
          <w:sz w:val="28"/>
          <w:szCs w:val="28"/>
        </w:rPr>
        <w:t>Nutr</w:t>
      </w:r>
      <w:proofErr w:type="spellEnd"/>
      <w:r w:rsidRPr="00C75F2D">
        <w:rPr>
          <w:sz w:val="28"/>
          <w:szCs w:val="28"/>
        </w:rPr>
        <w:t>. 2012</w:t>
      </w:r>
      <w:r w:rsidRPr="00C75F2D">
        <w:rPr>
          <w:sz w:val="28"/>
          <w:szCs w:val="28"/>
          <w:lang w:val="en-US"/>
        </w:rPr>
        <w:t>. Vol. 54, No 5. P. 651–656.</w:t>
      </w:r>
      <w:bookmarkEnd w:id="20"/>
    </w:p>
    <w:p w:rsidR="001C117F" w:rsidRPr="00C75F2D" w:rsidRDefault="001C117F" w:rsidP="00AF4110">
      <w:pPr>
        <w:pStyle w:val="ac"/>
        <w:numPr>
          <w:ilvl w:val="0"/>
          <w:numId w:val="13"/>
        </w:numPr>
        <w:spacing w:after="0" w:line="360" w:lineRule="auto"/>
        <w:jc w:val="both"/>
        <w:rPr>
          <w:sz w:val="28"/>
          <w:szCs w:val="28"/>
          <w:lang w:val="en-US"/>
        </w:rPr>
      </w:pPr>
      <w:bookmarkStart w:id="21" w:name="_Ref24316872"/>
      <w:r w:rsidRPr="00C75F2D">
        <w:rPr>
          <w:sz w:val="28"/>
          <w:szCs w:val="28"/>
          <w:lang w:val="en-US"/>
        </w:rPr>
        <w:t xml:space="preserve">Peterson S. J, Braunschweig C. A. Prevalence of Sarcopenia and Associated Outcomes in the Clinical Setting. </w:t>
      </w:r>
      <w:proofErr w:type="spellStart"/>
      <w:r w:rsidRPr="00C75F2D">
        <w:rPr>
          <w:i/>
          <w:sz w:val="28"/>
          <w:szCs w:val="28"/>
          <w:lang w:val="en-US"/>
        </w:rPr>
        <w:t>Nutr</w:t>
      </w:r>
      <w:proofErr w:type="spellEnd"/>
      <w:r w:rsidRPr="00C75F2D">
        <w:rPr>
          <w:i/>
          <w:sz w:val="28"/>
          <w:szCs w:val="28"/>
          <w:lang w:val="en-US"/>
        </w:rPr>
        <w:t xml:space="preserve">. Clin. </w:t>
      </w:r>
      <w:proofErr w:type="spellStart"/>
      <w:r w:rsidRPr="00C75F2D">
        <w:rPr>
          <w:i/>
          <w:sz w:val="28"/>
          <w:szCs w:val="28"/>
          <w:lang w:val="en-US"/>
        </w:rPr>
        <w:t>Pra</w:t>
      </w:r>
      <w:r w:rsidRPr="00C75F2D">
        <w:rPr>
          <w:i/>
          <w:sz w:val="28"/>
          <w:szCs w:val="28"/>
        </w:rPr>
        <w:t>ct</w:t>
      </w:r>
      <w:proofErr w:type="spellEnd"/>
      <w:r w:rsidRPr="00C75F2D">
        <w:rPr>
          <w:sz w:val="28"/>
          <w:szCs w:val="28"/>
        </w:rPr>
        <w:t xml:space="preserve">. </w:t>
      </w:r>
      <w:r w:rsidRPr="00C75F2D">
        <w:rPr>
          <w:sz w:val="28"/>
          <w:szCs w:val="28"/>
          <w:lang w:val="en-US"/>
        </w:rPr>
        <w:t>2016. Vol. 31, No 1. P. 40–48.</w:t>
      </w:r>
      <w:bookmarkEnd w:id="21"/>
    </w:p>
    <w:p w:rsidR="001C117F" w:rsidRPr="00C75F2D" w:rsidRDefault="001C117F" w:rsidP="00AF4110">
      <w:pPr>
        <w:pStyle w:val="ac"/>
        <w:numPr>
          <w:ilvl w:val="0"/>
          <w:numId w:val="13"/>
        </w:numPr>
        <w:spacing w:after="0" w:line="360" w:lineRule="auto"/>
        <w:jc w:val="both"/>
        <w:rPr>
          <w:sz w:val="28"/>
          <w:szCs w:val="28"/>
          <w:lang w:val="en-US"/>
        </w:rPr>
      </w:pPr>
      <w:bookmarkStart w:id="22" w:name="_Ref24316910"/>
      <w:r w:rsidRPr="00D5438D">
        <w:rPr>
          <w:sz w:val="28"/>
          <w:szCs w:val="28"/>
          <w:lang w:val="en-US"/>
        </w:rPr>
        <w:t xml:space="preserve">Rasmussen </w:t>
      </w:r>
      <w:r w:rsidRPr="00C75F2D">
        <w:rPr>
          <w:sz w:val="28"/>
          <w:szCs w:val="28"/>
        </w:rPr>
        <w:t>Н</w:t>
      </w:r>
      <w:r w:rsidRPr="00D5438D">
        <w:rPr>
          <w:sz w:val="28"/>
          <w:szCs w:val="28"/>
          <w:lang w:val="en-US"/>
        </w:rPr>
        <w:t>.</w:t>
      </w:r>
      <w:r w:rsidRPr="00C75F2D">
        <w:rPr>
          <w:sz w:val="28"/>
          <w:szCs w:val="28"/>
          <w:lang w:val="en-US"/>
        </w:rPr>
        <w:t xml:space="preserve"> </w:t>
      </w:r>
      <w:r w:rsidRPr="00C75F2D">
        <w:rPr>
          <w:sz w:val="28"/>
          <w:szCs w:val="28"/>
        </w:rPr>
        <w:t>Н</w:t>
      </w:r>
      <w:r w:rsidRPr="00D5438D">
        <w:rPr>
          <w:sz w:val="28"/>
          <w:szCs w:val="28"/>
          <w:lang w:val="en-US"/>
        </w:rPr>
        <w:t xml:space="preserve">., </w:t>
      </w:r>
      <w:proofErr w:type="spellStart"/>
      <w:r w:rsidRPr="00D5438D">
        <w:rPr>
          <w:sz w:val="28"/>
          <w:szCs w:val="28"/>
          <w:lang w:val="en-US"/>
        </w:rPr>
        <w:t>Irtun</w:t>
      </w:r>
      <w:proofErr w:type="spellEnd"/>
      <w:r w:rsidRPr="00D5438D">
        <w:rPr>
          <w:sz w:val="28"/>
          <w:szCs w:val="28"/>
          <w:lang w:val="en-US"/>
        </w:rPr>
        <w:t xml:space="preserve"> D., Olesen S.</w:t>
      </w:r>
      <w:r w:rsidRPr="00C75F2D">
        <w:rPr>
          <w:sz w:val="28"/>
          <w:szCs w:val="28"/>
          <w:lang w:val="en-US"/>
        </w:rPr>
        <w:t xml:space="preserve"> </w:t>
      </w:r>
      <w:r w:rsidRPr="00D5438D">
        <w:rPr>
          <w:sz w:val="28"/>
          <w:szCs w:val="28"/>
          <w:lang w:val="en-US"/>
        </w:rPr>
        <w:t>S.</w:t>
      </w:r>
      <w:r w:rsidRPr="00C75F2D">
        <w:rPr>
          <w:sz w:val="28"/>
          <w:szCs w:val="28"/>
          <w:lang w:val="en-US"/>
        </w:rPr>
        <w:t xml:space="preserve"> </w:t>
      </w:r>
      <w:r w:rsidRPr="00D5438D">
        <w:rPr>
          <w:sz w:val="28"/>
          <w:szCs w:val="28"/>
          <w:lang w:val="en-US"/>
        </w:rPr>
        <w:t xml:space="preserve">Nutrition in chronic pancreatitis. </w:t>
      </w:r>
      <w:proofErr w:type="spellStart"/>
      <w:r w:rsidRPr="00C75F2D">
        <w:rPr>
          <w:i/>
          <w:sz w:val="28"/>
          <w:szCs w:val="28"/>
        </w:rPr>
        <w:t>World</w:t>
      </w:r>
      <w:proofErr w:type="spellEnd"/>
      <w:r w:rsidRPr="00C75F2D">
        <w:rPr>
          <w:i/>
          <w:sz w:val="28"/>
          <w:szCs w:val="28"/>
        </w:rPr>
        <w:t xml:space="preserve"> J. </w:t>
      </w:r>
      <w:proofErr w:type="spellStart"/>
      <w:r w:rsidRPr="00C75F2D">
        <w:rPr>
          <w:i/>
          <w:sz w:val="28"/>
          <w:szCs w:val="28"/>
        </w:rPr>
        <w:t>Gastroenterol</w:t>
      </w:r>
      <w:proofErr w:type="spellEnd"/>
      <w:r w:rsidRPr="00C75F2D">
        <w:rPr>
          <w:sz w:val="28"/>
          <w:szCs w:val="28"/>
        </w:rPr>
        <w:t xml:space="preserve">. </w:t>
      </w:r>
      <w:r w:rsidRPr="00C75F2D">
        <w:rPr>
          <w:sz w:val="28"/>
          <w:szCs w:val="28"/>
          <w:lang w:val="en-US"/>
        </w:rPr>
        <w:t>2013. Vol. 19. P. 7267–7275.</w:t>
      </w:r>
      <w:bookmarkEnd w:id="22"/>
    </w:p>
    <w:p w:rsidR="001C117F" w:rsidRPr="00C75F2D" w:rsidRDefault="001C117F" w:rsidP="00AF4110">
      <w:pPr>
        <w:pStyle w:val="ac"/>
        <w:numPr>
          <w:ilvl w:val="0"/>
          <w:numId w:val="13"/>
        </w:numPr>
        <w:spacing w:after="0" w:line="360" w:lineRule="auto"/>
        <w:jc w:val="both"/>
        <w:rPr>
          <w:sz w:val="28"/>
          <w:szCs w:val="28"/>
        </w:rPr>
      </w:pPr>
      <w:bookmarkStart w:id="23" w:name="_Ref24316915"/>
      <w:proofErr w:type="spellStart"/>
      <w:r w:rsidRPr="00C75F2D">
        <w:rPr>
          <w:sz w:val="28"/>
          <w:szCs w:val="28"/>
          <w:lang w:val="en-US"/>
        </w:rPr>
        <w:lastRenderedPageBreak/>
        <w:t>Sierzega</w:t>
      </w:r>
      <w:proofErr w:type="spellEnd"/>
      <w:r w:rsidRPr="00C75F2D">
        <w:rPr>
          <w:sz w:val="28"/>
          <w:szCs w:val="28"/>
          <w:lang w:val="en-US"/>
        </w:rPr>
        <w:t xml:space="preserve"> M., </w:t>
      </w:r>
      <w:proofErr w:type="spellStart"/>
      <w:r w:rsidRPr="00C75F2D">
        <w:rPr>
          <w:sz w:val="28"/>
          <w:szCs w:val="28"/>
          <w:lang w:val="en-US"/>
        </w:rPr>
        <w:t>Niekowal</w:t>
      </w:r>
      <w:proofErr w:type="spellEnd"/>
      <w:r w:rsidRPr="00C75F2D">
        <w:rPr>
          <w:sz w:val="28"/>
          <w:szCs w:val="28"/>
          <w:lang w:val="en-US"/>
        </w:rPr>
        <w:t xml:space="preserve"> B., </w:t>
      </w:r>
      <w:proofErr w:type="spellStart"/>
      <w:r w:rsidRPr="00C75F2D">
        <w:rPr>
          <w:sz w:val="28"/>
          <w:szCs w:val="28"/>
          <w:lang w:val="en-US"/>
        </w:rPr>
        <w:t>Kulig</w:t>
      </w:r>
      <w:proofErr w:type="spellEnd"/>
      <w:r w:rsidRPr="00C75F2D">
        <w:rPr>
          <w:sz w:val="28"/>
          <w:szCs w:val="28"/>
          <w:lang w:val="en-US"/>
        </w:rPr>
        <w:t xml:space="preserve"> G., </w:t>
      </w:r>
      <w:proofErr w:type="spellStart"/>
      <w:r w:rsidRPr="00C75F2D">
        <w:rPr>
          <w:sz w:val="28"/>
          <w:szCs w:val="28"/>
          <w:lang w:val="en-US"/>
        </w:rPr>
        <w:t>Popiela</w:t>
      </w:r>
      <w:proofErr w:type="spellEnd"/>
      <w:r w:rsidRPr="00C75F2D">
        <w:rPr>
          <w:sz w:val="28"/>
          <w:szCs w:val="28"/>
          <w:lang w:val="en-US"/>
        </w:rPr>
        <w:t xml:space="preserve"> T. Nutritional status affects the rate of pancreatic fistula after distal panc</w:t>
      </w:r>
      <w:r w:rsidRPr="00D5438D">
        <w:rPr>
          <w:sz w:val="28"/>
          <w:szCs w:val="28"/>
          <w:lang w:val="en-US"/>
        </w:rPr>
        <w:t xml:space="preserve">reatectomy: a multivariate analysis of 132 patients. </w:t>
      </w:r>
      <w:r w:rsidRPr="00C75F2D">
        <w:rPr>
          <w:i/>
          <w:sz w:val="28"/>
          <w:szCs w:val="28"/>
        </w:rPr>
        <w:t xml:space="preserve">J. </w:t>
      </w:r>
      <w:proofErr w:type="spellStart"/>
      <w:r w:rsidRPr="00C75F2D">
        <w:rPr>
          <w:i/>
          <w:sz w:val="28"/>
          <w:szCs w:val="28"/>
        </w:rPr>
        <w:t>Am</w:t>
      </w:r>
      <w:proofErr w:type="spellEnd"/>
      <w:r w:rsidRPr="00C75F2D">
        <w:rPr>
          <w:i/>
          <w:sz w:val="28"/>
          <w:szCs w:val="28"/>
        </w:rPr>
        <w:t xml:space="preserve">. </w:t>
      </w:r>
      <w:proofErr w:type="spellStart"/>
      <w:r w:rsidRPr="00C75F2D">
        <w:rPr>
          <w:i/>
          <w:sz w:val="28"/>
          <w:szCs w:val="28"/>
        </w:rPr>
        <w:t>Coll</w:t>
      </w:r>
      <w:proofErr w:type="spellEnd"/>
      <w:r w:rsidRPr="00C75F2D">
        <w:rPr>
          <w:i/>
          <w:sz w:val="28"/>
          <w:szCs w:val="28"/>
        </w:rPr>
        <w:t xml:space="preserve">. </w:t>
      </w:r>
      <w:proofErr w:type="spellStart"/>
      <w:r w:rsidRPr="00C75F2D">
        <w:rPr>
          <w:i/>
          <w:sz w:val="28"/>
          <w:szCs w:val="28"/>
        </w:rPr>
        <w:t>Surg</w:t>
      </w:r>
      <w:proofErr w:type="spellEnd"/>
      <w:r w:rsidRPr="00C75F2D">
        <w:rPr>
          <w:sz w:val="28"/>
          <w:szCs w:val="28"/>
        </w:rPr>
        <w:t>. 2007</w:t>
      </w:r>
      <w:r w:rsidRPr="00C75F2D">
        <w:rPr>
          <w:sz w:val="28"/>
          <w:szCs w:val="28"/>
          <w:lang w:val="en-US"/>
        </w:rPr>
        <w:t>. Vol</w:t>
      </w:r>
      <w:r w:rsidRPr="00C75F2D">
        <w:rPr>
          <w:sz w:val="28"/>
          <w:szCs w:val="28"/>
        </w:rPr>
        <w:t xml:space="preserve">. 205. </w:t>
      </w:r>
      <w:r w:rsidRPr="00C75F2D">
        <w:rPr>
          <w:sz w:val="28"/>
          <w:szCs w:val="28"/>
          <w:lang w:val="en-US"/>
        </w:rPr>
        <w:t>P</w:t>
      </w:r>
      <w:r w:rsidRPr="00C75F2D">
        <w:rPr>
          <w:sz w:val="28"/>
          <w:szCs w:val="28"/>
        </w:rPr>
        <w:t>. 52–59.</w:t>
      </w:r>
      <w:bookmarkEnd w:id="23"/>
    </w:p>
    <w:p w:rsidR="001C117F" w:rsidRPr="00C75F2D" w:rsidRDefault="001C117F" w:rsidP="00AF4110">
      <w:pPr>
        <w:pStyle w:val="ac"/>
        <w:numPr>
          <w:ilvl w:val="0"/>
          <w:numId w:val="13"/>
        </w:numPr>
        <w:spacing w:after="0" w:line="360" w:lineRule="auto"/>
        <w:jc w:val="both"/>
        <w:rPr>
          <w:sz w:val="28"/>
          <w:szCs w:val="28"/>
          <w:lang w:val="en-US"/>
        </w:rPr>
      </w:pPr>
      <w:bookmarkStart w:id="24" w:name="_Ref24316799"/>
      <w:proofErr w:type="spellStart"/>
      <w:r w:rsidRPr="00C75F2D">
        <w:rPr>
          <w:sz w:val="28"/>
          <w:szCs w:val="28"/>
          <w:lang w:val="en-US"/>
        </w:rPr>
        <w:t>Sikkens</w:t>
      </w:r>
      <w:proofErr w:type="spellEnd"/>
      <w:r w:rsidRPr="00C75F2D">
        <w:rPr>
          <w:sz w:val="28"/>
          <w:szCs w:val="28"/>
          <w:lang w:val="en-US"/>
        </w:rPr>
        <w:t xml:space="preserve"> E. C., </w:t>
      </w:r>
      <w:proofErr w:type="spellStart"/>
      <w:r w:rsidRPr="00C75F2D">
        <w:rPr>
          <w:sz w:val="28"/>
          <w:szCs w:val="28"/>
          <w:lang w:val="en-US"/>
        </w:rPr>
        <w:t>Cahen</w:t>
      </w:r>
      <w:proofErr w:type="spellEnd"/>
      <w:r w:rsidRPr="00C75F2D">
        <w:rPr>
          <w:sz w:val="28"/>
          <w:szCs w:val="28"/>
          <w:lang w:val="en-US"/>
        </w:rPr>
        <w:t xml:space="preserve"> D. L., van </w:t>
      </w:r>
      <w:proofErr w:type="spellStart"/>
      <w:r w:rsidRPr="00C75F2D">
        <w:rPr>
          <w:sz w:val="28"/>
          <w:szCs w:val="28"/>
          <w:lang w:val="en-US"/>
        </w:rPr>
        <w:t>Eijck</w:t>
      </w:r>
      <w:proofErr w:type="spellEnd"/>
      <w:r w:rsidRPr="00C75F2D">
        <w:rPr>
          <w:sz w:val="28"/>
          <w:szCs w:val="28"/>
          <w:lang w:val="en-US"/>
        </w:rPr>
        <w:t xml:space="preserve"> C. Patients with exocrine insufficiency due to chronic pancreatitis are undertreated: a Dutch national survey. </w:t>
      </w:r>
      <w:proofErr w:type="spellStart"/>
      <w:r w:rsidRPr="00C75F2D">
        <w:rPr>
          <w:i/>
          <w:sz w:val="28"/>
          <w:szCs w:val="28"/>
        </w:rPr>
        <w:t>Pancreatology</w:t>
      </w:r>
      <w:proofErr w:type="spellEnd"/>
      <w:r w:rsidRPr="00C75F2D">
        <w:rPr>
          <w:sz w:val="28"/>
          <w:szCs w:val="28"/>
        </w:rPr>
        <w:t xml:space="preserve">. </w:t>
      </w:r>
      <w:r w:rsidRPr="00C75F2D">
        <w:rPr>
          <w:sz w:val="28"/>
          <w:szCs w:val="28"/>
          <w:lang w:val="en-US"/>
        </w:rPr>
        <w:t>2012. Vol. 12. P. 71–73.</w:t>
      </w:r>
      <w:bookmarkEnd w:id="24"/>
    </w:p>
    <w:p w:rsidR="001C117F" w:rsidRPr="00C75F2D" w:rsidRDefault="001C117F" w:rsidP="00AF4110">
      <w:pPr>
        <w:pStyle w:val="ac"/>
        <w:numPr>
          <w:ilvl w:val="0"/>
          <w:numId w:val="13"/>
        </w:numPr>
        <w:spacing w:after="0" w:line="360" w:lineRule="auto"/>
        <w:jc w:val="both"/>
        <w:rPr>
          <w:sz w:val="28"/>
          <w:szCs w:val="28"/>
        </w:rPr>
      </w:pPr>
      <w:bookmarkStart w:id="25" w:name="_Ref24316814"/>
      <w:proofErr w:type="spellStart"/>
      <w:r w:rsidRPr="00C75F2D">
        <w:rPr>
          <w:sz w:val="28"/>
          <w:szCs w:val="28"/>
          <w:lang w:val="en-US"/>
        </w:rPr>
        <w:t>Skipworth</w:t>
      </w:r>
      <w:proofErr w:type="spellEnd"/>
      <w:r w:rsidRPr="00C75F2D">
        <w:rPr>
          <w:sz w:val="28"/>
          <w:szCs w:val="28"/>
          <w:lang w:val="en-US"/>
        </w:rPr>
        <w:t xml:space="preserve"> J. R., </w:t>
      </w:r>
      <w:proofErr w:type="spellStart"/>
      <w:r w:rsidRPr="00C75F2D">
        <w:rPr>
          <w:sz w:val="28"/>
          <w:szCs w:val="28"/>
          <w:lang w:val="en-US"/>
        </w:rPr>
        <w:t>Raptis</w:t>
      </w:r>
      <w:proofErr w:type="spellEnd"/>
      <w:r w:rsidRPr="00C75F2D">
        <w:rPr>
          <w:sz w:val="28"/>
          <w:szCs w:val="28"/>
          <w:lang w:val="en-US"/>
        </w:rPr>
        <w:t xml:space="preserve"> D. A., </w:t>
      </w:r>
      <w:proofErr w:type="spellStart"/>
      <w:r w:rsidRPr="00C75F2D">
        <w:rPr>
          <w:sz w:val="28"/>
          <w:szCs w:val="28"/>
          <w:lang w:val="en-US"/>
        </w:rPr>
        <w:t>Wijesuriya</w:t>
      </w:r>
      <w:proofErr w:type="spellEnd"/>
      <w:r w:rsidRPr="00C75F2D">
        <w:rPr>
          <w:sz w:val="28"/>
          <w:szCs w:val="28"/>
          <w:lang w:val="en-US"/>
        </w:rPr>
        <w:t xml:space="preserve"> S. The use of </w:t>
      </w:r>
      <w:proofErr w:type="spellStart"/>
      <w:r w:rsidRPr="00C75F2D">
        <w:rPr>
          <w:sz w:val="28"/>
          <w:szCs w:val="28"/>
          <w:lang w:val="en-US"/>
        </w:rPr>
        <w:t>nasojejunal</w:t>
      </w:r>
      <w:proofErr w:type="spellEnd"/>
      <w:r w:rsidRPr="00C75F2D">
        <w:rPr>
          <w:sz w:val="28"/>
          <w:szCs w:val="28"/>
          <w:lang w:val="en-US"/>
        </w:rPr>
        <w:t xml:space="preserve"> nutrition in patients with chronic pancreatitis. </w:t>
      </w:r>
      <w:r w:rsidRPr="00C75F2D">
        <w:rPr>
          <w:i/>
          <w:sz w:val="28"/>
          <w:szCs w:val="28"/>
        </w:rPr>
        <w:t>JOP</w:t>
      </w:r>
      <w:r w:rsidRPr="00C75F2D">
        <w:rPr>
          <w:sz w:val="28"/>
          <w:szCs w:val="28"/>
        </w:rPr>
        <w:t>. 2011</w:t>
      </w:r>
      <w:r w:rsidRPr="00C75F2D">
        <w:rPr>
          <w:sz w:val="28"/>
          <w:szCs w:val="28"/>
          <w:lang w:val="en-US"/>
        </w:rPr>
        <w:t>. Vol</w:t>
      </w:r>
      <w:r w:rsidRPr="00C75F2D">
        <w:rPr>
          <w:sz w:val="28"/>
          <w:szCs w:val="28"/>
        </w:rPr>
        <w:t xml:space="preserve">. 12, </w:t>
      </w:r>
      <w:r w:rsidRPr="00C75F2D">
        <w:rPr>
          <w:sz w:val="28"/>
          <w:szCs w:val="28"/>
          <w:lang w:val="en-US"/>
        </w:rPr>
        <w:t>No</w:t>
      </w:r>
      <w:r w:rsidRPr="00C75F2D">
        <w:rPr>
          <w:sz w:val="28"/>
          <w:szCs w:val="28"/>
        </w:rPr>
        <w:t xml:space="preserve"> 6. </w:t>
      </w:r>
      <w:r w:rsidRPr="00C75F2D">
        <w:rPr>
          <w:sz w:val="28"/>
          <w:szCs w:val="28"/>
          <w:lang w:val="en-US"/>
        </w:rPr>
        <w:t>P</w:t>
      </w:r>
      <w:r w:rsidRPr="00C75F2D">
        <w:rPr>
          <w:sz w:val="28"/>
          <w:szCs w:val="28"/>
        </w:rPr>
        <w:t>. 574–580.</w:t>
      </w:r>
      <w:bookmarkEnd w:id="25"/>
    </w:p>
    <w:p w:rsidR="001C117F" w:rsidRPr="00C75F2D" w:rsidRDefault="001C117F" w:rsidP="001C117F">
      <w:pPr>
        <w:pStyle w:val="ac"/>
        <w:spacing w:after="0" w:line="360" w:lineRule="auto"/>
        <w:jc w:val="both"/>
        <w:rPr>
          <w:sz w:val="28"/>
          <w:szCs w:val="28"/>
        </w:rPr>
      </w:pPr>
    </w:p>
    <w:p w:rsidR="00C942BD" w:rsidRPr="00C75F2D" w:rsidRDefault="00C942BD">
      <w:pPr>
        <w:rPr>
          <w:sz w:val="28"/>
          <w:szCs w:val="28"/>
        </w:rPr>
      </w:pPr>
      <w:r w:rsidRPr="00C75F2D">
        <w:rPr>
          <w:sz w:val="28"/>
          <w:szCs w:val="28"/>
        </w:rPr>
        <w:br w:type="page"/>
      </w:r>
    </w:p>
    <w:p w:rsidR="00C942BD" w:rsidRPr="00C75F2D" w:rsidRDefault="00C942BD" w:rsidP="00C942BD">
      <w:pPr>
        <w:spacing w:after="0" w:line="360" w:lineRule="auto"/>
        <w:jc w:val="both"/>
        <w:rPr>
          <w:sz w:val="28"/>
          <w:szCs w:val="28"/>
        </w:rPr>
      </w:pPr>
      <w:r w:rsidRPr="00C75F2D">
        <w:rPr>
          <w:sz w:val="28"/>
          <w:szCs w:val="28"/>
        </w:rPr>
        <w:lastRenderedPageBreak/>
        <w:t>УДК 616.37-002-06:616.39</w:t>
      </w:r>
    </w:p>
    <w:p w:rsidR="00C942BD" w:rsidRPr="00C75F2D" w:rsidRDefault="00C942BD" w:rsidP="00C942BD">
      <w:pPr>
        <w:spacing w:after="0" w:line="360" w:lineRule="auto"/>
        <w:jc w:val="center"/>
        <w:rPr>
          <w:b/>
          <w:sz w:val="28"/>
          <w:szCs w:val="28"/>
        </w:rPr>
      </w:pPr>
      <w:r w:rsidRPr="00C75F2D">
        <w:rPr>
          <w:b/>
          <w:sz w:val="28"/>
          <w:szCs w:val="28"/>
        </w:rPr>
        <w:t xml:space="preserve">Сочетание ожирения и </w:t>
      </w:r>
      <w:proofErr w:type="spellStart"/>
      <w:r w:rsidRPr="00C75F2D">
        <w:rPr>
          <w:b/>
          <w:sz w:val="28"/>
          <w:szCs w:val="28"/>
        </w:rPr>
        <w:t>трофологической</w:t>
      </w:r>
      <w:proofErr w:type="spellEnd"/>
      <w:r w:rsidRPr="00C75F2D">
        <w:rPr>
          <w:b/>
          <w:sz w:val="28"/>
          <w:szCs w:val="28"/>
        </w:rPr>
        <w:t xml:space="preserve"> недостаточности у пациента с хроническим алкогольным панкреатитом (клинический случай)</w:t>
      </w:r>
    </w:p>
    <w:p w:rsidR="00C942BD" w:rsidRPr="00C75F2D" w:rsidRDefault="00C942BD" w:rsidP="00C942BD">
      <w:pPr>
        <w:spacing w:after="0" w:line="360" w:lineRule="auto"/>
        <w:jc w:val="center"/>
        <w:rPr>
          <w:sz w:val="28"/>
          <w:szCs w:val="28"/>
        </w:rPr>
      </w:pPr>
      <w:r w:rsidRPr="00C75F2D">
        <w:rPr>
          <w:sz w:val="28"/>
          <w:szCs w:val="28"/>
        </w:rPr>
        <w:t>Н. С. Гаврилина</w:t>
      </w:r>
      <w:r w:rsidRPr="00C75F2D">
        <w:rPr>
          <w:sz w:val="28"/>
          <w:szCs w:val="28"/>
          <w:vertAlign w:val="superscript"/>
        </w:rPr>
        <w:t>1,2</w:t>
      </w:r>
      <w:r w:rsidRPr="00C75F2D">
        <w:rPr>
          <w:sz w:val="28"/>
          <w:szCs w:val="28"/>
        </w:rPr>
        <w:t>, Л. Ю. Ильченко</w:t>
      </w:r>
      <w:r w:rsidRPr="00C75F2D">
        <w:rPr>
          <w:sz w:val="28"/>
          <w:szCs w:val="28"/>
          <w:vertAlign w:val="superscript"/>
        </w:rPr>
        <w:t>2</w:t>
      </w:r>
      <w:r w:rsidRPr="00C75F2D">
        <w:rPr>
          <w:sz w:val="28"/>
          <w:szCs w:val="28"/>
        </w:rPr>
        <w:t>, И. Г. Федоров</w:t>
      </w:r>
      <w:r w:rsidRPr="00C75F2D">
        <w:rPr>
          <w:sz w:val="28"/>
          <w:szCs w:val="28"/>
          <w:vertAlign w:val="superscript"/>
        </w:rPr>
        <w:t>1,2</w:t>
      </w:r>
      <w:r w:rsidRPr="00C75F2D">
        <w:rPr>
          <w:sz w:val="28"/>
          <w:szCs w:val="28"/>
        </w:rPr>
        <w:t>, И. Г. Никитин</w:t>
      </w:r>
      <w:r w:rsidRPr="00C75F2D">
        <w:rPr>
          <w:sz w:val="28"/>
          <w:szCs w:val="28"/>
          <w:vertAlign w:val="superscript"/>
        </w:rPr>
        <w:t>2,3</w:t>
      </w:r>
    </w:p>
    <w:p w:rsidR="00C942BD" w:rsidRPr="00C75F2D" w:rsidRDefault="00C942BD" w:rsidP="00C942BD">
      <w:pPr>
        <w:spacing w:after="0" w:line="360" w:lineRule="auto"/>
        <w:jc w:val="center"/>
        <w:rPr>
          <w:sz w:val="28"/>
          <w:szCs w:val="28"/>
        </w:rPr>
      </w:pPr>
      <w:r w:rsidRPr="00C75F2D">
        <w:rPr>
          <w:sz w:val="28"/>
          <w:szCs w:val="28"/>
          <w:vertAlign w:val="superscript"/>
        </w:rPr>
        <w:t>1</w:t>
      </w:r>
      <w:r w:rsidRPr="00C75F2D">
        <w:rPr>
          <w:sz w:val="28"/>
          <w:szCs w:val="28"/>
        </w:rPr>
        <w:t xml:space="preserve">Городская клиническая больница им. В. М. </w:t>
      </w:r>
      <w:proofErr w:type="spellStart"/>
      <w:r w:rsidRPr="00C75F2D">
        <w:rPr>
          <w:sz w:val="28"/>
          <w:szCs w:val="28"/>
        </w:rPr>
        <w:t>Буянова</w:t>
      </w:r>
      <w:proofErr w:type="spellEnd"/>
      <w:r w:rsidRPr="00C75F2D">
        <w:rPr>
          <w:sz w:val="28"/>
          <w:szCs w:val="28"/>
        </w:rPr>
        <w:t>,</w:t>
      </w:r>
    </w:p>
    <w:p w:rsidR="00C942BD" w:rsidRPr="00C75F2D" w:rsidRDefault="00C942BD" w:rsidP="00C942BD">
      <w:pPr>
        <w:spacing w:after="0" w:line="360" w:lineRule="auto"/>
        <w:jc w:val="center"/>
        <w:rPr>
          <w:sz w:val="28"/>
          <w:szCs w:val="28"/>
        </w:rPr>
      </w:pPr>
      <w:r w:rsidRPr="00C75F2D">
        <w:rPr>
          <w:sz w:val="28"/>
          <w:szCs w:val="28"/>
          <w:vertAlign w:val="superscript"/>
        </w:rPr>
        <w:t>2</w:t>
      </w:r>
      <w:r w:rsidRPr="00C75F2D">
        <w:rPr>
          <w:sz w:val="28"/>
          <w:szCs w:val="28"/>
        </w:rPr>
        <w:t>Российский национальный исследовательский медицинский университет им. Н. И. Пирогова,</w:t>
      </w:r>
    </w:p>
    <w:p w:rsidR="00C942BD" w:rsidRPr="00C75F2D" w:rsidRDefault="00C942BD" w:rsidP="00C942BD">
      <w:pPr>
        <w:spacing w:after="0" w:line="360" w:lineRule="auto"/>
        <w:jc w:val="center"/>
        <w:rPr>
          <w:sz w:val="28"/>
          <w:szCs w:val="28"/>
        </w:rPr>
      </w:pPr>
      <w:r w:rsidRPr="00C75F2D">
        <w:rPr>
          <w:sz w:val="28"/>
          <w:szCs w:val="28"/>
          <w:vertAlign w:val="superscript"/>
        </w:rPr>
        <w:t>3</w:t>
      </w:r>
      <w:r w:rsidRPr="00C75F2D">
        <w:rPr>
          <w:sz w:val="28"/>
          <w:szCs w:val="28"/>
        </w:rPr>
        <w:t>Лечебно-реабилитационный центр,</w:t>
      </w:r>
    </w:p>
    <w:p w:rsidR="00C942BD" w:rsidRPr="00C75F2D" w:rsidRDefault="00C942BD" w:rsidP="00C942BD">
      <w:pPr>
        <w:spacing w:after="0" w:line="360" w:lineRule="auto"/>
        <w:jc w:val="center"/>
        <w:rPr>
          <w:sz w:val="28"/>
          <w:szCs w:val="28"/>
        </w:rPr>
      </w:pPr>
      <w:r w:rsidRPr="00C75F2D">
        <w:rPr>
          <w:sz w:val="28"/>
          <w:szCs w:val="28"/>
        </w:rPr>
        <w:t>Москва, Россия</w:t>
      </w:r>
    </w:p>
    <w:p w:rsidR="00C942BD" w:rsidRPr="00C75F2D" w:rsidRDefault="00C942BD" w:rsidP="00C942BD">
      <w:pPr>
        <w:spacing w:after="0" w:line="360" w:lineRule="auto"/>
        <w:jc w:val="both"/>
        <w:rPr>
          <w:sz w:val="28"/>
          <w:szCs w:val="28"/>
        </w:rPr>
      </w:pPr>
    </w:p>
    <w:p w:rsidR="00C942BD" w:rsidRPr="00C75F2D" w:rsidRDefault="00C942BD" w:rsidP="00C942BD">
      <w:pPr>
        <w:spacing w:after="0" w:line="360" w:lineRule="auto"/>
        <w:jc w:val="center"/>
        <w:rPr>
          <w:sz w:val="28"/>
          <w:szCs w:val="28"/>
        </w:rPr>
      </w:pPr>
      <w:r w:rsidRPr="00C75F2D">
        <w:rPr>
          <w:sz w:val="28"/>
          <w:szCs w:val="28"/>
        </w:rPr>
        <w:t xml:space="preserve">Статья опубликована в журнале </w:t>
      </w:r>
      <w:proofErr w:type="spellStart"/>
      <w:r w:rsidRPr="00C75F2D">
        <w:rPr>
          <w:i/>
          <w:sz w:val="28"/>
          <w:szCs w:val="28"/>
        </w:rPr>
        <w:t>Архивъ</w:t>
      </w:r>
      <w:proofErr w:type="spellEnd"/>
      <w:r w:rsidRPr="00C75F2D">
        <w:rPr>
          <w:i/>
          <w:sz w:val="28"/>
          <w:szCs w:val="28"/>
        </w:rPr>
        <w:t xml:space="preserve"> внутренней медицины</w:t>
      </w:r>
      <w:r w:rsidRPr="00C75F2D">
        <w:rPr>
          <w:sz w:val="28"/>
          <w:szCs w:val="28"/>
        </w:rPr>
        <w:t>. 2018. № 8 (6). С. 475–479.</w:t>
      </w:r>
    </w:p>
    <w:p w:rsidR="00C942BD" w:rsidRPr="00C75F2D" w:rsidRDefault="00C942BD" w:rsidP="00C942BD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C942BD" w:rsidRPr="00C75F2D" w:rsidRDefault="00C942BD" w:rsidP="00C942BD">
      <w:pPr>
        <w:spacing w:after="0" w:line="360" w:lineRule="auto"/>
        <w:ind w:firstLine="709"/>
        <w:jc w:val="both"/>
        <w:rPr>
          <w:sz w:val="28"/>
          <w:szCs w:val="28"/>
        </w:rPr>
      </w:pPr>
      <w:r w:rsidRPr="00C75F2D">
        <w:rPr>
          <w:b/>
          <w:sz w:val="28"/>
          <w:szCs w:val="28"/>
        </w:rPr>
        <w:t>Ключевые слова:</w:t>
      </w:r>
      <w:r w:rsidRPr="00C75F2D">
        <w:rPr>
          <w:sz w:val="28"/>
          <w:szCs w:val="28"/>
        </w:rPr>
        <w:t xml:space="preserve"> хронический панкреатит, ожирение, </w:t>
      </w:r>
      <w:proofErr w:type="spellStart"/>
      <w:r w:rsidRPr="00C75F2D">
        <w:rPr>
          <w:sz w:val="28"/>
          <w:szCs w:val="28"/>
        </w:rPr>
        <w:t>трофологическая</w:t>
      </w:r>
      <w:proofErr w:type="spellEnd"/>
      <w:r w:rsidRPr="00C75F2D">
        <w:rPr>
          <w:sz w:val="28"/>
          <w:szCs w:val="28"/>
        </w:rPr>
        <w:t xml:space="preserve"> недостаточность, индекс массы тела, лимфоциты, альбумин</w:t>
      </w:r>
    </w:p>
    <w:p w:rsidR="00C942BD" w:rsidRPr="00C75F2D" w:rsidRDefault="00C942BD" w:rsidP="00C942BD">
      <w:pPr>
        <w:spacing w:after="0" w:line="360" w:lineRule="auto"/>
        <w:ind w:firstLine="709"/>
        <w:jc w:val="both"/>
        <w:rPr>
          <w:sz w:val="28"/>
          <w:szCs w:val="28"/>
        </w:rPr>
      </w:pPr>
      <w:r w:rsidRPr="00C75F2D">
        <w:rPr>
          <w:sz w:val="28"/>
          <w:szCs w:val="28"/>
        </w:rPr>
        <w:t xml:space="preserve">Нарушение пищевого поведения с двумя его крайними проявлениями </w:t>
      </w:r>
      <w:r w:rsidR="00D1232F" w:rsidRPr="00C75F2D">
        <w:rPr>
          <w:sz w:val="28"/>
          <w:szCs w:val="28"/>
        </w:rPr>
        <w:t xml:space="preserve">— </w:t>
      </w:r>
      <w:r w:rsidRPr="00C75F2D">
        <w:rPr>
          <w:sz w:val="28"/>
          <w:szCs w:val="28"/>
        </w:rPr>
        <w:t xml:space="preserve">ожирением и </w:t>
      </w:r>
      <w:proofErr w:type="spellStart"/>
      <w:r w:rsidRPr="00C75F2D">
        <w:rPr>
          <w:sz w:val="28"/>
          <w:szCs w:val="28"/>
        </w:rPr>
        <w:t>трофологической</w:t>
      </w:r>
      <w:proofErr w:type="spellEnd"/>
      <w:r w:rsidRPr="00C75F2D">
        <w:rPr>
          <w:sz w:val="28"/>
          <w:szCs w:val="28"/>
        </w:rPr>
        <w:t xml:space="preserve"> недостаточностью (ТН) </w:t>
      </w:r>
      <w:r w:rsidR="00D1232F" w:rsidRPr="00C75F2D">
        <w:rPr>
          <w:sz w:val="28"/>
          <w:szCs w:val="28"/>
        </w:rPr>
        <w:t>—</w:t>
      </w:r>
      <w:r w:rsidRPr="00C75F2D">
        <w:rPr>
          <w:sz w:val="28"/>
          <w:szCs w:val="28"/>
        </w:rPr>
        <w:t xml:space="preserve"> является одной из распространенных проблем современного общества. ТН часто диагностируют у больных хроническим панкреатитом</w:t>
      </w:r>
      <w:r w:rsidR="00D1232F" w:rsidRPr="00C75F2D">
        <w:rPr>
          <w:sz w:val="28"/>
          <w:szCs w:val="28"/>
        </w:rPr>
        <w:t xml:space="preserve"> (ХП)</w:t>
      </w:r>
      <w:r w:rsidRPr="00C75F2D">
        <w:rPr>
          <w:sz w:val="28"/>
          <w:szCs w:val="28"/>
        </w:rPr>
        <w:t xml:space="preserve">, ее возникновение обусловлено ограничением количества принимаемой пищи, </w:t>
      </w:r>
      <w:proofErr w:type="spellStart"/>
      <w:r w:rsidRPr="00C75F2D">
        <w:rPr>
          <w:sz w:val="28"/>
          <w:szCs w:val="28"/>
        </w:rPr>
        <w:t>мальабсорбцией</w:t>
      </w:r>
      <w:proofErr w:type="spellEnd"/>
      <w:r w:rsidRPr="00C75F2D">
        <w:rPr>
          <w:sz w:val="28"/>
          <w:szCs w:val="28"/>
        </w:rPr>
        <w:t xml:space="preserve">, сахарным диабетом, хроническим алкоголизмом. Степень тяжести ТН коррелирует с выраженностью </w:t>
      </w:r>
      <w:proofErr w:type="spellStart"/>
      <w:r w:rsidRPr="00C75F2D">
        <w:rPr>
          <w:sz w:val="28"/>
          <w:szCs w:val="28"/>
        </w:rPr>
        <w:t>мальабсорбции</w:t>
      </w:r>
      <w:proofErr w:type="spellEnd"/>
      <w:r w:rsidRPr="00C75F2D">
        <w:rPr>
          <w:sz w:val="28"/>
          <w:szCs w:val="28"/>
        </w:rPr>
        <w:t xml:space="preserve"> и степенью истощения питательных веществ. Однако верификация ТН у больных </w:t>
      </w:r>
      <w:r w:rsidR="00D1232F" w:rsidRPr="00C75F2D">
        <w:rPr>
          <w:sz w:val="28"/>
          <w:szCs w:val="28"/>
        </w:rPr>
        <w:t>ХП</w:t>
      </w:r>
      <w:r w:rsidRPr="00C75F2D">
        <w:rPr>
          <w:sz w:val="28"/>
          <w:szCs w:val="28"/>
        </w:rPr>
        <w:t xml:space="preserve"> затруднена в связи с отсутствием единых диагностических рекомендаций. Как правило, используют антропометрический метод, лабораторную (определяют уровень лимфоцитов, альбумина) и инструментальную (компьютерную томографию, рентгенологическую </w:t>
      </w:r>
      <w:proofErr w:type="spellStart"/>
      <w:r w:rsidRPr="00C75F2D">
        <w:rPr>
          <w:sz w:val="28"/>
          <w:szCs w:val="28"/>
        </w:rPr>
        <w:t>абсорбциометрию</w:t>
      </w:r>
      <w:proofErr w:type="spellEnd"/>
      <w:r w:rsidRPr="00C75F2D">
        <w:rPr>
          <w:sz w:val="28"/>
          <w:szCs w:val="28"/>
        </w:rPr>
        <w:t>, магниторезонансную томографию) диагностику.</w:t>
      </w:r>
    </w:p>
    <w:p w:rsidR="00C942BD" w:rsidRDefault="00C942BD" w:rsidP="00C942BD">
      <w:pPr>
        <w:spacing w:after="0" w:line="360" w:lineRule="auto"/>
        <w:ind w:firstLine="709"/>
        <w:jc w:val="both"/>
        <w:rPr>
          <w:sz w:val="28"/>
          <w:szCs w:val="28"/>
        </w:rPr>
      </w:pPr>
      <w:r w:rsidRPr="00C75F2D">
        <w:rPr>
          <w:sz w:val="28"/>
          <w:szCs w:val="28"/>
        </w:rPr>
        <w:t xml:space="preserve">В статье представлен случай сочетания у больного </w:t>
      </w:r>
      <w:r w:rsidR="00D1232F" w:rsidRPr="00C75F2D">
        <w:rPr>
          <w:sz w:val="28"/>
          <w:szCs w:val="28"/>
        </w:rPr>
        <w:t>ХП</w:t>
      </w:r>
      <w:r w:rsidRPr="00C75F2D">
        <w:rPr>
          <w:sz w:val="28"/>
          <w:szCs w:val="28"/>
        </w:rPr>
        <w:t xml:space="preserve"> двух противоположных состояний — ожирения и ТН. Пациент госпитализирован в клинику с обострением </w:t>
      </w:r>
      <w:r w:rsidR="00D1232F" w:rsidRPr="00C75F2D">
        <w:rPr>
          <w:sz w:val="28"/>
          <w:szCs w:val="28"/>
        </w:rPr>
        <w:t>ХП</w:t>
      </w:r>
      <w:r w:rsidRPr="00C75F2D">
        <w:rPr>
          <w:sz w:val="28"/>
          <w:szCs w:val="28"/>
        </w:rPr>
        <w:t xml:space="preserve"> на фоне злоупотребления алкоголем. При </w:t>
      </w:r>
      <w:r w:rsidRPr="00C75F2D">
        <w:rPr>
          <w:sz w:val="28"/>
          <w:szCs w:val="28"/>
        </w:rPr>
        <w:lastRenderedPageBreak/>
        <w:t>обследовании выявлен</w:t>
      </w:r>
      <w:r w:rsidR="001C117F" w:rsidRPr="00C75F2D">
        <w:rPr>
          <w:sz w:val="28"/>
          <w:szCs w:val="28"/>
        </w:rPr>
        <w:t>ы</w:t>
      </w:r>
      <w:r w:rsidRPr="00C75F2D">
        <w:rPr>
          <w:sz w:val="28"/>
          <w:szCs w:val="28"/>
        </w:rPr>
        <w:t xml:space="preserve"> </w:t>
      </w:r>
      <w:r w:rsidR="0099718D" w:rsidRPr="00C75F2D">
        <w:rPr>
          <w:sz w:val="28"/>
          <w:szCs w:val="28"/>
        </w:rPr>
        <w:t>экзокринная недостаточность поджелудочной железы</w:t>
      </w:r>
      <w:r w:rsidR="001C117F" w:rsidRPr="00C75F2D">
        <w:rPr>
          <w:sz w:val="28"/>
          <w:szCs w:val="28"/>
        </w:rPr>
        <w:t xml:space="preserve"> </w:t>
      </w:r>
      <w:r w:rsidRPr="00C75F2D">
        <w:rPr>
          <w:sz w:val="28"/>
          <w:szCs w:val="28"/>
        </w:rPr>
        <w:t xml:space="preserve">и ТН легкой степени. Пациенту назначена </w:t>
      </w:r>
      <w:proofErr w:type="spellStart"/>
      <w:r w:rsidRPr="00C75F2D">
        <w:rPr>
          <w:sz w:val="28"/>
          <w:szCs w:val="28"/>
        </w:rPr>
        <w:t>ферментозаместительная</w:t>
      </w:r>
      <w:proofErr w:type="spellEnd"/>
      <w:r w:rsidRPr="00C75F2D">
        <w:rPr>
          <w:sz w:val="28"/>
          <w:szCs w:val="28"/>
        </w:rPr>
        <w:t xml:space="preserve"> терапия и дополнительное </w:t>
      </w:r>
      <w:proofErr w:type="spellStart"/>
      <w:r w:rsidRPr="00C75F2D">
        <w:rPr>
          <w:sz w:val="28"/>
          <w:szCs w:val="28"/>
        </w:rPr>
        <w:t>сипинговое</w:t>
      </w:r>
      <w:proofErr w:type="spellEnd"/>
      <w:r w:rsidRPr="00C75F2D">
        <w:rPr>
          <w:sz w:val="28"/>
          <w:szCs w:val="28"/>
        </w:rPr>
        <w:t xml:space="preserve"> питание с положительным эффектом. Через 10 недель лечения </w:t>
      </w:r>
      <w:r w:rsidR="001C117F" w:rsidRPr="00C75F2D">
        <w:rPr>
          <w:sz w:val="28"/>
          <w:szCs w:val="28"/>
        </w:rPr>
        <w:t>ЭНПЖ</w:t>
      </w:r>
      <w:r w:rsidRPr="00C75F2D">
        <w:rPr>
          <w:sz w:val="28"/>
          <w:szCs w:val="28"/>
        </w:rPr>
        <w:t xml:space="preserve"> регрессировала, однако ТН сохранялась, что требовало более длительного курса лечения. В статье отражена актуальность проблемы, основные трудности диагностики. Для оценки </w:t>
      </w:r>
      <w:proofErr w:type="spellStart"/>
      <w:r w:rsidRPr="00C75F2D">
        <w:rPr>
          <w:sz w:val="28"/>
          <w:szCs w:val="28"/>
        </w:rPr>
        <w:t>трофологического</w:t>
      </w:r>
      <w:proofErr w:type="spellEnd"/>
      <w:r w:rsidRPr="00C75F2D">
        <w:rPr>
          <w:sz w:val="28"/>
          <w:szCs w:val="28"/>
        </w:rPr>
        <w:t xml:space="preserve"> статуса пациентов рекомендуется оценивать антропометрические показатели, рассчитывать индекс массы тела, определять содержание лимфоцитов, общего белка, альбумина. Использование лишь индекса массы тела приводит к неверной оценке </w:t>
      </w:r>
      <w:proofErr w:type="spellStart"/>
      <w:r w:rsidRPr="00C75F2D">
        <w:rPr>
          <w:sz w:val="28"/>
          <w:szCs w:val="28"/>
        </w:rPr>
        <w:t>трофологического</w:t>
      </w:r>
      <w:proofErr w:type="spellEnd"/>
      <w:r w:rsidRPr="00C75F2D">
        <w:rPr>
          <w:sz w:val="28"/>
          <w:szCs w:val="28"/>
        </w:rPr>
        <w:t xml:space="preserve"> статуса у пациентов с </w:t>
      </w:r>
      <w:r w:rsidR="00D1232F" w:rsidRPr="00C75F2D">
        <w:rPr>
          <w:sz w:val="28"/>
          <w:szCs w:val="28"/>
        </w:rPr>
        <w:t>ХП</w:t>
      </w:r>
      <w:r w:rsidRPr="00C75F2D">
        <w:rPr>
          <w:sz w:val="28"/>
          <w:szCs w:val="28"/>
        </w:rPr>
        <w:t>.</w:t>
      </w:r>
    </w:p>
    <w:p w:rsidR="00C75F2D" w:rsidRDefault="00C75F2D" w:rsidP="00C942BD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C75F2D" w:rsidRPr="0099718D" w:rsidRDefault="00C75F2D" w:rsidP="00C75F2D">
      <w:pPr>
        <w:spacing w:after="0" w:line="360" w:lineRule="auto"/>
        <w:jc w:val="both"/>
        <w:rPr>
          <w:sz w:val="28"/>
          <w:szCs w:val="28"/>
          <w:lang w:val="uk-UA"/>
        </w:rPr>
      </w:pPr>
      <w:r w:rsidRPr="0099718D">
        <w:rPr>
          <w:sz w:val="28"/>
          <w:szCs w:val="28"/>
          <w:lang w:val="uk-UA"/>
        </w:rPr>
        <w:t>УДК 616.37-002-06:616.39</w:t>
      </w:r>
    </w:p>
    <w:p w:rsidR="00C75F2D" w:rsidRPr="0099718D" w:rsidRDefault="0099718D" w:rsidP="00C75F2D">
      <w:pPr>
        <w:spacing w:after="0" w:line="360" w:lineRule="auto"/>
        <w:jc w:val="center"/>
        <w:rPr>
          <w:b/>
          <w:sz w:val="28"/>
          <w:szCs w:val="28"/>
          <w:lang w:val="uk-UA"/>
        </w:rPr>
      </w:pPr>
      <w:r w:rsidRPr="0099718D">
        <w:rPr>
          <w:b/>
          <w:sz w:val="28"/>
          <w:szCs w:val="28"/>
          <w:lang w:val="uk-UA"/>
        </w:rPr>
        <w:t xml:space="preserve">Поєднання ожиріння і </w:t>
      </w:r>
      <w:proofErr w:type="spellStart"/>
      <w:r w:rsidRPr="0099718D">
        <w:rPr>
          <w:b/>
          <w:sz w:val="28"/>
          <w:szCs w:val="28"/>
          <w:lang w:val="uk-UA"/>
        </w:rPr>
        <w:t>трофологічної</w:t>
      </w:r>
      <w:proofErr w:type="spellEnd"/>
      <w:r w:rsidRPr="0099718D">
        <w:rPr>
          <w:b/>
          <w:sz w:val="28"/>
          <w:szCs w:val="28"/>
          <w:lang w:val="uk-UA"/>
        </w:rPr>
        <w:t xml:space="preserve"> недостатності у пацієнта з хронічним алкогольним панкреатитом (клінічний випадок)</w:t>
      </w:r>
    </w:p>
    <w:p w:rsidR="00C75F2D" w:rsidRPr="0099718D" w:rsidRDefault="00C75F2D" w:rsidP="00C75F2D">
      <w:pPr>
        <w:spacing w:after="0" w:line="360" w:lineRule="auto"/>
        <w:jc w:val="center"/>
        <w:rPr>
          <w:sz w:val="28"/>
          <w:szCs w:val="28"/>
          <w:lang w:val="uk-UA"/>
        </w:rPr>
      </w:pPr>
      <w:r w:rsidRPr="0099718D">
        <w:rPr>
          <w:sz w:val="28"/>
          <w:szCs w:val="28"/>
          <w:lang w:val="uk-UA"/>
        </w:rPr>
        <w:t>Н. С. Гаврилина</w:t>
      </w:r>
      <w:r w:rsidRPr="0099718D">
        <w:rPr>
          <w:sz w:val="28"/>
          <w:szCs w:val="28"/>
          <w:vertAlign w:val="superscript"/>
          <w:lang w:val="uk-UA"/>
        </w:rPr>
        <w:t>1,2</w:t>
      </w:r>
      <w:r w:rsidRPr="0099718D">
        <w:rPr>
          <w:sz w:val="28"/>
          <w:szCs w:val="28"/>
          <w:lang w:val="uk-UA"/>
        </w:rPr>
        <w:t>, Л. Ю. Ильченко</w:t>
      </w:r>
      <w:r w:rsidRPr="0099718D">
        <w:rPr>
          <w:sz w:val="28"/>
          <w:szCs w:val="28"/>
          <w:vertAlign w:val="superscript"/>
          <w:lang w:val="uk-UA"/>
        </w:rPr>
        <w:t>2</w:t>
      </w:r>
      <w:r w:rsidRPr="0099718D">
        <w:rPr>
          <w:sz w:val="28"/>
          <w:szCs w:val="28"/>
          <w:lang w:val="uk-UA"/>
        </w:rPr>
        <w:t>, И. Г. Федоров</w:t>
      </w:r>
      <w:r w:rsidRPr="0099718D">
        <w:rPr>
          <w:sz w:val="28"/>
          <w:szCs w:val="28"/>
          <w:vertAlign w:val="superscript"/>
          <w:lang w:val="uk-UA"/>
        </w:rPr>
        <w:t>1,2</w:t>
      </w:r>
      <w:r w:rsidRPr="0099718D">
        <w:rPr>
          <w:sz w:val="28"/>
          <w:szCs w:val="28"/>
          <w:lang w:val="uk-UA"/>
        </w:rPr>
        <w:t>, И. Г. Никитин</w:t>
      </w:r>
      <w:r w:rsidRPr="0099718D">
        <w:rPr>
          <w:sz w:val="28"/>
          <w:szCs w:val="28"/>
          <w:vertAlign w:val="superscript"/>
          <w:lang w:val="uk-UA"/>
        </w:rPr>
        <w:t>2,3</w:t>
      </w:r>
    </w:p>
    <w:p w:rsidR="0099718D" w:rsidRPr="0099718D" w:rsidRDefault="0099718D" w:rsidP="00C75F2D">
      <w:pPr>
        <w:spacing w:after="0" w:line="360" w:lineRule="auto"/>
        <w:jc w:val="center"/>
        <w:rPr>
          <w:sz w:val="28"/>
          <w:szCs w:val="28"/>
          <w:lang w:val="uk-UA"/>
        </w:rPr>
      </w:pPr>
      <w:r w:rsidRPr="0099718D">
        <w:rPr>
          <w:sz w:val="28"/>
          <w:szCs w:val="28"/>
          <w:lang w:val="uk-UA"/>
        </w:rPr>
        <w:t>Н. С. Гавриліна</w:t>
      </w:r>
      <w:r w:rsidRPr="0099718D">
        <w:rPr>
          <w:sz w:val="28"/>
          <w:szCs w:val="28"/>
          <w:vertAlign w:val="superscript"/>
          <w:lang w:val="uk-UA"/>
        </w:rPr>
        <w:t>1,2</w:t>
      </w:r>
      <w:r w:rsidRPr="0099718D">
        <w:rPr>
          <w:sz w:val="28"/>
          <w:szCs w:val="28"/>
          <w:lang w:val="uk-UA"/>
        </w:rPr>
        <w:t>, Л. Ю. Ільченко</w:t>
      </w:r>
      <w:r w:rsidRPr="0099718D">
        <w:rPr>
          <w:sz w:val="28"/>
          <w:szCs w:val="28"/>
          <w:vertAlign w:val="superscript"/>
          <w:lang w:val="uk-UA"/>
        </w:rPr>
        <w:t>2</w:t>
      </w:r>
      <w:r w:rsidRPr="0099718D">
        <w:rPr>
          <w:sz w:val="28"/>
          <w:szCs w:val="28"/>
          <w:lang w:val="uk-UA"/>
        </w:rPr>
        <w:t>, І. Г. Федоров</w:t>
      </w:r>
      <w:r w:rsidRPr="0099718D">
        <w:rPr>
          <w:sz w:val="28"/>
          <w:szCs w:val="28"/>
          <w:vertAlign w:val="superscript"/>
          <w:lang w:val="uk-UA"/>
        </w:rPr>
        <w:t>1,2</w:t>
      </w:r>
      <w:r w:rsidRPr="0099718D">
        <w:rPr>
          <w:sz w:val="28"/>
          <w:szCs w:val="28"/>
          <w:lang w:val="uk-UA"/>
        </w:rPr>
        <w:t>, І. Г. Нікітін</w:t>
      </w:r>
      <w:r w:rsidRPr="0099718D">
        <w:rPr>
          <w:sz w:val="28"/>
          <w:szCs w:val="28"/>
          <w:vertAlign w:val="superscript"/>
          <w:lang w:val="uk-UA"/>
        </w:rPr>
        <w:t>2,3</w:t>
      </w:r>
    </w:p>
    <w:p w:rsidR="00C75F2D" w:rsidRPr="0099718D" w:rsidRDefault="00C75F2D" w:rsidP="00C75F2D">
      <w:pPr>
        <w:spacing w:after="0" w:line="360" w:lineRule="auto"/>
        <w:jc w:val="center"/>
        <w:rPr>
          <w:sz w:val="28"/>
          <w:szCs w:val="28"/>
          <w:lang w:val="uk-UA"/>
        </w:rPr>
      </w:pPr>
      <w:r w:rsidRPr="0099718D">
        <w:rPr>
          <w:sz w:val="28"/>
          <w:szCs w:val="28"/>
          <w:vertAlign w:val="superscript"/>
          <w:lang w:val="uk-UA"/>
        </w:rPr>
        <w:t>1</w:t>
      </w:r>
      <w:r w:rsidR="0099718D" w:rsidRPr="0099718D">
        <w:rPr>
          <w:sz w:val="28"/>
          <w:szCs w:val="28"/>
          <w:lang w:val="uk-UA"/>
        </w:rPr>
        <w:t xml:space="preserve">Міська клінічна лікарня ім. В. М. </w:t>
      </w:r>
      <w:proofErr w:type="spellStart"/>
      <w:r w:rsidR="0099718D" w:rsidRPr="0099718D">
        <w:rPr>
          <w:sz w:val="28"/>
          <w:szCs w:val="28"/>
          <w:lang w:val="uk-UA"/>
        </w:rPr>
        <w:t>Буянова</w:t>
      </w:r>
      <w:proofErr w:type="spellEnd"/>
      <w:r w:rsidRPr="0099718D">
        <w:rPr>
          <w:sz w:val="28"/>
          <w:szCs w:val="28"/>
          <w:lang w:val="uk-UA"/>
        </w:rPr>
        <w:t>,</w:t>
      </w:r>
    </w:p>
    <w:p w:rsidR="00C75F2D" w:rsidRPr="0099718D" w:rsidRDefault="00C75F2D" w:rsidP="00C75F2D">
      <w:pPr>
        <w:spacing w:after="0" w:line="360" w:lineRule="auto"/>
        <w:jc w:val="center"/>
        <w:rPr>
          <w:sz w:val="28"/>
          <w:szCs w:val="28"/>
          <w:lang w:val="uk-UA"/>
        </w:rPr>
      </w:pPr>
      <w:r w:rsidRPr="0099718D">
        <w:rPr>
          <w:sz w:val="28"/>
          <w:szCs w:val="28"/>
          <w:vertAlign w:val="superscript"/>
          <w:lang w:val="uk-UA"/>
        </w:rPr>
        <w:t>2</w:t>
      </w:r>
      <w:r w:rsidR="0099718D" w:rsidRPr="0099718D">
        <w:rPr>
          <w:sz w:val="28"/>
          <w:szCs w:val="28"/>
          <w:lang w:val="uk-UA"/>
        </w:rPr>
        <w:t>Російський національний дослідницький медичний університет ім. М. І. Пирогова</w:t>
      </w:r>
      <w:r w:rsidRPr="0099718D">
        <w:rPr>
          <w:sz w:val="28"/>
          <w:szCs w:val="28"/>
          <w:lang w:val="uk-UA"/>
        </w:rPr>
        <w:t>,</w:t>
      </w:r>
    </w:p>
    <w:p w:rsidR="00C75F2D" w:rsidRPr="0099718D" w:rsidRDefault="00C75F2D" w:rsidP="00C75F2D">
      <w:pPr>
        <w:spacing w:after="0" w:line="360" w:lineRule="auto"/>
        <w:jc w:val="center"/>
        <w:rPr>
          <w:sz w:val="28"/>
          <w:szCs w:val="28"/>
          <w:lang w:val="uk-UA"/>
        </w:rPr>
      </w:pPr>
      <w:r w:rsidRPr="0099718D">
        <w:rPr>
          <w:sz w:val="28"/>
          <w:szCs w:val="28"/>
          <w:vertAlign w:val="superscript"/>
          <w:lang w:val="uk-UA"/>
        </w:rPr>
        <w:t>3</w:t>
      </w:r>
      <w:r w:rsidR="0099718D" w:rsidRPr="0099718D">
        <w:rPr>
          <w:sz w:val="28"/>
          <w:szCs w:val="28"/>
          <w:lang w:val="uk-UA"/>
        </w:rPr>
        <w:t>Лікувально-реабілітаційний центр</w:t>
      </w:r>
      <w:r w:rsidRPr="0099718D">
        <w:rPr>
          <w:sz w:val="28"/>
          <w:szCs w:val="28"/>
          <w:lang w:val="uk-UA"/>
        </w:rPr>
        <w:t>,</w:t>
      </w:r>
    </w:p>
    <w:p w:rsidR="00C75F2D" w:rsidRPr="0099718D" w:rsidRDefault="00C75F2D" w:rsidP="00C75F2D">
      <w:pPr>
        <w:spacing w:after="0" w:line="360" w:lineRule="auto"/>
        <w:jc w:val="center"/>
        <w:rPr>
          <w:sz w:val="28"/>
          <w:szCs w:val="28"/>
          <w:lang w:val="uk-UA"/>
        </w:rPr>
      </w:pPr>
      <w:r w:rsidRPr="0099718D">
        <w:rPr>
          <w:sz w:val="28"/>
          <w:szCs w:val="28"/>
          <w:lang w:val="uk-UA"/>
        </w:rPr>
        <w:t xml:space="preserve">Москва, </w:t>
      </w:r>
      <w:r w:rsidR="0099718D" w:rsidRPr="0099718D">
        <w:rPr>
          <w:sz w:val="28"/>
          <w:szCs w:val="28"/>
          <w:lang w:val="uk-UA"/>
        </w:rPr>
        <w:t>Росія</w:t>
      </w:r>
    </w:p>
    <w:p w:rsidR="00C75F2D" w:rsidRPr="0099718D" w:rsidRDefault="00C75F2D" w:rsidP="00C75F2D">
      <w:pPr>
        <w:spacing w:after="0" w:line="360" w:lineRule="auto"/>
        <w:jc w:val="both"/>
        <w:rPr>
          <w:sz w:val="28"/>
          <w:szCs w:val="28"/>
          <w:lang w:val="uk-UA"/>
        </w:rPr>
      </w:pPr>
    </w:p>
    <w:p w:rsidR="00C75F2D" w:rsidRPr="0099718D" w:rsidRDefault="0099718D" w:rsidP="00C75F2D">
      <w:pPr>
        <w:spacing w:after="0" w:line="360" w:lineRule="auto"/>
        <w:jc w:val="center"/>
        <w:rPr>
          <w:sz w:val="28"/>
          <w:szCs w:val="28"/>
          <w:lang w:val="uk-UA"/>
        </w:rPr>
      </w:pPr>
      <w:r w:rsidRPr="0099718D">
        <w:rPr>
          <w:sz w:val="28"/>
          <w:szCs w:val="28"/>
          <w:lang w:val="uk-UA"/>
        </w:rPr>
        <w:t>Стаття опублікована у журналі</w:t>
      </w:r>
      <w:r w:rsidR="00C75F2D" w:rsidRPr="0099718D">
        <w:rPr>
          <w:sz w:val="28"/>
          <w:szCs w:val="28"/>
          <w:lang w:val="uk-UA"/>
        </w:rPr>
        <w:t xml:space="preserve"> </w:t>
      </w:r>
      <w:proofErr w:type="spellStart"/>
      <w:r w:rsidR="00C75F2D" w:rsidRPr="0099718D">
        <w:rPr>
          <w:i/>
          <w:sz w:val="28"/>
          <w:szCs w:val="28"/>
          <w:lang w:val="uk-UA"/>
        </w:rPr>
        <w:t>Архивъ</w:t>
      </w:r>
      <w:proofErr w:type="spellEnd"/>
      <w:r w:rsidR="00C75F2D" w:rsidRPr="0099718D">
        <w:rPr>
          <w:i/>
          <w:sz w:val="28"/>
          <w:szCs w:val="28"/>
          <w:lang w:val="uk-UA"/>
        </w:rPr>
        <w:t xml:space="preserve"> </w:t>
      </w:r>
      <w:proofErr w:type="spellStart"/>
      <w:r w:rsidR="00C75F2D" w:rsidRPr="0099718D">
        <w:rPr>
          <w:i/>
          <w:sz w:val="28"/>
          <w:szCs w:val="28"/>
          <w:lang w:val="uk-UA"/>
        </w:rPr>
        <w:t>внутренней</w:t>
      </w:r>
      <w:proofErr w:type="spellEnd"/>
      <w:r w:rsidR="00C75F2D" w:rsidRPr="0099718D">
        <w:rPr>
          <w:i/>
          <w:sz w:val="28"/>
          <w:szCs w:val="28"/>
          <w:lang w:val="uk-UA"/>
        </w:rPr>
        <w:t xml:space="preserve"> </w:t>
      </w:r>
      <w:proofErr w:type="spellStart"/>
      <w:r w:rsidR="00C75F2D" w:rsidRPr="0099718D">
        <w:rPr>
          <w:i/>
          <w:sz w:val="28"/>
          <w:szCs w:val="28"/>
          <w:lang w:val="uk-UA"/>
        </w:rPr>
        <w:t>медицины</w:t>
      </w:r>
      <w:proofErr w:type="spellEnd"/>
      <w:r w:rsidR="00C75F2D" w:rsidRPr="0099718D">
        <w:rPr>
          <w:sz w:val="28"/>
          <w:szCs w:val="28"/>
          <w:lang w:val="uk-UA"/>
        </w:rPr>
        <w:t>. 2018. № 8 (6). С. 475–479.</w:t>
      </w:r>
    </w:p>
    <w:p w:rsidR="00C75F2D" w:rsidRPr="0099718D" w:rsidRDefault="00C75F2D" w:rsidP="00C75F2D">
      <w:pPr>
        <w:spacing w:after="0" w:line="360" w:lineRule="auto"/>
        <w:ind w:firstLine="709"/>
        <w:jc w:val="both"/>
        <w:rPr>
          <w:sz w:val="28"/>
          <w:szCs w:val="28"/>
          <w:lang w:val="uk-UA"/>
        </w:rPr>
      </w:pPr>
    </w:p>
    <w:p w:rsidR="00C75F2D" w:rsidRPr="0099718D" w:rsidRDefault="0099718D" w:rsidP="00C75F2D">
      <w:pPr>
        <w:spacing w:after="0" w:line="360" w:lineRule="auto"/>
        <w:ind w:firstLine="709"/>
        <w:jc w:val="both"/>
        <w:rPr>
          <w:sz w:val="28"/>
          <w:szCs w:val="28"/>
          <w:lang w:val="uk-UA"/>
        </w:rPr>
      </w:pPr>
      <w:r w:rsidRPr="0099718D">
        <w:rPr>
          <w:b/>
          <w:sz w:val="28"/>
          <w:szCs w:val="28"/>
          <w:lang w:val="uk-UA"/>
        </w:rPr>
        <w:t>Ключові слова</w:t>
      </w:r>
      <w:r w:rsidR="00C75F2D" w:rsidRPr="0099718D">
        <w:rPr>
          <w:b/>
          <w:sz w:val="28"/>
          <w:szCs w:val="28"/>
          <w:lang w:val="uk-UA"/>
        </w:rPr>
        <w:t>:</w:t>
      </w:r>
      <w:r w:rsidR="00C75F2D" w:rsidRPr="0099718D">
        <w:rPr>
          <w:sz w:val="28"/>
          <w:szCs w:val="28"/>
          <w:lang w:val="uk-UA"/>
        </w:rPr>
        <w:t xml:space="preserve"> </w:t>
      </w:r>
      <w:r w:rsidRPr="0099718D">
        <w:rPr>
          <w:sz w:val="28"/>
          <w:szCs w:val="28"/>
          <w:lang w:val="uk-UA"/>
        </w:rPr>
        <w:t xml:space="preserve">хронічний панкреатит, ожиріння, </w:t>
      </w:r>
      <w:proofErr w:type="spellStart"/>
      <w:r w:rsidRPr="0099718D">
        <w:rPr>
          <w:sz w:val="28"/>
          <w:szCs w:val="28"/>
          <w:lang w:val="uk-UA"/>
        </w:rPr>
        <w:t>трофологічна</w:t>
      </w:r>
      <w:proofErr w:type="spellEnd"/>
      <w:r w:rsidRPr="0099718D">
        <w:rPr>
          <w:sz w:val="28"/>
          <w:szCs w:val="28"/>
          <w:lang w:val="uk-UA"/>
        </w:rPr>
        <w:t xml:space="preserve"> недостатність, індекс маси тіла, лімфоцити, альбумін</w:t>
      </w:r>
    </w:p>
    <w:p w:rsidR="0099718D" w:rsidRPr="0099718D" w:rsidRDefault="0099718D" w:rsidP="0099718D">
      <w:pPr>
        <w:spacing w:after="0" w:line="360" w:lineRule="auto"/>
        <w:ind w:firstLine="709"/>
        <w:jc w:val="both"/>
        <w:rPr>
          <w:sz w:val="28"/>
          <w:szCs w:val="28"/>
          <w:lang w:val="uk-UA"/>
        </w:rPr>
      </w:pPr>
      <w:r w:rsidRPr="0099718D">
        <w:rPr>
          <w:sz w:val="28"/>
          <w:szCs w:val="28"/>
          <w:lang w:val="uk-UA"/>
        </w:rPr>
        <w:t xml:space="preserve">Порушення харчової поведінки з двома його крайніми проявами </w:t>
      </w:r>
      <w:r>
        <w:rPr>
          <w:sz w:val="28"/>
          <w:szCs w:val="28"/>
          <w:lang w:val="uk-UA"/>
        </w:rPr>
        <w:t xml:space="preserve">— </w:t>
      </w:r>
      <w:r w:rsidRPr="0099718D">
        <w:rPr>
          <w:sz w:val="28"/>
          <w:szCs w:val="28"/>
          <w:lang w:val="uk-UA"/>
        </w:rPr>
        <w:t xml:space="preserve">ожирінням та </w:t>
      </w:r>
      <w:proofErr w:type="spellStart"/>
      <w:r w:rsidRPr="0099718D">
        <w:rPr>
          <w:sz w:val="28"/>
          <w:szCs w:val="28"/>
          <w:lang w:val="uk-UA"/>
        </w:rPr>
        <w:t>трофологічною</w:t>
      </w:r>
      <w:proofErr w:type="spellEnd"/>
      <w:r w:rsidRPr="0099718D">
        <w:rPr>
          <w:sz w:val="28"/>
          <w:szCs w:val="28"/>
          <w:lang w:val="uk-UA"/>
        </w:rPr>
        <w:t xml:space="preserve"> недостатністю (ТН) </w:t>
      </w:r>
      <w:r>
        <w:rPr>
          <w:sz w:val="28"/>
          <w:szCs w:val="28"/>
          <w:lang w:val="uk-UA"/>
        </w:rPr>
        <w:t>—</w:t>
      </w:r>
      <w:r w:rsidRPr="0099718D">
        <w:rPr>
          <w:sz w:val="28"/>
          <w:szCs w:val="28"/>
          <w:lang w:val="uk-UA"/>
        </w:rPr>
        <w:t xml:space="preserve"> є однією з поширених проблем сучасного суспільства. ТН часто діагностують у хворих на хронічний </w:t>
      </w:r>
      <w:r w:rsidRPr="0099718D">
        <w:rPr>
          <w:sz w:val="28"/>
          <w:szCs w:val="28"/>
          <w:lang w:val="uk-UA"/>
        </w:rPr>
        <w:lastRenderedPageBreak/>
        <w:t>панкреатит (</w:t>
      </w:r>
      <w:r>
        <w:rPr>
          <w:sz w:val="28"/>
          <w:szCs w:val="28"/>
          <w:lang w:val="uk-UA"/>
        </w:rPr>
        <w:t>ХП</w:t>
      </w:r>
      <w:r w:rsidRPr="0099718D">
        <w:rPr>
          <w:sz w:val="28"/>
          <w:szCs w:val="28"/>
          <w:lang w:val="uk-UA"/>
        </w:rPr>
        <w:t xml:space="preserve">), її виникнення обумовлено обмеженням кількості спожитої їжі, </w:t>
      </w:r>
      <w:proofErr w:type="spellStart"/>
      <w:r w:rsidRPr="0099718D">
        <w:rPr>
          <w:sz w:val="28"/>
          <w:szCs w:val="28"/>
          <w:lang w:val="uk-UA"/>
        </w:rPr>
        <w:t>мальабсорбцією</w:t>
      </w:r>
      <w:proofErr w:type="spellEnd"/>
      <w:r w:rsidRPr="0099718D">
        <w:rPr>
          <w:sz w:val="28"/>
          <w:szCs w:val="28"/>
          <w:lang w:val="uk-UA"/>
        </w:rPr>
        <w:t xml:space="preserve">, цукровим діабетом, хронічним алкоголізмом. Ступінь тяжкості ТН корелює з інтенсивністю </w:t>
      </w:r>
      <w:proofErr w:type="spellStart"/>
      <w:r w:rsidRPr="0099718D">
        <w:rPr>
          <w:sz w:val="28"/>
          <w:szCs w:val="28"/>
          <w:lang w:val="uk-UA"/>
        </w:rPr>
        <w:t>мальабсорбції</w:t>
      </w:r>
      <w:proofErr w:type="spellEnd"/>
      <w:r w:rsidRPr="0099718D">
        <w:rPr>
          <w:sz w:val="28"/>
          <w:szCs w:val="28"/>
          <w:lang w:val="uk-UA"/>
        </w:rPr>
        <w:t xml:space="preserve"> і ступенем виснаження поживних речовин. Однак верифікація ТН у хворих на </w:t>
      </w:r>
      <w:r>
        <w:rPr>
          <w:sz w:val="28"/>
          <w:szCs w:val="28"/>
          <w:lang w:val="uk-UA"/>
        </w:rPr>
        <w:t>ХП</w:t>
      </w:r>
      <w:r w:rsidRPr="0099718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ускладнена</w:t>
      </w:r>
      <w:r w:rsidRPr="0099718D">
        <w:rPr>
          <w:sz w:val="28"/>
          <w:szCs w:val="28"/>
          <w:lang w:val="uk-UA"/>
        </w:rPr>
        <w:t xml:space="preserve"> у зв</w:t>
      </w:r>
      <w:r>
        <w:rPr>
          <w:sz w:val="28"/>
          <w:szCs w:val="28"/>
          <w:lang w:val="uk-UA"/>
        </w:rPr>
        <w:t>’</w:t>
      </w:r>
      <w:r w:rsidRPr="0099718D">
        <w:rPr>
          <w:sz w:val="28"/>
          <w:szCs w:val="28"/>
          <w:lang w:val="uk-UA"/>
        </w:rPr>
        <w:t xml:space="preserve">язку з відсутністю єдиних діагностичних рекомендацій. </w:t>
      </w:r>
      <w:r>
        <w:rPr>
          <w:sz w:val="28"/>
          <w:szCs w:val="28"/>
          <w:lang w:val="uk-UA"/>
        </w:rPr>
        <w:t>Зазвичай</w:t>
      </w:r>
      <w:r w:rsidRPr="0099718D">
        <w:rPr>
          <w:sz w:val="28"/>
          <w:szCs w:val="28"/>
          <w:lang w:val="uk-UA"/>
        </w:rPr>
        <w:t xml:space="preserve"> використовують антропометричний метод, лабораторну (визначають рівень лімфоцитів, альбуміну) та інструментальну (комп</w:t>
      </w:r>
      <w:r>
        <w:rPr>
          <w:sz w:val="28"/>
          <w:szCs w:val="28"/>
          <w:lang w:val="uk-UA"/>
        </w:rPr>
        <w:t>’</w:t>
      </w:r>
      <w:r w:rsidRPr="0099718D">
        <w:rPr>
          <w:sz w:val="28"/>
          <w:szCs w:val="28"/>
          <w:lang w:val="uk-UA"/>
        </w:rPr>
        <w:t xml:space="preserve">ютерну томографію, рентгенологічну </w:t>
      </w:r>
      <w:proofErr w:type="spellStart"/>
      <w:r w:rsidRPr="0099718D">
        <w:rPr>
          <w:sz w:val="28"/>
          <w:szCs w:val="28"/>
          <w:lang w:val="uk-UA"/>
        </w:rPr>
        <w:t>абсорбціометрію</w:t>
      </w:r>
      <w:proofErr w:type="spellEnd"/>
      <w:r w:rsidRPr="0099718D">
        <w:rPr>
          <w:sz w:val="28"/>
          <w:szCs w:val="28"/>
          <w:lang w:val="uk-UA"/>
        </w:rPr>
        <w:t xml:space="preserve">, </w:t>
      </w:r>
      <w:proofErr w:type="spellStart"/>
      <w:r w:rsidRPr="0099718D">
        <w:rPr>
          <w:sz w:val="28"/>
          <w:szCs w:val="28"/>
          <w:lang w:val="uk-UA"/>
        </w:rPr>
        <w:t>магніторезонансну</w:t>
      </w:r>
      <w:proofErr w:type="spellEnd"/>
      <w:r w:rsidRPr="0099718D">
        <w:rPr>
          <w:sz w:val="28"/>
          <w:szCs w:val="28"/>
          <w:lang w:val="uk-UA"/>
        </w:rPr>
        <w:t xml:space="preserve"> томографію) діагностику.</w:t>
      </w:r>
    </w:p>
    <w:p w:rsidR="00C75F2D" w:rsidRDefault="0099718D" w:rsidP="0099718D">
      <w:pPr>
        <w:spacing w:after="0" w:line="360" w:lineRule="auto"/>
        <w:ind w:firstLine="709"/>
        <w:jc w:val="both"/>
        <w:rPr>
          <w:sz w:val="28"/>
          <w:szCs w:val="28"/>
          <w:lang w:val="uk-UA"/>
        </w:rPr>
      </w:pPr>
      <w:r w:rsidRPr="0099718D">
        <w:rPr>
          <w:sz w:val="28"/>
          <w:szCs w:val="28"/>
          <w:lang w:val="uk-UA"/>
        </w:rPr>
        <w:t xml:space="preserve">У статті представлений випадок поєднання у хворого </w:t>
      </w:r>
      <w:r>
        <w:rPr>
          <w:sz w:val="28"/>
          <w:szCs w:val="28"/>
          <w:lang w:val="uk-UA"/>
        </w:rPr>
        <w:t>на ХП</w:t>
      </w:r>
      <w:r w:rsidRPr="0099718D">
        <w:rPr>
          <w:sz w:val="28"/>
          <w:szCs w:val="28"/>
          <w:lang w:val="uk-UA"/>
        </w:rPr>
        <w:t xml:space="preserve"> двох протилежних станів </w:t>
      </w:r>
      <w:r>
        <w:rPr>
          <w:sz w:val="28"/>
          <w:szCs w:val="28"/>
          <w:lang w:val="uk-UA"/>
        </w:rPr>
        <w:t>—</w:t>
      </w:r>
      <w:r w:rsidRPr="0099718D">
        <w:rPr>
          <w:sz w:val="28"/>
          <w:szCs w:val="28"/>
          <w:lang w:val="uk-UA"/>
        </w:rPr>
        <w:t xml:space="preserve"> ожиріння і ТН. Пацієнт госпіталізований </w:t>
      </w:r>
      <w:r>
        <w:rPr>
          <w:sz w:val="28"/>
          <w:szCs w:val="28"/>
          <w:lang w:val="uk-UA"/>
        </w:rPr>
        <w:t>у</w:t>
      </w:r>
      <w:r w:rsidRPr="0099718D">
        <w:rPr>
          <w:sz w:val="28"/>
          <w:szCs w:val="28"/>
          <w:lang w:val="uk-UA"/>
        </w:rPr>
        <w:t xml:space="preserve"> клініку із загостренням </w:t>
      </w:r>
      <w:r>
        <w:rPr>
          <w:sz w:val="28"/>
          <w:szCs w:val="28"/>
          <w:lang w:val="uk-UA"/>
        </w:rPr>
        <w:t>ХП</w:t>
      </w:r>
      <w:r w:rsidRPr="0099718D">
        <w:rPr>
          <w:sz w:val="28"/>
          <w:szCs w:val="28"/>
          <w:lang w:val="uk-UA"/>
        </w:rPr>
        <w:t xml:space="preserve"> на тлі зловживання алкоголем. При обстеженні виявлено екзокринну недостатність підшлункової залози і ТН легкого ступеня. Пацієнту призначена </w:t>
      </w:r>
      <w:proofErr w:type="spellStart"/>
      <w:r w:rsidRPr="0099718D">
        <w:rPr>
          <w:sz w:val="28"/>
          <w:szCs w:val="28"/>
          <w:lang w:val="uk-UA"/>
        </w:rPr>
        <w:t>ферментозамісна</w:t>
      </w:r>
      <w:proofErr w:type="spellEnd"/>
      <w:r w:rsidRPr="0099718D">
        <w:rPr>
          <w:sz w:val="28"/>
          <w:szCs w:val="28"/>
          <w:lang w:val="uk-UA"/>
        </w:rPr>
        <w:t xml:space="preserve"> терапія і додаткове </w:t>
      </w:r>
      <w:proofErr w:type="spellStart"/>
      <w:r w:rsidRPr="0099718D">
        <w:rPr>
          <w:sz w:val="28"/>
          <w:szCs w:val="28"/>
          <w:lang w:val="uk-UA"/>
        </w:rPr>
        <w:t>сіпінгове</w:t>
      </w:r>
      <w:proofErr w:type="spellEnd"/>
      <w:r w:rsidRPr="0099718D">
        <w:rPr>
          <w:sz w:val="28"/>
          <w:szCs w:val="28"/>
          <w:lang w:val="uk-UA"/>
        </w:rPr>
        <w:t xml:space="preserve"> харчування </w:t>
      </w:r>
      <w:r>
        <w:rPr>
          <w:sz w:val="28"/>
          <w:szCs w:val="28"/>
          <w:lang w:val="uk-UA"/>
        </w:rPr>
        <w:t>і</w:t>
      </w:r>
      <w:r w:rsidRPr="0099718D">
        <w:rPr>
          <w:sz w:val="28"/>
          <w:szCs w:val="28"/>
          <w:lang w:val="uk-UA"/>
        </w:rPr>
        <w:t xml:space="preserve">з позитивним ефектом. Через 10 тижнів лікування екзокринна недостатність підшлункової залози регресувала, однак ознаки ТН зберігались, що вимагало більш тривалого курсу лікування. У статті висвітлено актуальність проблеми, основні труднощі діагностики. Для оцінки </w:t>
      </w:r>
      <w:proofErr w:type="spellStart"/>
      <w:r w:rsidRPr="0099718D">
        <w:rPr>
          <w:sz w:val="28"/>
          <w:szCs w:val="28"/>
          <w:lang w:val="uk-UA"/>
        </w:rPr>
        <w:t>трофологічного</w:t>
      </w:r>
      <w:proofErr w:type="spellEnd"/>
      <w:r w:rsidRPr="0099718D">
        <w:rPr>
          <w:sz w:val="28"/>
          <w:szCs w:val="28"/>
          <w:lang w:val="uk-UA"/>
        </w:rPr>
        <w:t xml:space="preserve"> статусу пацієнтів рекомендується оцінювати антропометричні показники, розраховувати індекс маси тіла, оцінювати вміст лімфоцитів, загального білка, альбуміну. Використання лише індексу маси тіла призводить до невірної оцінки </w:t>
      </w:r>
      <w:proofErr w:type="spellStart"/>
      <w:r w:rsidRPr="0099718D">
        <w:rPr>
          <w:sz w:val="28"/>
          <w:szCs w:val="28"/>
          <w:lang w:val="uk-UA"/>
        </w:rPr>
        <w:t>трофологічного</w:t>
      </w:r>
      <w:proofErr w:type="spellEnd"/>
      <w:r w:rsidRPr="0099718D">
        <w:rPr>
          <w:sz w:val="28"/>
          <w:szCs w:val="28"/>
          <w:lang w:val="uk-UA"/>
        </w:rPr>
        <w:t xml:space="preserve"> статусу у пацієнтів </w:t>
      </w:r>
      <w:r w:rsidR="00254B44">
        <w:rPr>
          <w:sz w:val="28"/>
          <w:szCs w:val="28"/>
          <w:lang w:val="uk-UA"/>
        </w:rPr>
        <w:t>і</w:t>
      </w:r>
      <w:r w:rsidRPr="0099718D">
        <w:rPr>
          <w:sz w:val="28"/>
          <w:szCs w:val="28"/>
          <w:lang w:val="uk-UA"/>
        </w:rPr>
        <w:t xml:space="preserve">з </w:t>
      </w:r>
      <w:r w:rsidR="00254B44">
        <w:rPr>
          <w:sz w:val="28"/>
          <w:szCs w:val="28"/>
          <w:lang w:val="uk-UA"/>
        </w:rPr>
        <w:t>ХП</w:t>
      </w:r>
      <w:r w:rsidRPr="0099718D">
        <w:rPr>
          <w:sz w:val="28"/>
          <w:szCs w:val="28"/>
          <w:lang w:val="uk-UA"/>
        </w:rPr>
        <w:t>.</w:t>
      </w:r>
    </w:p>
    <w:p w:rsidR="007D1BC6" w:rsidRDefault="007D1BC6" w:rsidP="0099718D">
      <w:pPr>
        <w:spacing w:after="0" w:line="360" w:lineRule="auto"/>
        <w:ind w:firstLine="709"/>
        <w:jc w:val="both"/>
        <w:rPr>
          <w:sz w:val="28"/>
          <w:szCs w:val="28"/>
          <w:lang w:val="uk-UA"/>
        </w:rPr>
      </w:pPr>
    </w:p>
    <w:p w:rsidR="007D1BC6" w:rsidRPr="007D1BC6" w:rsidRDefault="007D1BC6" w:rsidP="007D1BC6">
      <w:pPr>
        <w:spacing w:after="0" w:line="360" w:lineRule="auto"/>
        <w:jc w:val="center"/>
        <w:rPr>
          <w:b/>
          <w:sz w:val="28"/>
          <w:szCs w:val="28"/>
          <w:lang w:val="en-US"/>
        </w:rPr>
      </w:pPr>
      <w:r w:rsidRPr="007D1BC6">
        <w:rPr>
          <w:b/>
          <w:sz w:val="28"/>
          <w:szCs w:val="28"/>
          <w:lang w:val="en-US"/>
        </w:rPr>
        <w:t xml:space="preserve">Combination of obesity and malnutrition </w:t>
      </w:r>
      <w:r>
        <w:rPr>
          <w:b/>
          <w:sz w:val="28"/>
          <w:szCs w:val="28"/>
          <w:lang w:val="en-US"/>
        </w:rPr>
        <w:t>in</w:t>
      </w:r>
      <w:r w:rsidRPr="007D1BC6">
        <w:rPr>
          <w:b/>
          <w:sz w:val="28"/>
          <w:szCs w:val="28"/>
          <w:lang w:val="en-US"/>
        </w:rPr>
        <w:t xml:space="preserve"> a patient with chronic alcoholic pancreatitis (case report)</w:t>
      </w:r>
    </w:p>
    <w:p w:rsidR="007D1BC6" w:rsidRPr="007D1BC6" w:rsidRDefault="007D1BC6" w:rsidP="007D1BC6">
      <w:pPr>
        <w:spacing w:after="0" w:line="360" w:lineRule="auto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</w:t>
      </w:r>
      <w:r w:rsidRPr="007D1BC6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  <w:t>S</w:t>
      </w:r>
      <w:r w:rsidRPr="007D1BC6">
        <w:rPr>
          <w:sz w:val="28"/>
          <w:szCs w:val="28"/>
          <w:lang w:val="en-US"/>
        </w:rPr>
        <w:t>. Gavrilina</w:t>
      </w:r>
      <w:r w:rsidRPr="007D1BC6">
        <w:rPr>
          <w:sz w:val="28"/>
          <w:szCs w:val="28"/>
          <w:vertAlign w:val="superscript"/>
          <w:lang w:val="en-US"/>
        </w:rPr>
        <w:t>1,2</w:t>
      </w:r>
      <w:r w:rsidRPr="007D1BC6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>L</w:t>
      </w:r>
      <w:r w:rsidRPr="007D1BC6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  <w:t>Yu</w:t>
      </w:r>
      <w:r w:rsidRPr="007D1BC6">
        <w:rPr>
          <w:sz w:val="28"/>
          <w:szCs w:val="28"/>
          <w:lang w:val="en-US"/>
        </w:rPr>
        <w:t>. Ilchenko</w:t>
      </w:r>
      <w:r w:rsidRPr="007D1BC6">
        <w:rPr>
          <w:sz w:val="28"/>
          <w:szCs w:val="28"/>
          <w:vertAlign w:val="superscript"/>
          <w:lang w:val="en-US"/>
        </w:rPr>
        <w:t>2</w:t>
      </w:r>
      <w:r w:rsidRPr="007D1BC6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>I</w:t>
      </w:r>
      <w:r w:rsidRPr="007D1BC6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  <w:t>G</w:t>
      </w:r>
      <w:r w:rsidRPr="007D1BC6">
        <w:rPr>
          <w:sz w:val="28"/>
          <w:szCs w:val="28"/>
          <w:lang w:val="en-US"/>
        </w:rPr>
        <w:t>. Fedorov</w:t>
      </w:r>
      <w:r w:rsidRPr="007D1BC6">
        <w:rPr>
          <w:sz w:val="28"/>
          <w:szCs w:val="28"/>
          <w:vertAlign w:val="superscript"/>
          <w:lang w:val="en-US"/>
        </w:rPr>
        <w:t>1,2</w:t>
      </w:r>
      <w:r w:rsidRPr="007D1BC6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>I</w:t>
      </w:r>
      <w:r w:rsidRPr="007D1BC6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  <w:t>G</w:t>
      </w:r>
      <w:r w:rsidRPr="007D1BC6">
        <w:rPr>
          <w:sz w:val="28"/>
          <w:szCs w:val="28"/>
          <w:lang w:val="en-US"/>
        </w:rPr>
        <w:t>. Nikitin</w:t>
      </w:r>
      <w:r w:rsidRPr="007D1BC6">
        <w:rPr>
          <w:sz w:val="28"/>
          <w:szCs w:val="28"/>
          <w:vertAlign w:val="superscript"/>
          <w:lang w:val="en-US"/>
        </w:rPr>
        <w:t>2,3</w:t>
      </w:r>
    </w:p>
    <w:p w:rsidR="007D1BC6" w:rsidRPr="007D1BC6" w:rsidRDefault="007D1BC6" w:rsidP="007D1BC6">
      <w:pPr>
        <w:spacing w:after="0" w:line="360" w:lineRule="auto"/>
        <w:jc w:val="center"/>
        <w:rPr>
          <w:sz w:val="28"/>
          <w:szCs w:val="28"/>
          <w:lang w:val="en-US"/>
        </w:rPr>
      </w:pPr>
      <w:r w:rsidRPr="007D1BC6">
        <w:rPr>
          <w:sz w:val="28"/>
          <w:szCs w:val="28"/>
          <w:vertAlign w:val="superscript"/>
          <w:lang w:val="en-US"/>
        </w:rPr>
        <w:t>1</w:t>
      </w:r>
      <w:r>
        <w:rPr>
          <w:sz w:val="28"/>
          <w:szCs w:val="28"/>
          <w:lang w:val="en-US"/>
        </w:rPr>
        <w:t>City</w:t>
      </w:r>
      <w:r w:rsidRPr="007D1BC6">
        <w:rPr>
          <w:sz w:val="28"/>
          <w:szCs w:val="28"/>
          <w:lang w:val="en-US"/>
        </w:rPr>
        <w:t xml:space="preserve"> Clinical </w:t>
      </w:r>
      <w:r>
        <w:rPr>
          <w:sz w:val="28"/>
          <w:szCs w:val="28"/>
          <w:lang w:val="en-US"/>
        </w:rPr>
        <w:t>H</w:t>
      </w:r>
      <w:r w:rsidRPr="007D1BC6">
        <w:rPr>
          <w:sz w:val="28"/>
          <w:szCs w:val="28"/>
          <w:lang w:val="en-US"/>
        </w:rPr>
        <w:t xml:space="preserve">ospital </w:t>
      </w:r>
      <w:r>
        <w:rPr>
          <w:sz w:val="28"/>
          <w:szCs w:val="28"/>
          <w:lang w:val="en-US"/>
        </w:rPr>
        <w:t>n. a.</w:t>
      </w:r>
      <w:r w:rsidRPr="007D1BC6">
        <w:rPr>
          <w:sz w:val="28"/>
          <w:szCs w:val="28"/>
          <w:lang w:val="en-US"/>
        </w:rPr>
        <w:t xml:space="preserve"> V.</w:t>
      </w:r>
      <w:r>
        <w:rPr>
          <w:sz w:val="28"/>
          <w:szCs w:val="28"/>
          <w:lang w:val="en-US"/>
        </w:rPr>
        <w:t xml:space="preserve"> </w:t>
      </w:r>
      <w:r w:rsidRPr="007D1BC6">
        <w:rPr>
          <w:sz w:val="28"/>
          <w:szCs w:val="28"/>
          <w:lang w:val="en-US"/>
        </w:rPr>
        <w:t>M</w:t>
      </w:r>
      <w:r>
        <w:rPr>
          <w:sz w:val="28"/>
          <w:szCs w:val="28"/>
          <w:lang w:val="en-US"/>
        </w:rPr>
        <w:t>.</w:t>
      </w:r>
      <w:r w:rsidRPr="007D1BC6">
        <w:rPr>
          <w:sz w:val="28"/>
          <w:szCs w:val="28"/>
          <w:lang w:val="en-US"/>
        </w:rPr>
        <w:t xml:space="preserve"> </w:t>
      </w:r>
      <w:proofErr w:type="spellStart"/>
      <w:r w:rsidRPr="007D1BC6">
        <w:rPr>
          <w:sz w:val="28"/>
          <w:szCs w:val="28"/>
          <w:lang w:val="en-US"/>
        </w:rPr>
        <w:t>Buyanov</w:t>
      </w:r>
      <w:proofErr w:type="spellEnd"/>
      <w:r w:rsidRPr="007D1BC6">
        <w:rPr>
          <w:sz w:val="28"/>
          <w:szCs w:val="28"/>
          <w:lang w:val="en-US"/>
        </w:rPr>
        <w:t>,</w:t>
      </w:r>
    </w:p>
    <w:p w:rsidR="007D1BC6" w:rsidRPr="007D1BC6" w:rsidRDefault="007D1BC6" w:rsidP="007D1BC6">
      <w:pPr>
        <w:spacing w:after="0" w:line="360" w:lineRule="auto"/>
        <w:jc w:val="center"/>
        <w:rPr>
          <w:sz w:val="28"/>
          <w:szCs w:val="28"/>
          <w:lang w:val="en-US"/>
        </w:rPr>
      </w:pPr>
      <w:r w:rsidRPr="007D1BC6">
        <w:rPr>
          <w:sz w:val="28"/>
          <w:szCs w:val="28"/>
          <w:vertAlign w:val="superscript"/>
          <w:lang w:val="en-US"/>
        </w:rPr>
        <w:t>2</w:t>
      </w:r>
      <w:r>
        <w:rPr>
          <w:sz w:val="28"/>
          <w:szCs w:val="28"/>
          <w:lang w:val="en-US"/>
        </w:rPr>
        <w:t>Russian National Research M</w:t>
      </w:r>
      <w:r w:rsidRPr="007D1BC6">
        <w:rPr>
          <w:sz w:val="28"/>
          <w:szCs w:val="28"/>
          <w:lang w:val="en-US"/>
        </w:rPr>
        <w:t>edical University</w:t>
      </w:r>
      <w:r>
        <w:rPr>
          <w:sz w:val="28"/>
          <w:szCs w:val="28"/>
          <w:lang w:val="en-US"/>
        </w:rPr>
        <w:t xml:space="preserve"> n. a. </w:t>
      </w:r>
      <w:r w:rsidRPr="007D1BC6">
        <w:rPr>
          <w:sz w:val="28"/>
          <w:szCs w:val="28"/>
          <w:lang w:val="en-US"/>
        </w:rPr>
        <w:t>N.</w:t>
      </w:r>
      <w:r>
        <w:rPr>
          <w:sz w:val="28"/>
          <w:szCs w:val="28"/>
          <w:lang w:val="en-US"/>
        </w:rPr>
        <w:t xml:space="preserve"> </w:t>
      </w:r>
      <w:r w:rsidRPr="007D1BC6">
        <w:rPr>
          <w:sz w:val="28"/>
          <w:szCs w:val="28"/>
          <w:lang w:val="en-US"/>
        </w:rPr>
        <w:t xml:space="preserve">I. </w:t>
      </w:r>
      <w:proofErr w:type="spellStart"/>
      <w:r w:rsidRPr="007D1BC6">
        <w:rPr>
          <w:sz w:val="28"/>
          <w:szCs w:val="28"/>
          <w:lang w:val="en-US"/>
        </w:rPr>
        <w:t>Pirogov</w:t>
      </w:r>
      <w:proofErr w:type="spellEnd"/>
      <w:r w:rsidRPr="007D1BC6">
        <w:rPr>
          <w:sz w:val="28"/>
          <w:szCs w:val="28"/>
          <w:lang w:val="en-US"/>
        </w:rPr>
        <w:t>,</w:t>
      </w:r>
    </w:p>
    <w:p w:rsidR="007D1BC6" w:rsidRPr="007D1BC6" w:rsidRDefault="007D1BC6" w:rsidP="007D1BC6">
      <w:pPr>
        <w:spacing w:after="0" w:line="360" w:lineRule="auto"/>
        <w:jc w:val="center"/>
        <w:rPr>
          <w:sz w:val="28"/>
          <w:szCs w:val="28"/>
          <w:lang w:val="en-US"/>
        </w:rPr>
      </w:pPr>
      <w:r w:rsidRPr="007D1BC6">
        <w:rPr>
          <w:sz w:val="28"/>
          <w:szCs w:val="28"/>
          <w:vertAlign w:val="superscript"/>
          <w:lang w:val="en-US"/>
        </w:rPr>
        <w:t>3</w:t>
      </w:r>
      <w:r w:rsidRPr="007D1BC6">
        <w:rPr>
          <w:sz w:val="28"/>
          <w:szCs w:val="28"/>
          <w:lang w:val="en-US"/>
        </w:rPr>
        <w:t>Centre of Medical Rehabilitation,</w:t>
      </w:r>
    </w:p>
    <w:p w:rsidR="007D1BC6" w:rsidRPr="007D1BC6" w:rsidRDefault="007D1BC6" w:rsidP="007D1BC6">
      <w:pPr>
        <w:spacing w:after="0" w:line="360" w:lineRule="auto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Moscow</w:t>
      </w:r>
      <w:r w:rsidRPr="007D1BC6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>Russia</w:t>
      </w:r>
    </w:p>
    <w:p w:rsidR="007D1BC6" w:rsidRPr="007D1BC6" w:rsidRDefault="007D1BC6" w:rsidP="007D1BC6">
      <w:pPr>
        <w:spacing w:after="0" w:line="360" w:lineRule="auto"/>
        <w:jc w:val="both"/>
        <w:rPr>
          <w:sz w:val="28"/>
          <w:szCs w:val="28"/>
          <w:lang w:val="en-US"/>
        </w:rPr>
      </w:pPr>
    </w:p>
    <w:p w:rsidR="007D1BC6" w:rsidRPr="00D5438D" w:rsidRDefault="007D1BC6" w:rsidP="007D1BC6">
      <w:pPr>
        <w:spacing w:after="0" w:line="360" w:lineRule="auto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Article was published in journal</w:t>
      </w:r>
      <w:r w:rsidRPr="007D1BC6">
        <w:rPr>
          <w:sz w:val="28"/>
          <w:szCs w:val="28"/>
          <w:lang w:val="en-US"/>
        </w:rPr>
        <w:t xml:space="preserve"> </w:t>
      </w:r>
      <w:proofErr w:type="spellStart"/>
      <w:r w:rsidRPr="00C75F2D">
        <w:rPr>
          <w:i/>
          <w:sz w:val="28"/>
          <w:szCs w:val="28"/>
        </w:rPr>
        <w:t>Архивъ</w:t>
      </w:r>
      <w:proofErr w:type="spellEnd"/>
      <w:r w:rsidRPr="007D1BC6">
        <w:rPr>
          <w:i/>
          <w:sz w:val="28"/>
          <w:szCs w:val="28"/>
          <w:lang w:val="en-US"/>
        </w:rPr>
        <w:t xml:space="preserve"> </w:t>
      </w:r>
      <w:r w:rsidRPr="00C75F2D">
        <w:rPr>
          <w:i/>
          <w:sz w:val="28"/>
          <w:szCs w:val="28"/>
        </w:rPr>
        <w:t>внутренней</w:t>
      </w:r>
      <w:r w:rsidRPr="007D1BC6">
        <w:rPr>
          <w:i/>
          <w:sz w:val="28"/>
          <w:szCs w:val="28"/>
          <w:lang w:val="en-US"/>
        </w:rPr>
        <w:t xml:space="preserve"> </w:t>
      </w:r>
      <w:r w:rsidRPr="00C75F2D">
        <w:rPr>
          <w:i/>
          <w:sz w:val="28"/>
          <w:szCs w:val="28"/>
        </w:rPr>
        <w:t>медицины</w:t>
      </w:r>
      <w:r w:rsidRPr="007D1BC6">
        <w:rPr>
          <w:sz w:val="28"/>
          <w:szCs w:val="28"/>
          <w:lang w:val="en-US"/>
        </w:rPr>
        <w:t xml:space="preserve">. 2018. № 8 (6). </w:t>
      </w:r>
      <w:r w:rsidRPr="00C75F2D">
        <w:rPr>
          <w:sz w:val="28"/>
          <w:szCs w:val="28"/>
        </w:rPr>
        <w:t>С</w:t>
      </w:r>
      <w:r w:rsidRPr="00D5438D">
        <w:rPr>
          <w:sz w:val="28"/>
          <w:szCs w:val="28"/>
          <w:lang w:val="en-US"/>
        </w:rPr>
        <w:t>. 475–479.</w:t>
      </w:r>
    </w:p>
    <w:p w:rsidR="007D1BC6" w:rsidRPr="00D5438D" w:rsidRDefault="007D1BC6" w:rsidP="007D1BC6">
      <w:pPr>
        <w:spacing w:after="0" w:line="360" w:lineRule="auto"/>
        <w:ind w:firstLine="709"/>
        <w:jc w:val="both"/>
        <w:rPr>
          <w:sz w:val="28"/>
          <w:szCs w:val="28"/>
          <w:lang w:val="en-US"/>
        </w:rPr>
      </w:pPr>
    </w:p>
    <w:p w:rsidR="007D1BC6" w:rsidRPr="000F2101" w:rsidRDefault="000F2101" w:rsidP="007D1BC6">
      <w:pPr>
        <w:spacing w:after="0"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Key</w:t>
      </w:r>
      <w:r w:rsidRPr="000F2101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words</w:t>
      </w:r>
      <w:r w:rsidR="007D1BC6" w:rsidRPr="000F2101">
        <w:rPr>
          <w:b/>
          <w:sz w:val="28"/>
          <w:szCs w:val="28"/>
          <w:lang w:val="en-US"/>
        </w:rPr>
        <w:t>:</w:t>
      </w:r>
      <w:r w:rsidR="007D1BC6" w:rsidRPr="000F2101">
        <w:rPr>
          <w:sz w:val="28"/>
          <w:szCs w:val="28"/>
          <w:lang w:val="en-US"/>
        </w:rPr>
        <w:t xml:space="preserve"> </w:t>
      </w:r>
      <w:r w:rsidRPr="00D5438D">
        <w:rPr>
          <w:sz w:val="28"/>
          <w:szCs w:val="28"/>
          <w:lang w:val="en-US"/>
        </w:rPr>
        <w:t>chronic pancreatitis, obesity, trophological insufficiency, body mass index, lymphocytes, albumin</w:t>
      </w:r>
    </w:p>
    <w:p w:rsidR="007D1BC6" w:rsidRPr="000F2101" w:rsidRDefault="000F2101" w:rsidP="007D1BC6">
      <w:pPr>
        <w:spacing w:after="0" w:line="360" w:lineRule="auto"/>
        <w:ind w:firstLine="709"/>
        <w:jc w:val="both"/>
        <w:rPr>
          <w:sz w:val="28"/>
          <w:szCs w:val="28"/>
          <w:lang w:val="en-US"/>
        </w:rPr>
      </w:pPr>
      <w:r w:rsidRPr="000F2101">
        <w:rPr>
          <w:sz w:val="28"/>
          <w:szCs w:val="28"/>
          <w:lang w:val="en-US"/>
        </w:rPr>
        <w:t xml:space="preserve">Eating disorder with its two extreme manifestations </w:t>
      </w:r>
      <w:r>
        <w:rPr>
          <w:sz w:val="28"/>
          <w:szCs w:val="28"/>
          <w:lang w:val="en-US"/>
        </w:rPr>
        <w:t>—</w:t>
      </w:r>
      <w:r w:rsidRPr="000F2101">
        <w:rPr>
          <w:sz w:val="28"/>
          <w:szCs w:val="28"/>
          <w:lang w:val="en-US"/>
        </w:rPr>
        <w:t xml:space="preserve"> obesity and trophological insufficiency (T</w:t>
      </w:r>
      <w:r>
        <w:rPr>
          <w:sz w:val="28"/>
          <w:szCs w:val="28"/>
          <w:lang w:val="en-US"/>
        </w:rPr>
        <w:t>I</w:t>
      </w:r>
      <w:r w:rsidRPr="000F2101">
        <w:rPr>
          <w:sz w:val="28"/>
          <w:szCs w:val="28"/>
          <w:lang w:val="en-US"/>
        </w:rPr>
        <w:t xml:space="preserve">) </w:t>
      </w:r>
      <w:r>
        <w:rPr>
          <w:sz w:val="28"/>
          <w:szCs w:val="28"/>
          <w:lang w:val="en-US"/>
        </w:rPr>
        <w:t>—</w:t>
      </w:r>
      <w:r w:rsidRPr="000F2101">
        <w:rPr>
          <w:sz w:val="28"/>
          <w:szCs w:val="28"/>
          <w:lang w:val="en-US"/>
        </w:rPr>
        <w:t xml:space="preserve"> is one of the common problems of modern society. </w:t>
      </w:r>
      <w:r>
        <w:rPr>
          <w:sz w:val="28"/>
          <w:szCs w:val="28"/>
          <w:lang w:val="en-US"/>
        </w:rPr>
        <w:t>TI</w:t>
      </w:r>
      <w:r w:rsidRPr="000F2101">
        <w:rPr>
          <w:sz w:val="28"/>
          <w:szCs w:val="28"/>
          <w:lang w:val="en-US"/>
        </w:rPr>
        <w:t xml:space="preserve"> is often diagnosed in patients with chronic pancreatitis (CP); </w:t>
      </w:r>
      <w:r>
        <w:rPr>
          <w:sz w:val="28"/>
          <w:szCs w:val="28"/>
          <w:lang w:val="en-US"/>
        </w:rPr>
        <w:t>it occurs</w:t>
      </w:r>
      <w:r w:rsidRPr="000F2101">
        <w:rPr>
          <w:sz w:val="28"/>
          <w:szCs w:val="28"/>
          <w:lang w:val="en-US"/>
        </w:rPr>
        <w:t xml:space="preserve"> due to a limited amount of food intake, malabsorption, diabetes mellitus, and chronic alcoholism. </w:t>
      </w:r>
      <w:r>
        <w:rPr>
          <w:sz w:val="28"/>
          <w:szCs w:val="28"/>
          <w:lang w:val="en-US"/>
        </w:rPr>
        <w:t>TI</w:t>
      </w:r>
      <w:r w:rsidRPr="000F2101">
        <w:rPr>
          <w:sz w:val="28"/>
          <w:szCs w:val="28"/>
          <w:lang w:val="en-US"/>
        </w:rPr>
        <w:t xml:space="preserve"> severity correlates with severity of malabsorption and depletion of nutrients</w:t>
      </w:r>
      <w:r>
        <w:rPr>
          <w:sz w:val="28"/>
          <w:szCs w:val="28"/>
          <w:lang w:val="en-US"/>
        </w:rPr>
        <w:t xml:space="preserve"> degree</w:t>
      </w:r>
      <w:r w:rsidRPr="000F2101">
        <w:rPr>
          <w:sz w:val="28"/>
          <w:szCs w:val="28"/>
          <w:lang w:val="en-US"/>
        </w:rPr>
        <w:t xml:space="preserve">. However, </w:t>
      </w:r>
      <w:r>
        <w:rPr>
          <w:sz w:val="28"/>
          <w:szCs w:val="28"/>
          <w:lang w:val="en-US"/>
        </w:rPr>
        <w:t xml:space="preserve">TI </w:t>
      </w:r>
      <w:r w:rsidRPr="000F2101">
        <w:rPr>
          <w:sz w:val="28"/>
          <w:szCs w:val="28"/>
          <w:lang w:val="en-US"/>
        </w:rPr>
        <w:t xml:space="preserve">verification in patients with CP is difficult due to the lack of uniform diagnostic recommendations. </w:t>
      </w:r>
      <w:r>
        <w:rPr>
          <w:sz w:val="28"/>
          <w:szCs w:val="28"/>
          <w:lang w:val="en-US"/>
        </w:rPr>
        <w:t>A</w:t>
      </w:r>
      <w:r w:rsidRPr="000F2101">
        <w:rPr>
          <w:sz w:val="28"/>
          <w:szCs w:val="28"/>
          <w:lang w:val="en-US"/>
        </w:rPr>
        <w:t xml:space="preserve">nthropometric </w:t>
      </w:r>
      <w:r>
        <w:rPr>
          <w:sz w:val="28"/>
          <w:szCs w:val="28"/>
          <w:lang w:val="en-US"/>
        </w:rPr>
        <w:t>technique</w:t>
      </w:r>
      <w:r w:rsidRPr="000F2101">
        <w:rPr>
          <w:sz w:val="28"/>
          <w:szCs w:val="28"/>
          <w:lang w:val="en-US"/>
        </w:rPr>
        <w:t>, laboratory (determin</w:t>
      </w:r>
      <w:r>
        <w:rPr>
          <w:sz w:val="28"/>
          <w:szCs w:val="28"/>
          <w:lang w:val="en-US"/>
        </w:rPr>
        <w:t>ation of</w:t>
      </w:r>
      <w:r w:rsidRPr="000F2101">
        <w:rPr>
          <w:sz w:val="28"/>
          <w:szCs w:val="28"/>
          <w:lang w:val="en-US"/>
        </w:rPr>
        <w:t xml:space="preserve"> the level of lymphocytes, albumin) and instrumental (computed tomography, X-ray absorptiometry, magnetic resonance imaging) diagnostics</w:t>
      </w:r>
      <w:r>
        <w:rPr>
          <w:sz w:val="28"/>
          <w:szCs w:val="28"/>
          <w:lang w:val="en-US"/>
        </w:rPr>
        <w:t xml:space="preserve"> are usually used</w:t>
      </w:r>
      <w:r w:rsidRPr="000F2101">
        <w:rPr>
          <w:sz w:val="28"/>
          <w:szCs w:val="28"/>
          <w:lang w:val="en-US"/>
        </w:rPr>
        <w:t>.</w:t>
      </w:r>
    </w:p>
    <w:p w:rsidR="007D1BC6" w:rsidRPr="000F2101" w:rsidRDefault="000F2101" w:rsidP="007D1BC6">
      <w:pPr>
        <w:spacing w:after="0" w:line="360" w:lineRule="auto"/>
        <w:ind w:firstLine="709"/>
        <w:jc w:val="both"/>
        <w:rPr>
          <w:sz w:val="28"/>
          <w:szCs w:val="28"/>
          <w:lang w:val="en-US"/>
        </w:rPr>
      </w:pPr>
      <w:r w:rsidRPr="000F2101">
        <w:rPr>
          <w:sz w:val="28"/>
          <w:szCs w:val="28"/>
          <w:lang w:val="en-US"/>
        </w:rPr>
        <w:t xml:space="preserve">The article </w:t>
      </w:r>
      <w:r>
        <w:rPr>
          <w:sz w:val="28"/>
          <w:szCs w:val="28"/>
          <w:lang w:val="en-US"/>
        </w:rPr>
        <w:t>presents</w:t>
      </w:r>
      <w:r w:rsidRPr="000F2101">
        <w:rPr>
          <w:sz w:val="28"/>
          <w:szCs w:val="28"/>
          <w:lang w:val="en-US"/>
        </w:rPr>
        <w:t xml:space="preserve"> a </w:t>
      </w:r>
      <w:r>
        <w:rPr>
          <w:sz w:val="28"/>
          <w:szCs w:val="28"/>
          <w:lang w:val="en-US"/>
        </w:rPr>
        <w:t>case report</w:t>
      </w:r>
      <w:r w:rsidRPr="000F2101">
        <w:rPr>
          <w:sz w:val="28"/>
          <w:szCs w:val="28"/>
          <w:lang w:val="en-US"/>
        </w:rPr>
        <w:t xml:space="preserve"> of combination of such two opposite states as obesity and malnutrition in a patient with </w:t>
      </w:r>
      <w:r>
        <w:rPr>
          <w:sz w:val="28"/>
          <w:szCs w:val="28"/>
          <w:lang w:val="en-US"/>
        </w:rPr>
        <w:t>CP</w:t>
      </w:r>
      <w:r w:rsidRPr="000F2101">
        <w:rPr>
          <w:sz w:val="28"/>
          <w:szCs w:val="28"/>
          <w:lang w:val="en-US"/>
        </w:rPr>
        <w:t xml:space="preserve">. The patient was hospitalized with </w:t>
      </w:r>
      <w:r>
        <w:rPr>
          <w:sz w:val="28"/>
          <w:szCs w:val="28"/>
          <w:lang w:val="en-US"/>
        </w:rPr>
        <w:t xml:space="preserve">CP </w:t>
      </w:r>
      <w:r w:rsidRPr="000F2101">
        <w:rPr>
          <w:sz w:val="28"/>
          <w:szCs w:val="28"/>
          <w:lang w:val="en-US"/>
        </w:rPr>
        <w:t xml:space="preserve">exacerbation and alcohol abuse. </w:t>
      </w:r>
      <w:r>
        <w:rPr>
          <w:sz w:val="28"/>
          <w:szCs w:val="28"/>
          <w:lang w:val="en-US"/>
        </w:rPr>
        <w:t>E</w:t>
      </w:r>
      <w:r w:rsidRPr="000F2101">
        <w:rPr>
          <w:sz w:val="28"/>
          <w:szCs w:val="28"/>
          <w:lang w:val="en-US"/>
        </w:rPr>
        <w:t xml:space="preserve">xamination revealed exocrine pancreatic insufficiency and mild malnutrition. </w:t>
      </w:r>
      <w:r>
        <w:rPr>
          <w:sz w:val="28"/>
          <w:szCs w:val="28"/>
          <w:lang w:val="en-US"/>
        </w:rPr>
        <w:t>E</w:t>
      </w:r>
      <w:r w:rsidRPr="000F2101">
        <w:rPr>
          <w:sz w:val="28"/>
          <w:szCs w:val="28"/>
          <w:lang w:val="en-US"/>
        </w:rPr>
        <w:t>nzyme replacement therapy and additional oral sip feeding with a positive effect</w:t>
      </w:r>
      <w:r>
        <w:rPr>
          <w:sz w:val="28"/>
          <w:szCs w:val="28"/>
          <w:lang w:val="en-US"/>
        </w:rPr>
        <w:t xml:space="preserve"> were</w:t>
      </w:r>
      <w:r w:rsidRPr="000F2101">
        <w:rPr>
          <w:sz w:val="28"/>
          <w:szCs w:val="28"/>
          <w:lang w:val="en-US"/>
        </w:rPr>
        <w:t xml:space="preserve"> prescribed. </w:t>
      </w:r>
      <w:r>
        <w:rPr>
          <w:sz w:val="28"/>
          <w:szCs w:val="28"/>
          <w:lang w:val="en-US"/>
        </w:rPr>
        <w:t>Ex</w:t>
      </w:r>
      <w:r w:rsidRPr="000F2101">
        <w:rPr>
          <w:sz w:val="28"/>
          <w:szCs w:val="28"/>
          <w:lang w:val="en-US"/>
        </w:rPr>
        <w:t>ocrine pancreatic insufficiency stopped</w:t>
      </w:r>
      <w:r>
        <w:rPr>
          <w:sz w:val="28"/>
          <w:szCs w:val="28"/>
          <w:lang w:val="en-US"/>
        </w:rPr>
        <w:t xml:space="preserve"> </w:t>
      </w:r>
      <w:r w:rsidR="000E40DF">
        <w:rPr>
          <w:sz w:val="28"/>
          <w:szCs w:val="28"/>
          <w:lang w:val="en-US"/>
        </w:rPr>
        <w:t>after</w:t>
      </w:r>
      <w:r w:rsidRPr="000F2101">
        <w:rPr>
          <w:sz w:val="28"/>
          <w:szCs w:val="28"/>
          <w:lang w:val="en-US"/>
        </w:rPr>
        <w:t xml:space="preserve"> 10 weeks of</w:t>
      </w:r>
      <w:r w:rsidR="000E40DF">
        <w:rPr>
          <w:sz w:val="28"/>
          <w:szCs w:val="28"/>
          <w:lang w:val="en-US"/>
        </w:rPr>
        <w:t xml:space="preserve"> treatment</w:t>
      </w:r>
      <w:r w:rsidRPr="000F2101">
        <w:rPr>
          <w:sz w:val="28"/>
          <w:szCs w:val="28"/>
          <w:lang w:val="en-US"/>
        </w:rPr>
        <w:t xml:space="preserve">, but malnutrition remained and required a longer course of treatment. </w:t>
      </w:r>
      <w:r w:rsidR="000E40DF">
        <w:rPr>
          <w:sz w:val="28"/>
          <w:szCs w:val="28"/>
          <w:lang w:val="en-US"/>
        </w:rPr>
        <w:t>R</w:t>
      </w:r>
      <w:r w:rsidRPr="000F2101">
        <w:rPr>
          <w:sz w:val="28"/>
          <w:szCs w:val="28"/>
          <w:lang w:val="en-US"/>
        </w:rPr>
        <w:t xml:space="preserve">elevance of this problem, main difficulties of diagnosis </w:t>
      </w:r>
      <w:r w:rsidR="000E40DF">
        <w:rPr>
          <w:sz w:val="28"/>
          <w:szCs w:val="28"/>
          <w:lang w:val="en-US"/>
        </w:rPr>
        <w:t>are</w:t>
      </w:r>
      <w:r w:rsidRPr="000F2101">
        <w:rPr>
          <w:sz w:val="28"/>
          <w:szCs w:val="28"/>
          <w:lang w:val="en-US"/>
        </w:rPr>
        <w:t xml:space="preserve"> presented in the article. </w:t>
      </w:r>
      <w:r w:rsidR="000E40DF">
        <w:rPr>
          <w:sz w:val="28"/>
          <w:szCs w:val="28"/>
          <w:lang w:val="en-US"/>
        </w:rPr>
        <w:t>A</w:t>
      </w:r>
      <w:r w:rsidRPr="000F2101">
        <w:rPr>
          <w:sz w:val="28"/>
          <w:szCs w:val="28"/>
          <w:lang w:val="en-US"/>
        </w:rPr>
        <w:t xml:space="preserve">nthropometric </w:t>
      </w:r>
      <w:r w:rsidR="000E40DF">
        <w:rPr>
          <w:sz w:val="28"/>
          <w:szCs w:val="28"/>
          <w:lang w:val="en-US"/>
        </w:rPr>
        <w:t>indices</w:t>
      </w:r>
      <w:r w:rsidRPr="000F2101">
        <w:rPr>
          <w:sz w:val="28"/>
          <w:szCs w:val="28"/>
          <w:lang w:val="en-US"/>
        </w:rPr>
        <w:t>, body mass index, lymphocytes, total protein, albumin</w:t>
      </w:r>
      <w:r w:rsidR="000E40DF">
        <w:rPr>
          <w:sz w:val="28"/>
          <w:szCs w:val="28"/>
          <w:lang w:val="en-US"/>
        </w:rPr>
        <w:t xml:space="preserve"> </w:t>
      </w:r>
      <w:r w:rsidR="000E40DF" w:rsidRPr="000F2101">
        <w:rPr>
          <w:sz w:val="28"/>
          <w:szCs w:val="28"/>
          <w:lang w:val="en-US"/>
        </w:rPr>
        <w:t xml:space="preserve">need to </w:t>
      </w:r>
      <w:r w:rsidR="000E40DF">
        <w:rPr>
          <w:sz w:val="28"/>
          <w:szCs w:val="28"/>
          <w:lang w:val="en-US"/>
        </w:rPr>
        <w:t xml:space="preserve">be </w:t>
      </w:r>
      <w:r w:rsidR="000E40DF" w:rsidRPr="000F2101">
        <w:rPr>
          <w:sz w:val="28"/>
          <w:szCs w:val="28"/>
          <w:lang w:val="en-US"/>
        </w:rPr>
        <w:t>measure</w:t>
      </w:r>
      <w:r w:rsidR="000E40DF">
        <w:rPr>
          <w:sz w:val="28"/>
          <w:szCs w:val="28"/>
          <w:lang w:val="en-US"/>
        </w:rPr>
        <w:t>d in all</w:t>
      </w:r>
      <w:r w:rsidR="000E40DF" w:rsidRPr="000F2101">
        <w:rPr>
          <w:sz w:val="28"/>
          <w:szCs w:val="28"/>
          <w:lang w:val="en-US"/>
        </w:rPr>
        <w:t xml:space="preserve"> patients</w:t>
      </w:r>
      <w:r w:rsidRPr="000F2101">
        <w:rPr>
          <w:sz w:val="28"/>
          <w:szCs w:val="28"/>
          <w:lang w:val="en-US"/>
        </w:rPr>
        <w:t xml:space="preserve">. Using only body mass index leads to </w:t>
      </w:r>
      <w:proofErr w:type="spellStart"/>
      <w:r w:rsidRPr="000F2101">
        <w:rPr>
          <w:sz w:val="28"/>
          <w:szCs w:val="28"/>
          <w:lang w:val="en-US"/>
        </w:rPr>
        <w:t>hypodiagnosis</w:t>
      </w:r>
      <w:proofErr w:type="spellEnd"/>
      <w:r w:rsidRPr="000F2101">
        <w:rPr>
          <w:sz w:val="28"/>
          <w:szCs w:val="28"/>
          <w:lang w:val="en-US"/>
        </w:rPr>
        <w:t xml:space="preserve"> of malnutrition in patients with </w:t>
      </w:r>
      <w:r w:rsidR="000E40DF">
        <w:rPr>
          <w:sz w:val="28"/>
          <w:szCs w:val="28"/>
          <w:lang w:val="en-US"/>
        </w:rPr>
        <w:t>CP</w:t>
      </w:r>
      <w:r w:rsidRPr="000F2101">
        <w:rPr>
          <w:sz w:val="28"/>
          <w:szCs w:val="28"/>
          <w:lang w:val="en-US"/>
        </w:rPr>
        <w:t>.</w:t>
      </w:r>
    </w:p>
    <w:p w:rsidR="007D1BC6" w:rsidRPr="000F2101" w:rsidRDefault="007D1BC6" w:rsidP="0099718D">
      <w:pPr>
        <w:spacing w:after="0" w:line="360" w:lineRule="auto"/>
        <w:ind w:firstLine="709"/>
        <w:jc w:val="both"/>
        <w:rPr>
          <w:sz w:val="28"/>
          <w:szCs w:val="28"/>
          <w:lang w:val="en-US"/>
        </w:rPr>
      </w:pPr>
    </w:p>
    <w:sectPr w:rsidR="007D1BC6" w:rsidRPr="000F2101" w:rsidSect="00C75F2D">
      <w:headerReference w:type="even" r:id="rId8"/>
      <w:pgSz w:w="11906" w:h="16838" w:code="9"/>
      <w:pgMar w:top="1134" w:right="1134" w:bottom="1134" w:left="1134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6595" w:rsidRDefault="00E36595">
      <w:pPr>
        <w:spacing w:after="0" w:line="240" w:lineRule="auto"/>
      </w:pPr>
      <w:r>
        <w:separator/>
      </w:r>
    </w:p>
  </w:endnote>
  <w:endnote w:type="continuationSeparator" w:id="0">
    <w:p w:rsidR="00E36595" w:rsidRDefault="00E36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6595" w:rsidRDefault="00E36595">
      <w:pPr>
        <w:spacing w:after="0" w:line="240" w:lineRule="auto"/>
      </w:pPr>
      <w:r>
        <w:separator/>
      </w:r>
    </w:p>
  </w:footnote>
  <w:footnote w:type="continuationSeparator" w:id="0">
    <w:p w:rsidR="00E36595" w:rsidRDefault="00E36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5F2D" w:rsidRDefault="00C75F2D" w:rsidP="00C75F2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75F2D" w:rsidRDefault="00C75F2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9486E"/>
    <w:multiLevelType w:val="hybridMultilevel"/>
    <w:tmpl w:val="CC24F9C0"/>
    <w:lvl w:ilvl="0" w:tplc="4C0CDCEA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73951"/>
    <w:multiLevelType w:val="hybridMultilevel"/>
    <w:tmpl w:val="5372C89C"/>
    <w:lvl w:ilvl="0" w:tplc="422A9BF4">
      <w:start w:val="1"/>
      <w:numFmt w:val="decimal"/>
      <w:lvlText w:val="%1.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21069B"/>
    <w:multiLevelType w:val="multilevel"/>
    <w:tmpl w:val="B7AE0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903A8C"/>
    <w:multiLevelType w:val="hybridMultilevel"/>
    <w:tmpl w:val="7DB063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726262"/>
    <w:multiLevelType w:val="hybridMultilevel"/>
    <w:tmpl w:val="11BA85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FB67079"/>
    <w:multiLevelType w:val="hybridMultilevel"/>
    <w:tmpl w:val="92D44D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E112C8"/>
    <w:multiLevelType w:val="hybridMultilevel"/>
    <w:tmpl w:val="3320A3D4"/>
    <w:lvl w:ilvl="0" w:tplc="7FF669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4E42C8"/>
    <w:multiLevelType w:val="hybridMultilevel"/>
    <w:tmpl w:val="628C01B2"/>
    <w:lvl w:ilvl="0" w:tplc="4C0CDCEA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29743B"/>
    <w:multiLevelType w:val="hybridMultilevel"/>
    <w:tmpl w:val="AB101CCC"/>
    <w:lvl w:ilvl="0" w:tplc="422A9BF4">
      <w:start w:val="1"/>
      <w:numFmt w:val="decimal"/>
      <w:lvlText w:val="%1."/>
      <w:lvlJc w:val="left"/>
      <w:pPr>
        <w:ind w:left="1416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9" w15:restartNumberingAfterBreak="0">
    <w:nsid w:val="64EE5923"/>
    <w:multiLevelType w:val="hybridMultilevel"/>
    <w:tmpl w:val="AFF83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3C43E7"/>
    <w:multiLevelType w:val="hybridMultilevel"/>
    <w:tmpl w:val="C54210C0"/>
    <w:lvl w:ilvl="0" w:tplc="48AC63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74EE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AB978AC"/>
    <w:multiLevelType w:val="multilevel"/>
    <w:tmpl w:val="17CA11A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7BF371A7"/>
    <w:multiLevelType w:val="multilevel"/>
    <w:tmpl w:val="C074CE0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851"/>
        </w:tabs>
        <w:ind w:left="851" w:hanging="426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12"/>
  </w:num>
  <w:num w:numId="6">
    <w:abstractNumId w:val="10"/>
  </w:num>
  <w:num w:numId="7">
    <w:abstractNumId w:val="11"/>
  </w:num>
  <w:num w:numId="8">
    <w:abstractNumId w:val="0"/>
  </w:num>
  <w:num w:numId="9">
    <w:abstractNumId w:val="7"/>
  </w:num>
  <w:num w:numId="10">
    <w:abstractNumId w:val="4"/>
  </w:num>
  <w:num w:numId="11">
    <w:abstractNumId w:val="1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EAA"/>
    <w:rsid w:val="00002711"/>
    <w:rsid w:val="0000277C"/>
    <w:rsid w:val="00002CEB"/>
    <w:rsid w:val="0000536C"/>
    <w:rsid w:val="00007F9C"/>
    <w:rsid w:val="00011416"/>
    <w:rsid w:val="00012129"/>
    <w:rsid w:val="0001215F"/>
    <w:rsid w:val="00012A87"/>
    <w:rsid w:val="00013F31"/>
    <w:rsid w:val="0001457A"/>
    <w:rsid w:val="00016424"/>
    <w:rsid w:val="0001721E"/>
    <w:rsid w:val="00020796"/>
    <w:rsid w:val="00021B57"/>
    <w:rsid w:val="000225DF"/>
    <w:rsid w:val="000226F3"/>
    <w:rsid w:val="00024761"/>
    <w:rsid w:val="0002598E"/>
    <w:rsid w:val="00030541"/>
    <w:rsid w:val="0003139F"/>
    <w:rsid w:val="0003299B"/>
    <w:rsid w:val="00032F84"/>
    <w:rsid w:val="0003653F"/>
    <w:rsid w:val="00036A30"/>
    <w:rsid w:val="00036BDD"/>
    <w:rsid w:val="00037B45"/>
    <w:rsid w:val="00037FFE"/>
    <w:rsid w:val="00041FBA"/>
    <w:rsid w:val="00042DE6"/>
    <w:rsid w:val="000445C5"/>
    <w:rsid w:val="00045179"/>
    <w:rsid w:val="0004526E"/>
    <w:rsid w:val="000465C0"/>
    <w:rsid w:val="000467E6"/>
    <w:rsid w:val="00047C9E"/>
    <w:rsid w:val="00050CA7"/>
    <w:rsid w:val="00051AB9"/>
    <w:rsid w:val="00051C6C"/>
    <w:rsid w:val="00052A66"/>
    <w:rsid w:val="000561FD"/>
    <w:rsid w:val="00057C18"/>
    <w:rsid w:val="000600A8"/>
    <w:rsid w:val="000612C6"/>
    <w:rsid w:val="00061D06"/>
    <w:rsid w:val="00064AF7"/>
    <w:rsid w:val="00065875"/>
    <w:rsid w:val="00065D3E"/>
    <w:rsid w:val="0006633F"/>
    <w:rsid w:val="0006650A"/>
    <w:rsid w:val="00066F1C"/>
    <w:rsid w:val="000675ED"/>
    <w:rsid w:val="00067C35"/>
    <w:rsid w:val="000702AC"/>
    <w:rsid w:val="00070EC3"/>
    <w:rsid w:val="00071A9F"/>
    <w:rsid w:val="00072F0E"/>
    <w:rsid w:val="00073380"/>
    <w:rsid w:val="00073FB7"/>
    <w:rsid w:val="00074483"/>
    <w:rsid w:val="00075A88"/>
    <w:rsid w:val="00075E09"/>
    <w:rsid w:val="00081D62"/>
    <w:rsid w:val="000828A5"/>
    <w:rsid w:val="0008298B"/>
    <w:rsid w:val="00084750"/>
    <w:rsid w:val="00084989"/>
    <w:rsid w:val="00084DC6"/>
    <w:rsid w:val="000856E7"/>
    <w:rsid w:val="00085847"/>
    <w:rsid w:val="000860BB"/>
    <w:rsid w:val="00086227"/>
    <w:rsid w:val="000865A5"/>
    <w:rsid w:val="000872B2"/>
    <w:rsid w:val="00094896"/>
    <w:rsid w:val="00094A35"/>
    <w:rsid w:val="00094E21"/>
    <w:rsid w:val="00094FE7"/>
    <w:rsid w:val="00095121"/>
    <w:rsid w:val="000956F5"/>
    <w:rsid w:val="00096689"/>
    <w:rsid w:val="00097AEA"/>
    <w:rsid w:val="000A55C0"/>
    <w:rsid w:val="000A56C3"/>
    <w:rsid w:val="000A5CDE"/>
    <w:rsid w:val="000A7C9D"/>
    <w:rsid w:val="000B0FD7"/>
    <w:rsid w:val="000B1652"/>
    <w:rsid w:val="000B1A63"/>
    <w:rsid w:val="000B2FB2"/>
    <w:rsid w:val="000B400F"/>
    <w:rsid w:val="000B7CED"/>
    <w:rsid w:val="000C26C4"/>
    <w:rsid w:val="000C3424"/>
    <w:rsid w:val="000C696B"/>
    <w:rsid w:val="000D4D98"/>
    <w:rsid w:val="000D506A"/>
    <w:rsid w:val="000D602C"/>
    <w:rsid w:val="000D6B66"/>
    <w:rsid w:val="000E0324"/>
    <w:rsid w:val="000E20E7"/>
    <w:rsid w:val="000E25EC"/>
    <w:rsid w:val="000E2E7A"/>
    <w:rsid w:val="000E31FD"/>
    <w:rsid w:val="000E40DF"/>
    <w:rsid w:val="000E5858"/>
    <w:rsid w:val="000E586A"/>
    <w:rsid w:val="000E59E2"/>
    <w:rsid w:val="000E5B9E"/>
    <w:rsid w:val="000F09D2"/>
    <w:rsid w:val="000F10E4"/>
    <w:rsid w:val="000F1256"/>
    <w:rsid w:val="000F2101"/>
    <w:rsid w:val="000F2F47"/>
    <w:rsid w:val="000F3825"/>
    <w:rsid w:val="000F59D1"/>
    <w:rsid w:val="000F686E"/>
    <w:rsid w:val="000F6CEC"/>
    <w:rsid w:val="000F7D84"/>
    <w:rsid w:val="000F7F9C"/>
    <w:rsid w:val="0010093D"/>
    <w:rsid w:val="00100F26"/>
    <w:rsid w:val="00102CFE"/>
    <w:rsid w:val="00102E0D"/>
    <w:rsid w:val="001035EB"/>
    <w:rsid w:val="0010378D"/>
    <w:rsid w:val="00105B7E"/>
    <w:rsid w:val="001067F8"/>
    <w:rsid w:val="001109B4"/>
    <w:rsid w:val="00112CB1"/>
    <w:rsid w:val="001135C1"/>
    <w:rsid w:val="00114565"/>
    <w:rsid w:val="00115B6C"/>
    <w:rsid w:val="00116ED1"/>
    <w:rsid w:val="0012099D"/>
    <w:rsid w:val="00122084"/>
    <w:rsid w:val="00122320"/>
    <w:rsid w:val="00122CB0"/>
    <w:rsid w:val="00122D55"/>
    <w:rsid w:val="00122E30"/>
    <w:rsid w:val="0012364D"/>
    <w:rsid w:val="00123D23"/>
    <w:rsid w:val="001245CF"/>
    <w:rsid w:val="00124912"/>
    <w:rsid w:val="00126999"/>
    <w:rsid w:val="001305DC"/>
    <w:rsid w:val="00131DA8"/>
    <w:rsid w:val="00134F7A"/>
    <w:rsid w:val="00136C78"/>
    <w:rsid w:val="00143517"/>
    <w:rsid w:val="001435AD"/>
    <w:rsid w:val="00145123"/>
    <w:rsid w:val="00150F9C"/>
    <w:rsid w:val="00154D28"/>
    <w:rsid w:val="00155299"/>
    <w:rsid w:val="001561FA"/>
    <w:rsid w:val="00160051"/>
    <w:rsid w:val="0016157E"/>
    <w:rsid w:val="00161821"/>
    <w:rsid w:val="00161E10"/>
    <w:rsid w:val="001621A7"/>
    <w:rsid w:val="001621E3"/>
    <w:rsid w:val="00162794"/>
    <w:rsid w:val="00162800"/>
    <w:rsid w:val="001634D2"/>
    <w:rsid w:val="001642DC"/>
    <w:rsid w:val="001643B2"/>
    <w:rsid w:val="00166698"/>
    <w:rsid w:val="00167F5C"/>
    <w:rsid w:val="00170807"/>
    <w:rsid w:val="0017124E"/>
    <w:rsid w:val="001715DF"/>
    <w:rsid w:val="00171B3F"/>
    <w:rsid w:val="00176ADC"/>
    <w:rsid w:val="00180C1C"/>
    <w:rsid w:val="00180D1F"/>
    <w:rsid w:val="0018171C"/>
    <w:rsid w:val="00181770"/>
    <w:rsid w:val="00187214"/>
    <w:rsid w:val="00191F92"/>
    <w:rsid w:val="0019350C"/>
    <w:rsid w:val="00194336"/>
    <w:rsid w:val="00196455"/>
    <w:rsid w:val="001A0065"/>
    <w:rsid w:val="001A0A34"/>
    <w:rsid w:val="001A14FC"/>
    <w:rsid w:val="001A3B74"/>
    <w:rsid w:val="001A3FDC"/>
    <w:rsid w:val="001A5F9B"/>
    <w:rsid w:val="001A634D"/>
    <w:rsid w:val="001A65E6"/>
    <w:rsid w:val="001A78E2"/>
    <w:rsid w:val="001B32E3"/>
    <w:rsid w:val="001B52D5"/>
    <w:rsid w:val="001B53F3"/>
    <w:rsid w:val="001B5841"/>
    <w:rsid w:val="001B67A5"/>
    <w:rsid w:val="001B69FA"/>
    <w:rsid w:val="001B7C40"/>
    <w:rsid w:val="001C098F"/>
    <w:rsid w:val="001C117F"/>
    <w:rsid w:val="001C17A2"/>
    <w:rsid w:val="001C2B45"/>
    <w:rsid w:val="001C516C"/>
    <w:rsid w:val="001C6D4A"/>
    <w:rsid w:val="001C793E"/>
    <w:rsid w:val="001C7AE7"/>
    <w:rsid w:val="001C7D89"/>
    <w:rsid w:val="001C7FCB"/>
    <w:rsid w:val="001D1FAD"/>
    <w:rsid w:val="001D2943"/>
    <w:rsid w:val="001D3A78"/>
    <w:rsid w:val="001D45FE"/>
    <w:rsid w:val="001D505A"/>
    <w:rsid w:val="001D58C0"/>
    <w:rsid w:val="001D78EB"/>
    <w:rsid w:val="001D7BB6"/>
    <w:rsid w:val="001E00CA"/>
    <w:rsid w:val="001E05EB"/>
    <w:rsid w:val="001E30D5"/>
    <w:rsid w:val="001E36D7"/>
    <w:rsid w:val="001E56C6"/>
    <w:rsid w:val="001E7EF8"/>
    <w:rsid w:val="001F1009"/>
    <w:rsid w:val="001F1CA7"/>
    <w:rsid w:val="001F29E2"/>
    <w:rsid w:val="001F434C"/>
    <w:rsid w:val="001F517C"/>
    <w:rsid w:val="001F557A"/>
    <w:rsid w:val="001F7547"/>
    <w:rsid w:val="001F7E30"/>
    <w:rsid w:val="00201686"/>
    <w:rsid w:val="00202B33"/>
    <w:rsid w:val="00202EC9"/>
    <w:rsid w:val="00203654"/>
    <w:rsid w:val="00203A13"/>
    <w:rsid w:val="00206871"/>
    <w:rsid w:val="002075CC"/>
    <w:rsid w:val="0021200B"/>
    <w:rsid w:val="002121BE"/>
    <w:rsid w:val="00212E52"/>
    <w:rsid w:val="002138A1"/>
    <w:rsid w:val="002153D6"/>
    <w:rsid w:val="00216E1C"/>
    <w:rsid w:val="0021739E"/>
    <w:rsid w:val="00217F30"/>
    <w:rsid w:val="00221773"/>
    <w:rsid w:val="002277C6"/>
    <w:rsid w:val="00230A54"/>
    <w:rsid w:val="00232FBD"/>
    <w:rsid w:val="00233641"/>
    <w:rsid w:val="00233755"/>
    <w:rsid w:val="00233CFB"/>
    <w:rsid w:val="00234368"/>
    <w:rsid w:val="00234FE6"/>
    <w:rsid w:val="002352D2"/>
    <w:rsid w:val="00235B31"/>
    <w:rsid w:val="0023646A"/>
    <w:rsid w:val="002372FD"/>
    <w:rsid w:val="00237E0B"/>
    <w:rsid w:val="00237E46"/>
    <w:rsid w:val="00240487"/>
    <w:rsid w:val="002407A2"/>
    <w:rsid w:val="00240980"/>
    <w:rsid w:val="00241796"/>
    <w:rsid w:val="00244765"/>
    <w:rsid w:val="00245116"/>
    <w:rsid w:val="0025044B"/>
    <w:rsid w:val="00250ECD"/>
    <w:rsid w:val="00251287"/>
    <w:rsid w:val="0025162D"/>
    <w:rsid w:val="0025200C"/>
    <w:rsid w:val="00252CC1"/>
    <w:rsid w:val="00252DFF"/>
    <w:rsid w:val="00254B44"/>
    <w:rsid w:val="0025561D"/>
    <w:rsid w:val="00255A51"/>
    <w:rsid w:val="00255F41"/>
    <w:rsid w:val="0026067D"/>
    <w:rsid w:val="00263ABB"/>
    <w:rsid w:val="002667E0"/>
    <w:rsid w:val="00267909"/>
    <w:rsid w:val="002716F5"/>
    <w:rsid w:val="00271951"/>
    <w:rsid w:val="0027249C"/>
    <w:rsid w:val="002726D5"/>
    <w:rsid w:val="0027327E"/>
    <w:rsid w:val="002737CB"/>
    <w:rsid w:val="00273D2A"/>
    <w:rsid w:val="0027437A"/>
    <w:rsid w:val="002744F6"/>
    <w:rsid w:val="00274D4F"/>
    <w:rsid w:val="002767AA"/>
    <w:rsid w:val="00276BED"/>
    <w:rsid w:val="002800F3"/>
    <w:rsid w:val="00281FBE"/>
    <w:rsid w:val="002825E5"/>
    <w:rsid w:val="00282F8D"/>
    <w:rsid w:val="0028377D"/>
    <w:rsid w:val="002846AC"/>
    <w:rsid w:val="00284A3A"/>
    <w:rsid w:val="002855FC"/>
    <w:rsid w:val="00285785"/>
    <w:rsid w:val="00285B00"/>
    <w:rsid w:val="00285DE6"/>
    <w:rsid w:val="00286B8A"/>
    <w:rsid w:val="00287B9B"/>
    <w:rsid w:val="00287C28"/>
    <w:rsid w:val="00293F81"/>
    <w:rsid w:val="00295AAB"/>
    <w:rsid w:val="00296513"/>
    <w:rsid w:val="00296916"/>
    <w:rsid w:val="00297632"/>
    <w:rsid w:val="00297B47"/>
    <w:rsid w:val="002A0288"/>
    <w:rsid w:val="002A06AC"/>
    <w:rsid w:val="002A1211"/>
    <w:rsid w:val="002A14E5"/>
    <w:rsid w:val="002A20F4"/>
    <w:rsid w:val="002A22DC"/>
    <w:rsid w:val="002A2320"/>
    <w:rsid w:val="002A37D7"/>
    <w:rsid w:val="002A3A12"/>
    <w:rsid w:val="002A3F96"/>
    <w:rsid w:val="002A486F"/>
    <w:rsid w:val="002A6143"/>
    <w:rsid w:val="002B447E"/>
    <w:rsid w:val="002B5334"/>
    <w:rsid w:val="002B5B60"/>
    <w:rsid w:val="002B7D71"/>
    <w:rsid w:val="002C1259"/>
    <w:rsid w:val="002C26E7"/>
    <w:rsid w:val="002C2BF1"/>
    <w:rsid w:val="002C30B4"/>
    <w:rsid w:val="002C341A"/>
    <w:rsid w:val="002C4137"/>
    <w:rsid w:val="002C5DF2"/>
    <w:rsid w:val="002C60ED"/>
    <w:rsid w:val="002C7142"/>
    <w:rsid w:val="002D1CBE"/>
    <w:rsid w:val="002D54BA"/>
    <w:rsid w:val="002D70F7"/>
    <w:rsid w:val="002D7F17"/>
    <w:rsid w:val="002E0F1D"/>
    <w:rsid w:val="002E355D"/>
    <w:rsid w:val="002E7396"/>
    <w:rsid w:val="002E75CD"/>
    <w:rsid w:val="002E7A87"/>
    <w:rsid w:val="002E7A9C"/>
    <w:rsid w:val="002F05B3"/>
    <w:rsid w:val="002F06DB"/>
    <w:rsid w:val="002F2D37"/>
    <w:rsid w:val="002F41C9"/>
    <w:rsid w:val="002F57D5"/>
    <w:rsid w:val="003012F9"/>
    <w:rsid w:val="0030130C"/>
    <w:rsid w:val="0030148E"/>
    <w:rsid w:val="00301B7A"/>
    <w:rsid w:val="003024A0"/>
    <w:rsid w:val="00310258"/>
    <w:rsid w:val="00310CEB"/>
    <w:rsid w:val="00311EDD"/>
    <w:rsid w:val="003130E1"/>
    <w:rsid w:val="003131B9"/>
    <w:rsid w:val="00314765"/>
    <w:rsid w:val="00314C13"/>
    <w:rsid w:val="0031597A"/>
    <w:rsid w:val="00315C26"/>
    <w:rsid w:val="00315E8D"/>
    <w:rsid w:val="00316DC7"/>
    <w:rsid w:val="00320B17"/>
    <w:rsid w:val="00320B7E"/>
    <w:rsid w:val="00320F10"/>
    <w:rsid w:val="0032395C"/>
    <w:rsid w:val="003240DF"/>
    <w:rsid w:val="003245E8"/>
    <w:rsid w:val="00324869"/>
    <w:rsid w:val="00325681"/>
    <w:rsid w:val="00327863"/>
    <w:rsid w:val="003313F2"/>
    <w:rsid w:val="0033177C"/>
    <w:rsid w:val="00331BE1"/>
    <w:rsid w:val="00334667"/>
    <w:rsid w:val="0033540C"/>
    <w:rsid w:val="00335804"/>
    <w:rsid w:val="00336232"/>
    <w:rsid w:val="003371CF"/>
    <w:rsid w:val="00337AD1"/>
    <w:rsid w:val="003406D8"/>
    <w:rsid w:val="00340CB7"/>
    <w:rsid w:val="00340DDB"/>
    <w:rsid w:val="003417F3"/>
    <w:rsid w:val="00342269"/>
    <w:rsid w:val="00342888"/>
    <w:rsid w:val="00346091"/>
    <w:rsid w:val="00346C00"/>
    <w:rsid w:val="00346E85"/>
    <w:rsid w:val="0035096D"/>
    <w:rsid w:val="00350F90"/>
    <w:rsid w:val="00351F57"/>
    <w:rsid w:val="00353920"/>
    <w:rsid w:val="0035607A"/>
    <w:rsid w:val="00356659"/>
    <w:rsid w:val="00357108"/>
    <w:rsid w:val="003576AD"/>
    <w:rsid w:val="003604DC"/>
    <w:rsid w:val="00361B24"/>
    <w:rsid w:val="00362E0E"/>
    <w:rsid w:val="00363179"/>
    <w:rsid w:val="0036319C"/>
    <w:rsid w:val="00363ADA"/>
    <w:rsid w:val="003661BF"/>
    <w:rsid w:val="00367AD3"/>
    <w:rsid w:val="00370C9A"/>
    <w:rsid w:val="00371306"/>
    <w:rsid w:val="00372EFC"/>
    <w:rsid w:val="003758D9"/>
    <w:rsid w:val="00375A5F"/>
    <w:rsid w:val="00376019"/>
    <w:rsid w:val="0037622B"/>
    <w:rsid w:val="00376A89"/>
    <w:rsid w:val="00376CCC"/>
    <w:rsid w:val="00377CB2"/>
    <w:rsid w:val="00380AEA"/>
    <w:rsid w:val="0038110B"/>
    <w:rsid w:val="00381542"/>
    <w:rsid w:val="00382047"/>
    <w:rsid w:val="00382989"/>
    <w:rsid w:val="00382C43"/>
    <w:rsid w:val="00382D9E"/>
    <w:rsid w:val="00382E46"/>
    <w:rsid w:val="00382F07"/>
    <w:rsid w:val="00384333"/>
    <w:rsid w:val="00385B1F"/>
    <w:rsid w:val="0038657D"/>
    <w:rsid w:val="003872AF"/>
    <w:rsid w:val="003905D4"/>
    <w:rsid w:val="00392062"/>
    <w:rsid w:val="00392994"/>
    <w:rsid w:val="00394602"/>
    <w:rsid w:val="00395FF2"/>
    <w:rsid w:val="00396BED"/>
    <w:rsid w:val="00396D4B"/>
    <w:rsid w:val="003970C5"/>
    <w:rsid w:val="003973A8"/>
    <w:rsid w:val="00397BD5"/>
    <w:rsid w:val="003A1604"/>
    <w:rsid w:val="003A1BBD"/>
    <w:rsid w:val="003A353B"/>
    <w:rsid w:val="003A52D2"/>
    <w:rsid w:val="003A602D"/>
    <w:rsid w:val="003A6074"/>
    <w:rsid w:val="003A7EB8"/>
    <w:rsid w:val="003B034E"/>
    <w:rsid w:val="003B1181"/>
    <w:rsid w:val="003B1C91"/>
    <w:rsid w:val="003B5A18"/>
    <w:rsid w:val="003B764E"/>
    <w:rsid w:val="003C1CF7"/>
    <w:rsid w:val="003C3B60"/>
    <w:rsid w:val="003C3EBF"/>
    <w:rsid w:val="003C4047"/>
    <w:rsid w:val="003C48E1"/>
    <w:rsid w:val="003C6C99"/>
    <w:rsid w:val="003D0855"/>
    <w:rsid w:val="003D1475"/>
    <w:rsid w:val="003D1994"/>
    <w:rsid w:val="003D2419"/>
    <w:rsid w:val="003D2605"/>
    <w:rsid w:val="003D2D4F"/>
    <w:rsid w:val="003D2ED1"/>
    <w:rsid w:val="003D5CB7"/>
    <w:rsid w:val="003D64B4"/>
    <w:rsid w:val="003D73D9"/>
    <w:rsid w:val="003D7634"/>
    <w:rsid w:val="003E1661"/>
    <w:rsid w:val="003E22FA"/>
    <w:rsid w:val="003E2E13"/>
    <w:rsid w:val="003E460F"/>
    <w:rsid w:val="003E467F"/>
    <w:rsid w:val="003E4E91"/>
    <w:rsid w:val="003E5C1C"/>
    <w:rsid w:val="003E635C"/>
    <w:rsid w:val="003E6D5E"/>
    <w:rsid w:val="003E76FC"/>
    <w:rsid w:val="003F05E4"/>
    <w:rsid w:val="003F0FA4"/>
    <w:rsid w:val="003F1DB5"/>
    <w:rsid w:val="003F241B"/>
    <w:rsid w:val="003F3226"/>
    <w:rsid w:val="003F39A8"/>
    <w:rsid w:val="003F5070"/>
    <w:rsid w:val="003F6164"/>
    <w:rsid w:val="003F65B5"/>
    <w:rsid w:val="003F768E"/>
    <w:rsid w:val="003F7FE8"/>
    <w:rsid w:val="00400A80"/>
    <w:rsid w:val="00402443"/>
    <w:rsid w:val="00403642"/>
    <w:rsid w:val="00403DF7"/>
    <w:rsid w:val="004049F8"/>
    <w:rsid w:val="00407C2C"/>
    <w:rsid w:val="00412CE0"/>
    <w:rsid w:val="00413688"/>
    <w:rsid w:val="00413CF5"/>
    <w:rsid w:val="004144EF"/>
    <w:rsid w:val="00415636"/>
    <w:rsid w:val="004178CE"/>
    <w:rsid w:val="00420583"/>
    <w:rsid w:val="004209CF"/>
    <w:rsid w:val="00422789"/>
    <w:rsid w:val="004232CC"/>
    <w:rsid w:val="00423764"/>
    <w:rsid w:val="00426817"/>
    <w:rsid w:val="0042712B"/>
    <w:rsid w:val="0043038A"/>
    <w:rsid w:val="00430CBC"/>
    <w:rsid w:val="00433680"/>
    <w:rsid w:val="00434BC5"/>
    <w:rsid w:val="0043705F"/>
    <w:rsid w:val="004376E6"/>
    <w:rsid w:val="004434CF"/>
    <w:rsid w:val="00443C5F"/>
    <w:rsid w:val="0044490C"/>
    <w:rsid w:val="0044509C"/>
    <w:rsid w:val="00447C24"/>
    <w:rsid w:val="00447DA2"/>
    <w:rsid w:val="00447F2D"/>
    <w:rsid w:val="00451283"/>
    <w:rsid w:val="00451D66"/>
    <w:rsid w:val="004546AF"/>
    <w:rsid w:val="00456492"/>
    <w:rsid w:val="004572C3"/>
    <w:rsid w:val="004572E7"/>
    <w:rsid w:val="00457782"/>
    <w:rsid w:val="0045797C"/>
    <w:rsid w:val="00464E8E"/>
    <w:rsid w:val="00465EC6"/>
    <w:rsid w:val="00466206"/>
    <w:rsid w:val="00466DDB"/>
    <w:rsid w:val="004674BA"/>
    <w:rsid w:val="004678B1"/>
    <w:rsid w:val="00470A10"/>
    <w:rsid w:val="00470FC3"/>
    <w:rsid w:val="0047462E"/>
    <w:rsid w:val="00476E3F"/>
    <w:rsid w:val="00477605"/>
    <w:rsid w:val="004778EE"/>
    <w:rsid w:val="00477C79"/>
    <w:rsid w:val="00477D3A"/>
    <w:rsid w:val="00480866"/>
    <w:rsid w:val="00482F0F"/>
    <w:rsid w:val="00485A63"/>
    <w:rsid w:val="00487C99"/>
    <w:rsid w:val="00492AF2"/>
    <w:rsid w:val="00493335"/>
    <w:rsid w:val="00495CED"/>
    <w:rsid w:val="0049649F"/>
    <w:rsid w:val="00496E90"/>
    <w:rsid w:val="004A165D"/>
    <w:rsid w:val="004A1BB7"/>
    <w:rsid w:val="004A1E58"/>
    <w:rsid w:val="004A3070"/>
    <w:rsid w:val="004A32B6"/>
    <w:rsid w:val="004A4E79"/>
    <w:rsid w:val="004A5132"/>
    <w:rsid w:val="004A5271"/>
    <w:rsid w:val="004A72F5"/>
    <w:rsid w:val="004A7BF4"/>
    <w:rsid w:val="004B09A6"/>
    <w:rsid w:val="004B0DB3"/>
    <w:rsid w:val="004B105F"/>
    <w:rsid w:val="004B2568"/>
    <w:rsid w:val="004B2A71"/>
    <w:rsid w:val="004B4766"/>
    <w:rsid w:val="004B5B6A"/>
    <w:rsid w:val="004B7EAD"/>
    <w:rsid w:val="004C084C"/>
    <w:rsid w:val="004C0B6C"/>
    <w:rsid w:val="004C1B9E"/>
    <w:rsid w:val="004C502A"/>
    <w:rsid w:val="004C508A"/>
    <w:rsid w:val="004C6E6A"/>
    <w:rsid w:val="004D12FC"/>
    <w:rsid w:val="004D7B3D"/>
    <w:rsid w:val="004E39E7"/>
    <w:rsid w:val="004F2CEC"/>
    <w:rsid w:val="004F36C4"/>
    <w:rsid w:val="004F3CA8"/>
    <w:rsid w:val="004F4180"/>
    <w:rsid w:val="004F430D"/>
    <w:rsid w:val="004F5B1F"/>
    <w:rsid w:val="004F5B91"/>
    <w:rsid w:val="004F5F92"/>
    <w:rsid w:val="004F63B7"/>
    <w:rsid w:val="004F6994"/>
    <w:rsid w:val="00501717"/>
    <w:rsid w:val="00501AE0"/>
    <w:rsid w:val="00505DAF"/>
    <w:rsid w:val="00507185"/>
    <w:rsid w:val="00507CE6"/>
    <w:rsid w:val="00510B22"/>
    <w:rsid w:val="00511B9A"/>
    <w:rsid w:val="0051207E"/>
    <w:rsid w:val="005125AE"/>
    <w:rsid w:val="00512632"/>
    <w:rsid w:val="00514C08"/>
    <w:rsid w:val="005154CA"/>
    <w:rsid w:val="005155E1"/>
    <w:rsid w:val="00515B16"/>
    <w:rsid w:val="005168C1"/>
    <w:rsid w:val="00520B9D"/>
    <w:rsid w:val="005221C9"/>
    <w:rsid w:val="00523866"/>
    <w:rsid w:val="00523A5C"/>
    <w:rsid w:val="0053003F"/>
    <w:rsid w:val="0053010C"/>
    <w:rsid w:val="005304E8"/>
    <w:rsid w:val="005315D3"/>
    <w:rsid w:val="00531E83"/>
    <w:rsid w:val="00532B63"/>
    <w:rsid w:val="00532E42"/>
    <w:rsid w:val="00534B2B"/>
    <w:rsid w:val="005356F2"/>
    <w:rsid w:val="00535CA2"/>
    <w:rsid w:val="00537CE1"/>
    <w:rsid w:val="00537FBD"/>
    <w:rsid w:val="005400AE"/>
    <w:rsid w:val="00544D76"/>
    <w:rsid w:val="00544F42"/>
    <w:rsid w:val="00546899"/>
    <w:rsid w:val="00546D91"/>
    <w:rsid w:val="00547038"/>
    <w:rsid w:val="005502F3"/>
    <w:rsid w:val="0055299C"/>
    <w:rsid w:val="00554C58"/>
    <w:rsid w:val="00555BA2"/>
    <w:rsid w:val="00557054"/>
    <w:rsid w:val="00557496"/>
    <w:rsid w:val="00557ACB"/>
    <w:rsid w:val="005626CC"/>
    <w:rsid w:val="00565A09"/>
    <w:rsid w:val="00566105"/>
    <w:rsid w:val="005666D1"/>
    <w:rsid w:val="0057378F"/>
    <w:rsid w:val="00573DEF"/>
    <w:rsid w:val="00575767"/>
    <w:rsid w:val="005775CF"/>
    <w:rsid w:val="0057784D"/>
    <w:rsid w:val="00580836"/>
    <w:rsid w:val="00581256"/>
    <w:rsid w:val="00582F08"/>
    <w:rsid w:val="00585210"/>
    <w:rsid w:val="00585BD9"/>
    <w:rsid w:val="005867BE"/>
    <w:rsid w:val="005906BB"/>
    <w:rsid w:val="0059171C"/>
    <w:rsid w:val="00591806"/>
    <w:rsid w:val="00592597"/>
    <w:rsid w:val="00592987"/>
    <w:rsid w:val="00594FC4"/>
    <w:rsid w:val="00596A81"/>
    <w:rsid w:val="00597195"/>
    <w:rsid w:val="005A0454"/>
    <w:rsid w:val="005A0EBA"/>
    <w:rsid w:val="005A1B2C"/>
    <w:rsid w:val="005A375A"/>
    <w:rsid w:val="005A577B"/>
    <w:rsid w:val="005B01F5"/>
    <w:rsid w:val="005B2500"/>
    <w:rsid w:val="005B27EF"/>
    <w:rsid w:val="005B316E"/>
    <w:rsid w:val="005B336B"/>
    <w:rsid w:val="005B765F"/>
    <w:rsid w:val="005B7C2C"/>
    <w:rsid w:val="005B7D70"/>
    <w:rsid w:val="005C0C85"/>
    <w:rsid w:val="005C127C"/>
    <w:rsid w:val="005C167B"/>
    <w:rsid w:val="005C28D7"/>
    <w:rsid w:val="005C35FB"/>
    <w:rsid w:val="005C3B40"/>
    <w:rsid w:val="005C3FAD"/>
    <w:rsid w:val="005C3FF4"/>
    <w:rsid w:val="005C436B"/>
    <w:rsid w:val="005C56DC"/>
    <w:rsid w:val="005C672D"/>
    <w:rsid w:val="005C6CF7"/>
    <w:rsid w:val="005D226F"/>
    <w:rsid w:val="005D4D88"/>
    <w:rsid w:val="005D5742"/>
    <w:rsid w:val="005D575D"/>
    <w:rsid w:val="005D60BB"/>
    <w:rsid w:val="005D7AE1"/>
    <w:rsid w:val="005E1192"/>
    <w:rsid w:val="005E1B33"/>
    <w:rsid w:val="005E2A7C"/>
    <w:rsid w:val="005E3F62"/>
    <w:rsid w:val="005E54DB"/>
    <w:rsid w:val="005E5E92"/>
    <w:rsid w:val="005E611A"/>
    <w:rsid w:val="005E740B"/>
    <w:rsid w:val="005F1014"/>
    <w:rsid w:val="005F213B"/>
    <w:rsid w:val="005F5F77"/>
    <w:rsid w:val="005F5F8E"/>
    <w:rsid w:val="005F66BF"/>
    <w:rsid w:val="005F7282"/>
    <w:rsid w:val="005F74D1"/>
    <w:rsid w:val="00600DF1"/>
    <w:rsid w:val="006018CD"/>
    <w:rsid w:val="006021EF"/>
    <w:rsid w:val="0061089C"/>
    <w:rsid w:val="00611A5A"/>
    <w:rsid w:val="00611FEE"/>
    <w:rsid w:val="006136A0"/>
    <w:rsid w:val="00614CA4"/>
    <w:rsid w:val="00614CEF"/>
    <w:rsid w:val="00616176"/>
    <w:rsid w:val="006167FA"/>
    <w:rsid w:val="006173E8"/>
    <w:rsid w:val="00617B6E"/>
    <w:rsid w:val="006209D0"/>
    <w:rsid w:val="00620C98"/>
    <w:rsid w:val="006216DD"/>
    <w:rsid w:val="006220E7"/>
    <w:rsid w:val="00622617"/>
    <w:rsid w:val="00622A22"/>
    <w:rsid w:val="006266FC"/>
    <w:rsid w:val="00630C87"/>
    <w:rsid w:val="006310D4"/>
    <w:rsid w:val="00631B32"/>
    <w:rsid w:val="00634098"/>
    <w:rsid w:val="00634863"/>
    <w:rsid w:val="00635795"/>
    <w:rsid w:val="00635E45"/>
    <w:rsid w:val="00635EE4"/>
    <w:rsid w:val="00636FD0"/>
    <w:rsid w:val="00640311"/>
    <w:rsid w:val="00640D06"/>
    <w:rsid w:val="006411D9"/>
    <w:rsid w:val="00641E69"/>
    <w:rsid w:val="006443FA"/>
    <w:rsid w:val="00645536"/>
    <w:rsid w:val="00646ACB"/>
    <w:rsid w:val="00651EC5"/>
    <w:rsid w:val="00654CF2"/>
    <w:rsid w:val="006563F1"/>
    <w:rsid w:val="00656D2D"/>
    <w:rsid w:val="006602DD"/>
    <w:rsid w:val="006605E8"/>
    <w:rsid w:val="00660843"/>
    <w:rsid w:val="006619E1"/>
    <w:rsid w:val="006620E1"/>
    <w:rsid w:val="0066250F"/>
    <w:rsid w:val="00662A67"/>
    <w:rsid w:val="0066325F"/>
    <w:rsid w:val="006633D6"/>
    <w:rsid w:val="00663D1E"/>
    <w:rsid w:val="0066466E"/>
    <w:rsid w:val="0066484E"/>
    <w:rsid w:val="00664FDD"/>
    <w:rsid w:val="006650CE"/>
    <w:rsid w:val="00665538"/>
    <w:rsid w:val="00671A08"/>
    <w:rsid w:val="006737E2"/>
    <w:rsid w:val="00673928"/>
    <w:rsid w:val="00673FDE"/>
    <w:rsid w:val="0067470F"/>
    <w:rsid w:val="00674BD8"/>
    <w:rsid w:val="006752D8"/>
    <w:rsid w:val="00675BDE"/>
    <w:rsid w:val="00676541"/>
    <w:rsid w:val="00677147"/>
    <w:rsid w:val="006775CD"/>
    <w:rsid w:val="006778BA"/>
    <w:rsid w:val="00680365"/>
    <w:rsid w:val="0068319B"/>
    <w:rsid w:val="006833C0"/>
    <w:rsid w:val="006857D1"/>
    <w:rsid w:val="006859D2"/>
    <w:rsid w:val="006866A4"/>
    <w:rsid w:val="00686761"/>
    <w:rsid w:val="006874A3"/>
    <w:rsid w:val="00690728"/>
    <w:rsid w:val="0069228F"/>
    <w:rsid w:val="006922C2"/>
    <w:rsid w:val="00692F9C"/>
    <w:rsid w:val="00693686"/>
    <w:rsid w:val="00693886"/>
    <w:rsid w:val="00693A31"/>
    <w:rsid w:val="00694795"/>
    <w:rsid w:val="00694A72"/>
    <w:rsid w:val="00694B96"/>
    <w:rsid w:val="00695012"/>
    <w:rsid w:val="00696D6B"/>
    <w:rsid w:val="006A0132"/>
    <w:rsid w:val="006A01C0"/>
    <w:rsid w:val="006A0235"/>
    <w:rsid w:val="006A0F6C"/>
    <w:rsid w:val="006A20FA"/>
    <w:rsid w:val="006A3629"/>
    <w:rsid w:val="006A3A16"/>
    <w:rsid w:val="006A3BF3"/>
    <w:rsid w:val="006A41FE"/>
    <w:rsid w:val="006A68ED"/>
    <w:rsid w:val="006A7296"/>
    <w:rsid w:val="006A78C0"/>
    <w:rsid w:val="006B07C6"/>
    <w:rsid w:val="006B1669"/>
    <w:rsid w:val="006B22F5"/>
    <w:rsid w:val="006B34A2"/>
    <w:rsid w:val="006B5316"/>
    <w:rsid w:val="006B5F20"/>
    <w:rsid w:val="006B75FE"/>
    <w:rsid w:val="006B7DE9"/>
    <w:rsid w:val="006C234D"/>
    <w:rsid w:val="006C2D5F"/>
    <w:rsid w:val="006C4A37"/>
    <w:rsid w:val="006C6230"/>
    <w:rsid w:val="006C66BA"/>
    <w:rsid w:val="006C692D"/>
    <w:rsid w:val="006C77D2"/>
    <w:rsid w:val="006C790E"/>
    <w:rsid w:val="006D0FDA"/>
    <w:rsid w:val="006D1E97"/>
    <w:rsid w:val="006D51C3"/>
    <w:rsid w:val="006D5FC0"/>
    <w:rsid w:val="006E301F"/>
    <w:rsid w:val="006E3222"/>
    <w:rsid w:val="006E49C5"/>
    <w:rsid w:val="006E6164"/>
    <w:rsid w:val="006E6636"/>
    <w:rsid w:val="006E733B"/>
    <w:rsid w:val="006F1F9D"/>
    <w:rsid w:val="006F20F4"/>
    <w:rsid w:val="006F2714"/>
    <w:rsid w:val="006F29FC"/>
    <w:rsid w:val="006F47A4"/>
    <w:rsid w:val="006F5974"/>
    <w:rsid w:val="006F6520"/>
    <w:rsid w:val="006F71FC"/>
    <w:rsid w:val="007010EA"/>
    <w:rsid w:val="0070250E"/>
    <w:rsid w:val="00703F51"/>
    <w:rsid w:val="007043BC"/>
    <w:rsid w:val="0070577E"/>
    <w:rsid w:val="00705DCE"/>
    <w:rsid w:val="0070644E"/>
    <w:rsid w:val="0070793B"/>
    <w:rsid w:val="00707D5F"/>
    <w:rsid w:val="007136AD"/>
    <w:rsid w:val="00714456"/>
    <w:rsid w:val="00715D76"/>
    <w:rsid w:val="00716ECC"/>
    <w:rsid w:val="00717A25"/>
    <w:rsid w:val="00717DB0"/>
    <w:rsid w:val="0072031C"/>
    <w:rsid w:val="007204A3"/>
    <w:rsid w:val="0072125C"/>
    <w:rsid w:val="00721B17"/>
    <w:rsid w:val="00722B15"/>
    <w:rsid w:val="00722B4B"/>
    <w:rsid w:val="00724080"/>
    <w:rsid w:val="007247EB"/>
    <w:rsid w:val="007259DB"/>
    <w:rsid w:val="00725B0E"/>
    <w:rsid w:val="00727D2E"/>
    <w:rsid w:val="007316E1"/>
    <w:rsid w:val="00731F44"/>
    <w:rsid w:val="00732684"/>
    <w:rsid w:val="00734870"/>
    <w:rsid w:val="007356CC"/>
    <w:rsid w:val="007356E8"/>
    <w:rsid w:val="007358F3"/>
    <w:rsid w:val="00736967"/>
    <w:rsid w:val="0073723D"/>
    <w:rsid w:val="00737892"/>
    <w:rsid w:val="007408BD"/>
    <w:rsid w:val="00741AD5"/>
    <w:rsid w:val="00743FDF"/>
    <w:rsid w:val="007455EC"/>
    <w:rsid w:val="007509ED"/>
    <w:rsid w:val="00750CAD"/>
    <w:rsid w:val="007518A6"/>
    <w:rsid w:val="0075247A"/>
    <w:rsid w:val="00752E6D"/>
    <w:rsid w:val="00753755"/>
    <w:rsid w:val="007551C1"/>
    <w:rsid w:val="0075689D"/>
    <w:rsid w:val="00757309"/>
    <w:rsid w:val="00761993"/>
    <w:rsid w:val="00763AB7"/>
    <w:rsid w:val="00765B18"/>
    <w:rsid w:val="0076620D"/>
    <w:rsid w:val="0076720D"/>
    <w:rsid w:val="00767AB8"/>
    <w:rsid w:val="00770A9A"/>
    <w:rsid w:val="00770AAE"/>
    <w:rsid w:val="0077172F"/>
    <w:rsid w:val="00773146"/>
    <w:rsid w:val="007744E7"/>
    <w:rsid w:val="00774877"/>
    <w:rsid w:val="007756CD"/>
    <w:rsid w:val="0077709D"/>
    <w:rsid w:val="00777FDB"/>
    <w:rsid w:val="007842C6"/>
    <w:rsid w:val="00784464"/>
    <w:rsid w:val="007857BF"/>
    <w:rsid w:val="00786100"/>
    <w:rsid w:val="00787C22"/>
    <w:rsid w:val="00791C56"/>
    <w:rsid w:val="00795074"/>
    <w:rsid w:val="0079536C"/>
    <w:rsid w:val="007968B8"/>
    <w:rsid w:val="00797BA9"/>
    <w:rsid w:val="007A1911"/>
    <w:rsid w:val="007A404C"/>
    <w:rsid w:val="007A45B4"/>
    <w:rsid w:val="007A45B7"/>
    <w:rsid w:val="007A4CB4"/>
    <w:rsid w:val="007A6075"/>
    <w:rsid w:val="007A6C2E"/>
    <w:rsid w:val="007B0429"/>
    <w:rsid w:val="007B0C21"/>
    <w:rsid w:val="007B6321"/>
    <w:rsid w:val="007B6C75"/>
    <w:rsid w:val="007B705E"/>
    <w:rsid w:val="007B73B6"/>
    <w:rsid w:val="007B7C29"/>
    <w:rsid w:val="007C10C5"/>
    <w:rsid w:val="007C1B8F"/>
    <w:rsid w:val="007C4F92"/>
    <w:rsid w:val="007C5BF4"/>
    <w:rsid w:val="007C5C7C"/>
    <w:rsid w:val="007C7B33"/>
    <w:rsid w:val="007D171E"/>
    <w:rsid w:val="007D1BC6"/>
    <w:rsid w:val="007D2A13"/>
    <w:rsid w:val="007D2BDB"/>
    <w:rsid w:val="007D5668"/>
    <w:rsid w:val="007D5F77"/>
    <w:rsid w:val="007D6E0D"/>
    <w:rsid w:val="007D71AF"/>
    <w:rsid w:val="007E073E"/>
    <w:rsid w:val="007E254B"/>
    <w:rsid w:val="007E278D"/>
    <w:rsid w:val="007E2D2E"/>
    <w:rsid w:val="007E319E"/>
    <w:rsid w:val="007E39F8"/>
    <w:rsid w:val="007E5214"/>
    <w:rsid w:val="007E6A63"/>
    <w:rsid w:val="007E720C"/>
    <w:rsid w:val="007E73E8"/>
    <w:rsid w:val="007E740F"/>
    <w:rsid w:val="007E7CEA"/>
    <w:rsid w:val="007E7D34"/>
    <w:rsid w:val="007F0103"/>
    <w:rsid w:val="007F18DA"/>
    <w:rsid w:val="007F39DC"/>
    <w:rsid w:val="007F3B49"/>
    <w:rsid w:val="007F4954"/>
    <w:rsid w:val="007F4F9A"/>
    <w:rsid w:val="00800DD7"/>
    <w:rsid w:val="00801817"/>
    <w:rsid w:val="00803321"/>
    <w:rsid w:val="00803997"/>
    <w:rsid w:val="00804B67"/>
    <w:rsid w:val="008059E7"/>
    <w:rsid w:val="00805CB3"/>
    <w:rsid w:val="00806889"/>
    <w:rsid w:val="00807AC2"/>
    <w:rsid w:val="00810C3F"/>
    <w:rsid w:val="008113C1"/>
    <w:rsid w:val="00812101"/>
    <w:rsid w:val="00812620"/>
    <w:rsid w:val="00813650"/>
    <w:rsid w:val="00815538"/>
    <w:rsid w:val="00815AAD"/>
    <w:rsid w:val="00816C69"/>
    <w:rsid w:val="00820AA4"/>
    <w:rsid w:val="00821038"/>
    <w:rsid w:val="00821677"/>
    <w:rsid w:val="008226B1"/>
    <w:rsid w:val="00822871"/>
    <w:rsid w:val="00822FF0"/>
    <w:rsid w:val="00823B13"/>
    <w:rsid w:val="008240AB"/>
    <w:rsid w:val="00825344"/>
    <w:rsid w:val="00825781"/>
    <w:rsid w:val="008261ED"/>
    <w:rsid w:val="008302AE"/>
    <w:rsid w:val="00831386"/>
    <w:rsid w:val="008330E9"/>
    <w:rsid w:val="00833192"/>
    <w:rsid w:val="008351E4"/>
    <w:rsid w:val="00835702"/>
    <w:rsid w:val="0083629D"/>
    <w:rsid w:val="00840B7B"/>
    <w:rsid w:val="008423B3"/>
    <w:rsid w:val="00842908"/>
    <w:rsid w:val="00845453"/>
    <w:rsid w:val="00845708"/>
    <w:rsid w:val="00845CC2"/>
    <w:rsid w:val="00846BA0"/>
    <w:rsid w:val="0085021C"/>
    <w:rsid w:val="00851863"/>
    <w:rsid w:val="00851B68"/>
    <w:rsid w:val="0085370F"/>
    <w:rsid w:val="00853D6E"/>
    <w:rsid w:val="008550D9"/>
    <w:rsid w:val="00856387"/>
    <w:rsid w:val="00856D8D"/>
    <w:rsid w:val="00857DD4"/>
    <w:rsid w:val="00860F4D"/>
    <w:rsid w:val="008620B2"/>
    <w:rsid w:val="008634B7"/>
    <w:rsid w:val="00863766"/>
    <w:rsid w:val="00865B55"/>
    <w:rsid w:val="0086671E"/>
    <w:rsid w:val="00866BF5"/>
    <w:rsid w:val="00873DA0"/>
    <w:rsid w:val="00874D27"/>
    <w:rsid w:val="0087558F"/>
    <w:rsid w:val="00876405"/>
    <w:rsid w:val="00876D63"/>
    <w:rsid w:val="00883274"/>
    <w:rsid w:val="008835F8"/>
    <w:rsid w:val="00884304"/>
    <w:rsid w:val="0088507B"/>
    <w:rsid w:val="0088579A"/>
    <w:rsid w:val="00886E6F"/>
    <w:rsid w:val="0088772C"/>
    <w:rsid w:val="0089120A"/>
    <w:rsid w:val="00891D04"/>
    <w:rsid w:val="00891D13"/>
    <w:rsid w:val="00893E0F"/>
    <w:rsid w:val="00893E9A"/>
    <w:rsid w:val="008948E0"/>
    <w:rsid w:val="00895C03"/>
    <w:rsid w:val="0089735F"/>
    <w:rsid w:val="008977BC"/>
    <w:rsid w:val="008A03B7"/>
    <w:rsid w:val="008A0B04"/>
    <w:rsid w:val="008A0CF5"/>
    <w:rsid w:val="008A30EE"/>
    <w:rsid w:val="008A3B89"/>
    <w:rsid w:val="008A52D9"/>
    <w:rsid w:val="008A61AB"/>
    <w:rsid w:val="008A620C"/>
    <w:rsid w:val="008A726E"/>
    <w:rsid w:val="008A7681"/>
    <w:rsid w:val="008B0C19"/>
    <w:rsid w:val="008B1379"/>
    <w:rsid w:val="008B13D1"/>
    <w:rsid w:val="008B18E7"/>
    <w:rsid w:val="008B28E1"/>
    <w:rsid w:val="008B3999"/>
    <w:rsid w:val="008B5CD6"/>
    <w:rsid w:val="008B695D"/>
    <w:rsid w:val="008C16A5"/>
    <w:rsid w:val="008C3D56"/>
    <w:rsid w:val="008C6B63"/>
    <w:rsid w:val="008C772B"/>
    <w:rsid w:val="008D0A3E"/>
    <w:rsid w:val="008D1D96"/>
    <w:rsid w:val="008D23A9"/>
    <w:rsid w:val="008D24D3"/>
    <w:rsid w:val="008D2A0E"/>
    <w:rsid w:val="008D494F"/>
    <w:rsid w:val="008D4CD3"/>
    <w:rsid w:val="008D5A1E"/>
    <w:rsid w:val="008D74B2"/>
    <w:rsid w:val="008D795B"/>
    <w:rsid w:val="008E1FC4"/>
    <w:rsid w:val="008E27AD"/>
    <w:rsid w:val="008E3058"/>
    <w:rsid w:val="008E3D8A"/>
    <w:rsid w:val="008E3D9D"/>
    <w:rsid w:val="008E55B9"/>
    <w:rsid w:val="008E6A94"/>
    <w:rsid w:val="008E7772"/>
    <w:rsid w:val="008E7F52"/>
    <w:rsid w:val="008F398A"/>
    <w:rsid w:val="008F3C11"/>
    <w:rsid w:val="008F4098"/>
    <w:rsid w:val="008F6FE0"/>
    <w:rsid w:val="00900B06"/>
    <w:rsid w:val="009037CD"/>
    <w:rsid w:val="00910B8C"/>
    <w:rsid w:val="00910E36"/>
    <w:rsid w:val="00912236"/>
    <w:rsid w:val="00915632"/>
    <w:rsid w:val="00915745"/>
    <w:rsid w:val="009209EE"/>
    <w:rsid w:val="00921261"/>
    <w:rsid w:val="009212FE"/>
    <w:rsid w:val="00923C7E"/>
    <w:rsid w:val="009253C9"/>
    <w:rsid w:val="00927705"/>
    <w:rsid w:val="00931B2F"/>
    <w:rsid w:val="00931BBB"/>
    <w:rsid w:val="00931E36"/>
    <w:rsid w:val="009323F7"/>
    <w:rsid w:val="00932759"/>
    <w:rsid w:val="00933A53"/>
    <w:rsid w:val="00935BE6"/>
    <w:rsid w:val="0093676C"/>
    <w:rsid w:val="009369CB"/>
    <w:rsid w:val="00936FFA"/>
    <w:rsid w:val="0093738F"/>
    <w:rsid w:val="00937BF2"/>
    <w:rsid w:val="00940884"/>
    <w:rsid w:val="00942C25"/>
    <w:rsid w:val="0094585B"/>
    <w:rsid w:val="00945B11"/>
    <w:rsid w:val="00945E62"/>
    <w:rsid w:val="009460F4"/>
    <w:rsid w:val="009463A1"/>
    <w:rsid w:val="009471D4"/>
    <w:rsid w:val="0094740D"/>
    <w:rsid w:val="00951246"/>
    <w:rsid w:val="00952A1E"/>
    <w:rsid w:val="00953D5F"/>
    <w:rsid w:val="00953DB2"/>
    <w:rsid w:val="009547D7"/>
    <w:rsid w:val="0095498B"/>
    <w:rsid w:val="009552E2"/>
    <w:rsid w:val="0095598B"/>
    <w:rsid w:val="00955DEE"/>
    <w:rsid w:val="00955E34"/>
    <w:rsid w:val="00955EF7"/>
    <w:rsid w:val="00961BD5"/>
    <w:rsid w:val="009627CD"/>
    <w:rsid w:val="00963791"/>
    <w:rsid w:val="00964179"/>
    <w:rsid w:val="0096467E"/>
    <w:rsid w:val="00965098"/>
    <w:rsid w:val="0096630A"/>
    <w:rsid w:val="00971081"/>
    <w:rsid w:val="00971AD6"/>
    <w:rsid w:val="00972B46"/>
    <w:rsid w:val="00974AC6"/>
    <w:rsid w:val="00975B86"/>
    <w:rsid w:val="00975F85"/>
    <w:rsid w:val="009771CF"/>
    <w:rsid w:val="0097734F"/>
    <w:rsid w:val="00977E26"/>
    <w:rsid w:val="0098148C"/>
    <w:rsid w:val="00984055"/>
    <w:rsid w:val="00987677"/>
    <w:rsid w:val="0099172E"/>
    <w:rsid w:val="00991B5C"/>
    <w:rsid w:val="0099303A"/>
    <w:rsid w:val="0099327F"/>
    <w:rsid w:val="00993708"/>
    <w:rsid w:val="00994406"/>
    <w:rsid w:val="00996ABF"/>
    <w:rsid w:val="0099713C"/>
    <w:rsid w:val="0099718D"/>
    <w:rsid w:val="009971A1"/>
    <w:rsid w:val="009A1D8F"/>
    <w:rsid w:val="009A60A5"/>
    <w:rsid w:val="009A78B0"/>
    <w:rsid w:val="009B1348"/>
    <w:rsid w:val="009B1C4E"/>
    <w:rsid w:val="009B3A0D"/>
    <w:rsid w:val="009B4707"/>
    <w:rsid w:val="009B57C2"/>
    <w:rsid w:val="009B61BA"/>
    <w:rsid w:val="009B6E0C"/>
    <w:rsid w:val="009B75CE"/>
    <w:rsid w:val="009B75D7"/>
    <w:rsid w:val="009C0031"/>
    <w:rsid w:val="009C1A53"/>
    <w:rsid w:val="009C298D"/>
    <w:rsid w:val="009C30FA"/>
    <w:rsid w:val="009C318F"/>
    <w:rsid w:val="009C4AD6"/>
    <w:rsid w:val="009C6948"/>
    <w:rsid w:val="009C7E5B"/>
    <w:rsid w:val="009D01D2"/>
    <w:rsid w:val="009D039D"/>
    <w:rsid w:val="009D1FD4"/>
    <w:rsid w:val="009D4E08"/>
    <w:rsid w:val="009D5D4C"/>
    <w:rsid w:val="009D60B7"/>
    <w:rsid w:val="009D78AB"/>
    <w:rsid w:val="009E2CAF"/>
    <w:rsid w:val="009E4EDD"/>
    <w:rsid w:val="009F0AE8"/>
    <w:rsid w:val="009F0B29"/>
    <w:rsid w:val="009F0D1E"/>
    <w:rsid w:val="009F14A0"/>
    <w:rsid w:val="009F4F05"/>
    <w:rsid w:val="009F6654"/>
    <w:rsid w:val="00A002BB"/>
    <w:rsid w:val="00A00A94"/>
    <w:rsid w:val="00A00C9E"/>
    <w:rsid w:val="00A0133D"/>
    <w:rsid w:val="00A01721"/>
    <w:rsid w:val="00A029E3"/>
    <w:rsid w:val="00A02EAA"/>
    <w:rsid w:val="00A04227"/>
    <w:rsid w:val="00A04361"/>
    <w:rsid w:val="00A0482B"/>
    <w:rsid w:val="00A04CD3"/>
    <w:rsid w:val="00A05300"/>
    <w:rsid w:val="00A05385"/>
    <w:rsid w:val="00A05796"/>
    <w:rsid w:val="00A06DEF"/>
    <w:rsid w:val="00A06FCC"/>
    <w:rsid w:val="00A11338"/>
    <w:rsid w:val="00A1239A"/>
    <w:rsid w:val="00A12D0D"/>
    <w:rsid w:val="00A1356E"/>
    <w:rsid w:val="00A14DC2"/>
    <w:rsid w:val="00A14ED5"/>
    <w:rsid w:val="00A1502B"/>
    <w:rsid w:val="00A151AA"/>
    <w:rsid w:val="00A15E4E"/>
    <w:rsid w:val="00A17BB1"/>
    <w:rsid w:val="00A214F2"/>
    <w:rsid w:val="00A216DB"/>
    <w:rsid w:val="00A21A7E"/>
    <w:rsid w:val="00A21AAE"/>
    <w:rsid w:val="00A21B20"/>
    <w:rsid w:val="00A224D1"/>
    <w:rsid w:val="00A23137"/>
    <w:rsid w:val="00A250A9"/>
    <w:rsid w:val="00A25D12"/>
    <w:rsid w:val="00A300DF"/>
    <w:rsid w:val="00A32C36"/>
    <w:rsid w:val="00A3338F"/>
    <w:rsid w:val="00A34066"/>
    <w:rsid w:val="00A353F9"/>
    <w:rsid w:val="00A35671"/>
    <w:rsid w:val="00A35FAB"/>
    <w:rsid w:val="00A3663B"/>
    <w:rsid w:val="00A41586"/>
    <w:rsid w:val="00A41817"/>
    <w:rsid w:val="00A427C7"/>
    <w:rsid w:val="00A42876"/>
    <w:rsid w:val="00A44C80"/>
    <w:rsid w:val="00A45C56"/>
    <w:rsid w:val="00A470DF"/>
    <w:rsid w:val="00A477CB"/>
    <w:rsid w:val="00A51A2D"/>
    <w:rsid w:val="00A51E94"/>
    <w:rsid w:val="00A52B00"/>
    <w:rsid w:val="00A536A5"/>
    <w:rsid w:val="00A571D5"/>
    <w:rsid w:val="00A57C92"/>
    <w:rsid w:val="00A60C22"/>
    <w:rsid w:val="00A61440"/>
    <w:rsid w:val="00A6263D"/>
    <w:rsid w:val="00A643AE"/>
    <w:rsid w:val="00A653FB"/>
    <w:rsid w:val="00A6543E"/>
    <w:rsid w:val="00A65C0F"/>
    <w:rsid w:val="00A67C96"/>
    <w:rsid w:val="00A70F54"/>
    <w:rsid w:val="00A728AD"/>
    <w:rsid w:val="00A738B3"/>
    <w:rsid w:val="00A74077"/>
    <w:rsid w:val="00A75045"/>
    <w:rsid w:val="00A751E0"/>
    <w:rsid w:val="00A76577"/>
    <w:rsid w:val="00A76B59"/>
    <w:rsid w:val="00A77BBA"/>
    <w:rsid w:val="00A77D46"/>
    <w:rsid w:val="00A77DD5"/>
    <w:rsid w:val="00A80722"/>
    <w:rsid w:val="00A8280E"/>
    <w:rsid w:val="00A83C32"/>
    <w:rsid w:val="00A86A6B"/>
    <w:rsid w:val="00A86C16"/>
    <w:rsid w:val="00A8724C"/>
    <w:rsid w:val="00A9025E"/>
    <w:rsid w:val="00A9134F"/>
    <w:rsid w:val="00A9195A"/>
    <w:rsid w:val="00A91975"/>
    <w:rsid w:val="00A91CF5"/>
    <w:rsid w:val="00A922F5"/>
    <w:rsid w:val="00A9412E"/>
    <w:rsid w:val="00A961EC"/>
    <w:rsid w:val="00A96FAC"/>
    <w:rsid w:val="00A97E33"/>
    <w:rsid w:val="00AA04D0"/>
    <w:rsid w:val="00AA0607"/>
    <w:rsid w:val="00AA2F07"/>
    <w:rsid w:val="00AA3203"/>
    <w:rsid w:val="00AA37DC"/>
    <w:rsid w:val="00AA442C"/>
    <w:rsid w:val="00AA444E"/>
    <w:rsid w:val="00AA637B"/>
    <w:rsid w:val="00AA7A69"/>
    <w:rsid w:val="00AB0471"/>
    <w:rsid w:val="00AB1F55"/>
    <w:rsid w:val="00AB4362"/>
    <w:rsid w:val="00AB4A27"/>
    <w:rsid w:val="00AB59CA"/>
    <w:rsid w:val="00AC09A6"/>
    <w:rsid w:val="00AC0C2B"/>
    <w:rsid w:val="00AC152D"/>
    <w:rsid w:val="00AC156D"/>
    <w:rsid w:val="00AC1CBE"/>
    <w:rsid w:val="00AC3152"/>
    <w:rsid w:val="00AC3D4A"/>
    <w:rsid w:val="00AC57D8"/>
    <w:rsid w:val="00AC691E"/>
    <w:rsid w:val="00AC74F2"/>
    <w:rsid w:val="00AD2598"/>
    <w:rsid w:val="00AD3EFD"/>
    <w:rsid w:val="00AD4097"/>
    <w:rsid w:val="00AD4574"/>
    <w:rsid w:val="00AD5824"/>
    <w:rsid w:val="00AD667A"/>
    <w:rsid w:val="00AD66D9"/>
    <w:rsid w:val="00AD73C0"/>
    <w:rsid w:val="00AE02B2"/>
    <w:rsid w:val="00AE15A3"/>
    <w:rsid w:val="00AE2151"/>
    <w:rsid w:val="00AE2987"/>
    <w:rsid w:val="00AE3AAA"/>
    <w:rsid w:val="00AE464A"/>
    <w:rsid w:val="00AE6206"/>
    <w:rsid w:val="00AE7CD5"/>
    <w:rsid w:val="00AF0397"/>
    <w:rsid w:val="00AF3334"/>
    <w:rsid w:val="00AF4109"/>
    <w:rsid w:val="00AF4110"/>
    <w:rsid w:val="00AF4464"/>
    <w:rsid w:val="00AF5AF6"/>
    <w:rsid w:val="00AF5D86"/>
    <w:rsid w:val="00B005B7"/>
    <w:rsid w:val="00B00D85"/>
    <w:rsid w:val="00B016F5"/>
    <w:rsid w:val="00B0221F"/>
    <w:rsid w:val="00B02895"/>
    <w:rsid w:val="00B0307F"/>
    <w:rsid w:val="00B039B0"/>
    <w:rsid w:val="00B046A1"/>
    <w:rsid w:val="00B05CAC"/>
    <w:rsid w:val="00B069BF"/>
    <w:rsid w:val="00B07CCB"/>
    <w:rsid w:val="00B10EA6"/>
    <w:rsid w:val="00B11BED"/>
    <w:rsid w:val="00B14311"/>
    <w:rsid w:val="00B1494D"/>
    <w:rsid w:val="00B14E29"/>
    <w:rsid w:val="00B15411"/>
    <w:rsid w:val="00B163B4"/>
    <w:rsid w:val="00B16D55"/>
    <w:rsid w:val="00B20393"/>
    <w:rsid w:val="00B20421"/>
    <w:rsid w:val="00B20BE2"/>
    <w:rsid w:val="00B23EBC"/>
    <w:rsid w:val="00B2592D"/>
    <w:rsid w:val="00B274BF"/>
    <w:rsid w:val="00B27EFC"/>
    <w:rsid w:val="00B32626"/>
    <w:rsid w:val="00B33C70"/>
    <w:rsid w:val="00B340D9"/>
    <w:rsid w:val="00B349B6"/>
    <w:rsid w:val="00B34A40"/>
    <w:rsid w:val="00B34AE3"/>
    <w:rsid w:val="00B358E9"/>
    <w:rsid w:val="00B35911"/>
    <w:rsid w:val="00B369B1"/>
    <w:rsid w:val="00B37770"/>
    <w:rsid w:val="00B40B7E"/>
    <w:rsid w:val="00B4166A"/>
    <w:rsid w:val="00B419BA"/>
    <w:rsid w:val="00B43B9D"/>
    <w:rsid w:val="00B44606"/>
    <w:rsid w:val="00B469D0"/>
    <w:rsid w:val="00B47324"/>
    <w:rsid w:val="00B50530"/>
    <w:rsid w:val="00B50B24"/>
    <w:rsid w:val="00B50F09"/>
    <w:rsid w:val="00B52982"/>
    <w:rsid w:val="00B53559"/>
    <w:rsid w:val="00B54EA0"/>
    <w:rsid w:val="00B55923"/>
    <w:rsid w:val="00B600E1"/>
    <w:rsid w:val="00B6091D"/>
    <w:rsid w:val="00B62C0E"/>
    <w:rsid w:val="00B634CC"/>
    <w:rsid w:val="00B6589C"/>
    <w:rsid w:val="00B7053E"/>
    <w:rsid w:val="00B70A69"/>
    <w:rsid w:val="00B710A4"/>
    <w:rsid w:val="00B71CCA"/>
    <w:rsid w:val="00B71DCB"/>
    <w:rsid w:val="00B7224E"/>
    <w:rsid w:val="00B7261F"/>
    <w:rsid w:val="00B748CD"/>
    <w:rsid w:val="00B74BD9"/>
    <w:rsid w:val="00B7503B"/>
    <w:rsid w:val="00B753C2"/>
    <w:rsid w:val="00B764DE"/>
    <w:rsid w:val="00B80664"/>
    <w:rsid w:val="00B8134F"/>
    <w:rsid w:val="00B81A3D"/>
    <w:rsid w:val="00B822EA"/>
    <w:rsid w:val="00B82E66"/>
    <w:rsid w:val="00B83F66"/>
    <w:rsid w:val="00B84650"/>
    <w:rsid w:val="00B86316"/>
    <w:rsid w:val="00B866BC"/>
    <w:rsid w:val="00B871CE"/>
    <w:rsid w:val="00B8729F"/>
    <w:rsid w:val="00B9199A"/>
    <w:rsid w:val="00B92953"/>
    <w:rsid w:val="00B94071"/>
    <w:rsid w:val="00B958F3"/>
    <w:rsid w:val="00B95AA5"/>
    <w:rsid w:val="00B965B3"/>
    <w:rsid w:val="00B97795"/>
    <w:rsid w:val="00BA05D6"/>
    <w:rsid w:val="00BA086E"/>
    <w:rsid w:val="00BA3AC9"/>
    <w:rsid w:val="00BA4E29"/>
    <w:rsid w:val="00BA5304"/>
    <w:rsid w:val="00BA6F77"/>
    <w:rsid w:val="00BB1738"/>
    <w:rsid w:val="00BB1E24"/>
    <w:rsid w:val="00BB325C"/>
    <w:rsid w:val="00BB35DE"/>
    <w:rsid w:val="00BB39C6"/>
    <w:rsid w:val="00BB3F71"/>
    <w:rsid w:val="00BB50B4"/>
    <w:rsid w:val="00BB54CF"/>
    <w:rsid w:val="00BB6133"/>
    <w:rsid w:val="00BC0AC8"/>
    <w:rsid w:val="00BC2460"/>
    <w:rsid w:val="00BC3C0C"/>
    <w:rsid w:val="00BC525E"/>
    <w:rsid w:val="00BD2B1F"/>
    <w:rsid w:val="00BD2C91"/>
    <w:rsid w:val="00BD2EFD"/>
    <w:rsid w:val="00BD31F2"/>
    <w:rsid w:val="00BD463F"/>
    <w:rsid w:val="00BD6124"/>
    <w:rsid w:val="00BE1072"/>
    <w:rsid w:val="00BE14E7"/>
    <w:rsid w:val="00BE24DA"/>
    <w:rsid w:val="00BE2D0F"/>
    <w:rsid w:val="00BE30B1"/>
    <w:rsid w:val="00BE370B"/>
    <w:rsid w:val="00BE426B"/>
    <w:rsid w:val="00BE5EF3"/>
    <w:rsid w:val="00BE6681"/>
    <w:rsid w:val="00BE72D8"/>
    <w:rsid w:val="00BF096A"/>
    <w:rsid w:val="00BF0E65"/>
    <w:rsid w:val="00BF1B23"/>
    <w:rsid w:val="00BF2573"/>
    <w:rsid w:val="00BF2CAE"/>
    <w:rsid w:val="00BF3C70"/>
    <w:rsid w:val="00BF4581"/>
    <w:rsid w:val="00BF4EE3"/>
    <w:rsid w:val="00BF6A75"/>
    <w:rsid w:val="00BF7757"/>
    <w:rsid w:val="00BF7925"/>
    <w:rsid w:val="00C01D3F"/>
    <w:rsid w:val="00C042E0"/>
    <w:rsid w:val="00C04E4F"/>
    <w:rsid w:val="00C05912"/>
    <w:rsid w:val="00C05A0D"/>
    <w:rsid w:val="00C064A1"/>
    <w:rsid w:val="00C06E93"/>
    <w:rsid w:val="00C0755F"/>
    <w:rsid w:val="00C10B87"/>
    <w:rsid w:val="00C11375"/>
    <w:rsid w:val="00C12FDB"/>
    <w:rsid w:val="00C136AC"/>
    <w:rsid w:val="00C14040"/>
    <w:rsid w:val="00C167C9"/>
    <w:rsid w:val="00C175C9"/>
    <w:rsid w:val="00C17B7D"/>
    <w:rsid w:val="00C20142"/>
    <w:rsid w:val="00C213A2"/>
    <w:rsid w:val="00C21886"/>
    <w:rsid w:val="00C22867"/>
    <w:rsid w:val="00C233A4"/>
    <w:rsid w:val="00C241B6"/>
    <w:rsid w:val="00C2431D"/>
    <w:rsid w:val="00C24649"/>
    <w:rsid w:val="00C2660B"/>
    <w:rsid w:val="00C27EC0"/>
    <w:rsid w:val="00C27F6D"/>
    <w:rsid w:val="00C32D9C"/>
    <w:rsid w:val="00C32E3C"/>
    <w:rsid w:val="00C33812"/>
    <w:rsid w:val="00C33E10"/>
    <w:rsid w:val="00C347DD"/>
    <w:rsid w:val="00C351D0"/>
    <w:rsid w:val="00C355AA"/>
    <w:rsid w:val="00C3746E"/>
    <w:rsid w:val="00C37C43"/>
    <w:rsid w:val="00C41D98"/>
    <w:rsid w:val="00C42201"/>
    <w:rsid w:val="00C42993"/>
    <w:rsid w:val="00C43E35"/>
    <w:rsid w:val="00C44CA2"/>
    <w:rsid w:val="00C45CCC"/>
    <w:rsid w:val="00C465A8"/>
    <w:rsid w:val="00C52BBD"/>
    <w:rsid w:val="00C52F7C"/>
    <w:rsid w:val="00C535BD"/>
    <w:rsid w:val="00C53EDD"/>
    <w:rsid w:val="00C54226"/>
    <w:rsid w:val="00C564A6"/>
    <w:rsid w:val="00C567C9"/>
    <w:rsid w:val="00C6005F"/>
    <w:rsid w:val="00C60403"/>
    <w:rsid w:val="00C60FED"/>
    <w:rsid w:val="00C61C49"/>
    <w:rsid w:val="00C61DEA"/>
    <w:rsid w:val="00C627CD"/>
    <w:rsid w:val="00C63FA8"/>
    <w:rsid w:val="00C64E39"/>
    <w:rsid w:val="00C65876"/>
    <w:rsid w:val="00C702CB"/>
    <w:rsid w:val="00C7098C"/>
    <w:rsid w:val="00C709A4"/>
    <w:rsid w:val="00C71AF7"/>
    <w:rsid w:val="00C7204C"/>
    <w:rsid w:val="00C72888"/>
    <w:rsid w:val="00C72A93"/>
    <w:rsid w:val="00C72F8F"/>
    <w:rsid w:val="00C74590"/>
    <w:rsid w:val="00C75954"/>
    <w:rsid w:val="00C75F2D"/>
    <w:rsid w:val="00C801EC"/>
    <w:rsid w:val="00C82B9E"/>
    <w:rsid w:val="00C84CA9"/>
    <w:rsid w:val="00C85DFB"/>
    <w:rsid w:val="00C87212"/>
    <w:rsid w:val="00C87A4D"/>
    <w:rsid w:val="00C90266"/>
    <w:rsid w:val="00C942BD"/>
    <w:rsid w:val="00C95741"/>
    <w:rsid w:val="00C97E9B"/>
    <w:rsid w:val="00CA02BD"/>
    <w:rsid w:val="00CA0A49"/>
    <w:rsid w:val="00CA2D9F"/>
    <w:rsid w:val="00CA3119"/>
    <w:rsid w:val="00CA3B5E"/>
    <w:rsid w:val="00CA3D68"/>
    <w:rsid w:val="00CA4C95"/>
    <w:rsid w:val="00CA6E99"/>
    <w:rsid w:val="00CA7045"/>
    <w:rsid w:val="00CB3342"/>
    <w:rsid w:val="00CB41D2"/>
    <w:rsid w:val="00CB6BF7"/>
    <w:rsid w:val="00CB6CB7"/>
    <w:rsid w:val="00CB7571"/>
    <w:rsid w:val="00CB760F"/>
    <w:rsid w:val="00CC160A"/>
    <w:rsid w:val="00CC2FB6"/>
    <w:rsid w:val="00CC58E6"/>
    <w:rsid w:val="00CC6A62"/>
    <w:rsid w:val="00CC6FCA"/>
    <w:rsid w:val="00CD1D50"/>
    <w:rsid w:val="00CD41C9"/>
    <w:rsid w:val="00CD43B5"/>
    <w:rsid w:val="00CD460D"/>
    <w:rsid w:val="00CD5F59"/>
    <w:rsid w:val="00CD65CD"/>
    <w:rsid w:val="00CD730F"/>
    <w:rsid w:val="00CE0ED3"/>
    <w:rsid w:val="00CE22D6"/>
    <w:rsid w:val="00CE3047"/>
    <w:rsid w:val="00CE5CC5"/>
    <w:rsid w:val="00CE6E4D"/>
    <w:rsid w:val="00CE7079"/>
    <w:rsid w:val="00CF0015"/>
    <w:rsid w:val="00CF1752"/>
    <w:rsid w:val="00CF261C"/>
    <w:rsid w:val="00CF2E5A"/>
    <w:rsid w:val="00CF3EF9"/>
    <w:rsid w:val="00CF4730"/>
    <w:rsid w:val="00CF6CBC"/>
    <w:rsid w:val="00CF7D46"/>
    <w:rsid w:val="00D0102A"/>
    <w:rsid w:val="00D017F1"/>
    <w:rsid w:val="00D020BC"/>
    <w:rsid w:val="00D04A7A"/>
    <w:rsid w:val="00D05199"/>
    <w:rsid w:val="00D0534D"/>
    <w:rsid w:val="00D05E5B"/>
    <w:rsid w:val="00D07033"/>
    <w:rsid w:val="00D0766F"/>
    <w:rsid w:val="00D110E9"/>
    <w:rsid w:val="00D1228E"/>
    <w:rsid w:val="00D1232F"/>
    <w:rsid w:val="00D13BC7"/>
    <w:rsid w:val="00D15F34"/>
    <w:rsid w:val="00D16C95"/>
    <w:rsid w:val="00D1770E"/>
    <w:rsid w:val="00D17DD7"/>
    <w:rsid w:val="00D20D95"/>
    <w:rsid w:val="00D211A3"/>
    <w:rsid w:val="00D2478F"/>
    <w:rsid w:val="00D26546"/>
    <w:rsid w:val="00D3016B"/>
    <w:rsid w:val="00D31663"/>
    <w:rsid w:val="00D31BD4"/>
    <w:rsid w:val="00D31D8A"/>
    <w:rsid w:val="00D3315C"/>
    <w:rsid w:val="00D3346D"/>
    <w:rsid w:val="00D35B1C"/>
    <w:rsid w:val="00D36D20"/>
    <w:rsid w:val="00D41AC1"/>
    <w:rsid w:val="00D42B00"/>
    <w:rsid w:val="00D42B68"/>
    <w:rsid w:val="00D43BA5"/>
    <w:rsid w:val="00D4463A"/>
    <w:rsid w:val="00D45D35"/>
    <w:rsid w:val="00D47428"/>
    <w:rsid w:val="00D5303E"/>
    <w:rsid w:val="00D5438D"/>
    <w:rsid w:val="00D5650E"/>
    <w:rsid w:val="00D57E58"/>
    <w:rsid w:val="00D63A20"/>
    <w:rsid w:val="00D640B8"/>
    <w:rsid w:val="00D6430A"/>
    <w:rsid w:val="00D64A23"/>
    <w:rsid w:val="00D653B0"/>
    <w:rsid w:val="00D66354"/>
    <w:rsid w:val="00D672D6"/>
    <w:rsid w:val="00D70990"/>
    <w:rsid w:val="00D731C5"/>
    <w:rsid w:val="00D7360F"/>
    <w:rsid w:val="00D74E09"/>
    <w:rsid w:val="00D76301"/>
    <w:rsid w:val="00D76A65"/>
    <w:rsid w:val="00D76BC0"/>
    <w:rsid w:val="00D77CBE"/>
    <w:rsid w:val="00D82EAC"/>
    <w:rsid w:val="00D85A01"/>
    <w:rsid w:val="00D8627F"/>
    <w:rsid w:val="00D86D18"/>
    <w:rsid w:val="00D87022"/>
    <w:rsid w:val="00D9065A"/>
    <w:rsid w:val="00D90746"/>
    <w:rsid w:val="00D917FF"/>
    <w:rsid w:val="00D929B0"/>
    <w:rsid w:val="00D947A0"/>
    <w:rsid w:val="00D955CC"/>
    <w:rsid w:val="00D95E6B"/>
    <w:rsid w:val="00D96315"/>
    <w:rsid w:val="00DA1882"/>
    <w:rsid w:val="00DA378D"/>
    <w:rsid w:val="00DA3EA2"/>
    <w:rsid w:val="00DA4DBC"/>
    <w:rsid w:val="00DA5321"/>
    <w:rsid w:val="00DA5D71"/>
    <w:rsid w:val="00DA6C16"/>
    <w:rsid w:val="00DA6ED2"/>
    <w:rsid w:val="00DA7788"/>
    <w:rsid w:val="00DA79DF"/>
    <w:rsid w:val="00DB1149"/>
    <w:rsid w:val="00DB1745"/>
    <w:rsid w:val="00DB1F70"/>
    <w:rsid w:val="00DB24B8"/>
    <w:rsid w:val="00DB2664"/>
    <w:rsid w:val="00DC05E4"/>
    <w:rsid w:val="00DC0C98"/>
    <w:rsid w:val="00DC1D42"/>
    <w:rsid w:val="00DC2DA6"/>
    <w:rsid w:val="00DC4F9F"/>
    <w:rsid w:val="00DC5057"/>
    <w:rsid w:val="00DC6E05"/>
    <w:rsid w:val="00DC7C08"/>
    <w:rsid w:val="00DD03FA"/>
    <w:rsid w:val="00DD090E"/>
    <w:rsid w:val="00DD0991"/>
    <w:rsid w:val="00DD0C7B"/>
    <w:rsid w:val="00DD119F"/>
    <w:rsid w:val="00DD300B"/>
    <w:rsid w:val="00DD4B4A"/>
    <w:rsid w:val="00DD6574"/>
    <w:rsid w:val="00DD6EB7"/>
    <w:rsid w:val="00DD7886"/>
    <w:rsid w:val="00DD7FFB"/>
    <w:rsid w:val="00DE231B"/>
    <w:rsid w:val="00DE3009"/>
    <w:rsid w:val="00DE4FDF"/>
    <w:rsid w:val="00DE5E79"/>
    <w:rsid w:val="00DF014C"/>
    <w:rsid w:val="00DF1122"/>
    <w:rsid w:val="00DF26E9"/>
    <w:rsid w:val="00DF32C7"/>
    <w:rsid w:val="00DF6675"/>
    <w:rsid w:val="00DF6D02"/>
    <w:rsid w:val="00DF705D"/>
    <w:rsid w:val="00DF78C1"/>
    <w:rsid w:val="00E006E8"/>
    <w:rsid w:val="00E025EE"/>
    <w:rsid w:val="00E04615"/>
    <w:rsid w:val="00E067A1"/>
    <w:rsid w:val="00E06AD1"/>
    <w:rsid w:val="00E06C5E"/>
    <w:rsid w:val="00E07688"/>
    <w:rsid w:val="00E104DD"/>
    <w:rsid w:val="00E105DA"/>
    <w:rsid w:val="00E10ECB"/>
    <w:rsid w:val="00E11BBA"/>
    <w:rsid w:val="00E13C88"/>
    <w:rsid w:val="00E150BF"/>
    <w:rsid w:val="00E15587"/>
    <w:rsid w:val="00E2219D"/>
    <w:rsid w:val="00E2313A"/>
    <w:rsid w:val="00E232BD"/>
    <w:rsid w:val="00E24E86"/>
    <w:rsid w:val="00E257C2"/>
    <w:rsid w:val="00E27310"/>
    <w:rsid w:val="00E301E7"/>
    <w:rsid w:val="00E320B9"/>
    <w:rsid w:val="00E3216C"/>
    <w:rsid w:val="00E32E3E"/>
    <w:rsid w:val="00E33EF6"/>
    <w:rsid w:val="00E35F3C"/>
    <w:rsid w:val="00E36595"/>
    <w:rsid w:val="00E4015E"/>
    <w:rsid w:val="00E415DE"/>
    <w:rsid w:val="00E42506"/>
    <w:rsid w:val="00E43895"/>
    <w:rsid w:val="00E44AA4"/>
    <w:rsid w:val="00E451CF"/>
    <w:rsid w:val="00E47989"/>
    <w:rsid w:val="00E47D39"/>
    <w:rsid w:val="00E504D9"/>
    <w:rsid w:val="00E50BE4"/>
    <w:rsid w:val="00E51E5F"/>
    <w:rsid w:val="00E51F1E"/>
    <w:rsid w:val="00E56F20"/>
    <w:rsid w:val="00E5759B"/>
    <w:rsid w:val="00E6341D"/>
    <w:rsid w:val="00E63CD2"/>
    <w:rsid w:val="00E654B8"/>
    <w:rsid w:val="00E6625D"/>
    <w:rsid w:val="00E662D4"/>
    <w:rsid w:val="00E66D7B"/>
    <w:rsid w:val="00E66F19"/>
    <w:rsid w:val="00E67A18"/>
    <w:rsid w:val="00E70D6E"/>
    <w:rsid w:val="00E716E5"/>
    <w:rsid w:val="00E7229E"/>
    <w:rsid w:val="00E7230D"/>
    <w:rsid w:val="00E72351"/>
    <w:rsid w:val="00E729E6"/>
    <w:rsid w:val="00E74379"/>
    <w:rsid w:val="00E74CC8"/>
    <w:rsid w:val="00E77631"/>
    <w:rsid w:val="00E80001"/>
    <w:rsid w:val="00E8102E"/>
    <w:rsid w:val="00E813A9"/>
    <w:rsid w:val="00E81BC5"/>
    <w:rsid w:val="00E960CE"/>
    <w:rsid w:val="00E968F6"/>
    <w:rsid w:val="00E96EA3"/>
    <w:rsid w:val="00E97A84"/>
    <w:rsid w:val="00E97D87"/>
    <w:rsid w:val="00EA05C1"/>
    <w:rsid w:val="00EA23A2"/>
    <w:rsid w:val="00EA2577"/>
    <w:rsid w:val="00EA3CEC"/>
    <w:rsid w:val="00EA5DA5"/>
    <w:rsid w:val="00EA681B"/>
    <w:rsid w:val="00EA6DA8"/>
    <w:rsid w:val="00EB06BC"/>
    <w:rsid w:val="00EB1C2F"/>
    <w:rsid w:val="00EB2E51"/>
    <w:rsid w:val="00EB32A1"/>
    <w:rsid w:val="00EB36D4"/>
    <w:rsid w:val="00EB3BFE"/>
    <w:rsid w:val="00EB48FA"/>
    <w:rsid w:val="00EB67D7"/>
    <w:rsid w:val="00EB69AD"/>
    <w:rsid w:val="00EC0E89"/>
    <w:rsid w:val="00EC412E"/>
    <w:rsid w:val="00EC5A7D"/>
    <w:rsid w:val="00EC6763"/>
    <w:rsid w:val="00ED1675"/>
    <w:rsid w:val="00ED2FCF"/>
    <w:rsid w:val="00ED3FB4"/>
    <w:rsid w:val="00ED49A7"/>
    <w:rsid w:val="00ED4EEF"/>
    <w:rsid w:val="00ED5BD7"/>
    <w:rsid w:val="00ED5E77"/>
    <w:rsid w:val="00ED5F80"/>
    <w:rsid w:val="00ED797B"/>
    <w:rsid w:val="00ED7DB1"/>
    <w:rsid w:val="00EE0762"/>
    <w:rsid w:val="00EE2160"/>
    <w:rsid w:val="00EE2554"/>
    <w:rsid w:val="00EE2AC2"/>
    <w:rsid w:val="00EE393A"/>
    <w:rsid w:val="00EE39D9"/>
    <w:rsid w:val="00EE4E4F"/>
    <w:rsid w:val="00EE5608"/>
    <w:rsid w:val="00EE68FD"/>
    <w:rsid w:val="00EE6987"/>
    <w:rsid w:val="00EE7449"/>
    <w:rsid w:val="00EF0133"/>
    <w:rsid w:val="00EF0766"/>
    <w:rsid w:val="00EF33A1"/>
    <w:rsid w:val="00EF354C"/>
    <w:rsid w:val="00EF636E"/>
    <w:rsid w:val="00EF6B59"/>
    <w:rsid w:val="00F00BA8"/>
    <w:rsid w:val="00F0147A"/>
    <w:rsid w:val="00F05405"/>
    <w:rsid w:val="00F0551E"/>
    <w:rsid w:val="00F06F53"/>
    <w:rsid w:val="00F06F9D"/>
    <w:rsid w:val="00F07DD2"/>
    <w:rsid w:val="00F10B06"/>
    <w:rsid w:val="00F11990"/>
    <w:rsid w:val="00F1359B"/>
    <w:rsid w:val="00F13B82"/>
    <w:rsid w:val="00F15114"/>
    <w:rsid w:val="00F15256"/>
    <w:rsid w:val="00F15DE7"/>
    <w:rsid w:val="00F20D08"/>
    <w:rsid w:val="00F20D33"/>
    <w:rsid w:val="00F21AA4"/>
    <w:rsid w:val="00F22D96"/>
    <w:rsid w:val="00F2322F"/>
    <w:rsid w:val="00F25104"/>
    <w:rsid w:val="00F252F2"/>
    <w:rsid w:val="00F25A9E"/>
    <w:rsid w:val="00F26645"/>
    <w:rsid w:val="00F274FE"/>
    <w:rsid w:val="00F3172B"/>
    <w:rsid w:val="00F31898"/>
    <w:rsid w:val="00F32060"/>
    <w:rsid w:val="00F32173"/>
    <w:rsid w:val="00F323AF"/>
    <w:rsid w:val="00F32714"/>
    <w:rsid w:val="00F3334F"/>
    <w:rsid w:val="00F3343D"/>
    <w:rsid w:val="00F34D93"/>
    <w:rsid w:val="00F36DC7"/>
    <w:rsid w:val="00F40F2A"/>
    <w:rsid w:val="00F43975"/>
    <w:rsid w:val="00F457BD"/>
    <w:rsid w:val="00F45C11"/>
    <w:rsid w:val="00F47348"/>
    <w:rsid w:val="00F47A87"/>
    <w:rsid w:val="00F50633"/>
    <w:rsid w:val="00F5344C"/>
    <w:rsid w:val="00F5395D"/>
    <w:rsid w:val="00F53DC1"/>
    <w:rsid w:val="00F567B6"/>
    <w:rsid w:val="00F56CD3"/>
    <w:rsid w:val="00F57F21"/>
    <w:rsid w:val="00F60C64"/>
    <w:rsid w:val="00F60F15"/>
    <w:rsid w:val="00F60FF2"/>
    <w:rsid w:val="00F6186A"/>
    <w:rsid w:val="00F6319E"/>
    <w:rsid w:val="00F64558"/>
    <w:rsid w:val="00F6674F"/>
    <w:rsid w:val="00F66816"/>
    <w:rsid w:val="00F66F0B"/>
    <w:rsid w:val="00F71872"/>
    <w:rsid w:val="00F72958"/>
    <w:rsid w:val="00F72CED"/>
    <w:rsid w:val="00F7420D"/>
    <w:rsid w:val="00F759B7"/>
    <w:rsid w:val="00F7646E"/>
    <w:rsid w:val="00F773B8"/>
    <w:rsid w:val="00F81A06"/>
    <w:rsid w:val="00F81A81"/>
    <w:rsid w:val="00F85F6D"/>
    <w:rsid w:val="00F86611"/>
    <w:rsid w:val="00F917F3"/>
    <w:rsid w:val="00F91D85"/>
    <w:rsid w:val="00F92020"/>
    <w:rsid w:val="00F932E8"/>
    <w:rsid w:val="00F9443B"/>
    <w:rsid w:val="00F962A6"/>
    <w:rsid w:val="00F96E47"/>
    <w:rsid w:val="00F97585"/>
    <w:rsid w:val="00FA07C9"/>
    <w:rsid w:val="00FA3431"/>
    <w:rsid w:val="00FA4219"/>
    <w:rsid w:val="00FA4FDE"/>
    <w:rsid w:val="00FA5398"/>
    <w:rsid w:val="00FA6D16"/>
    <w:rsid w:val="00FB0042"/>
    <w:rsid w:val="00FB0937"/>
    <w:rsid w:val="00FB12B1"/>
    <w:rsid w:val="00FB1572"/>
    <w:rsid w:val="00FB25EA"/>
    <w:rsid w:val="00FB341F"/>
    <w:rsid w:val="00FB3716"/>
    <w:rsid w:val="00FB47C1"/>
    <w:rsid w:val="00FB677B"/>
    <w:rsid w:val="00FC1CE2"/>
    <w:rsid w:val="00FC273F"/>
    <w:rsid w:val="00FC3835"/>
    <w:rsid w:val="00FC3A1C"/>
    <w:rsid w:val="00FC59AD"/>
    <w:rsid w:val="00FC7032"/>
    <w:rsid w:val="00FC7CC7"/>
    <w:rsid w:val="00FD153B"/>
    <w:rsid w:val="00FD2042"/>
    <w:rsid w:val="00FD2D00"/>
    <w:rsid w:val="00FD41D0"/>
    <w:rsid w:val="00FD57B3"/>
    <w:rsid w:val="00FD6026"/>
    <w:rsid w:val="00FD6309"/>
    <w:rsid w:val="00FD68ED"/>
    <w:rsid w:val="00FE0917"/>
    <w:rsid w:val="00FE17A9"/>
    <w:rsid w:val="00FE1F31"/>
    <w:rsid w:val="00FE1F6E"/>
    <w:rsid w:val="00FE269E"/>
    <w:rsid w:val="00FE36DF"/>
    <w:rsid w:val="00FE407A"/>
    <w:rsid w:val="00FE46EB"/>
    <w:rsid w:val="00FE4930"/>
    <w:rsid w:val="00FE7C7D"/>
    <w:rsid w:val="00FF0DF8"/>
    <w:rsid w:val="00FF3080"/>
    <w:rsid w:val="00FF3B5E"/>
    <w:rsid w:val="00FF5CDF"/>
    <w:rsid w:val="00FF6072"/>
    <w:rsid w:val="00FF627B"/>
    <w:rsid w:val="00FF6F24"/>
    <w:rsid w:val="00FF7663"/>
    <w:rsid w:val="00FF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A1A87"/>
  <w15:docId w15:val="{0BAAD2C1-315C-48C8-B3C7-5C7F5D88B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5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2876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4">
    <w:name w:val="Заголовок Знак"/>
    <w:basedOn w:val="a0"/>
    <w:link w:val="a3"/>
    <w:rsid w:val="00A42876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5">
    <w:name w:val="Body Text"/>
    <w:basedOn w:val="a"/>
    <w:link w:val="a6"/>
    <w:rsid w:val="00A42876"/>
    <w:pPr>
      <w:spacing w:after="120" w:line="240" w:lineRule="auto"/>
    </w:pPr>
    <w:rPr>
      <w:rFonts w:eastAsia="Times New Roman"/>
      <w:lang w:eastAsia="ru-RU"/>
    </w:rPr>
  </w:style>
  <w:style w:type="character" w:customStyle="1" w:styleId="a6">
    <w:name w:val="Основной текст Знак"/>
    <w:basedOn w:val="a0"/>
    <w:link w:val="a5"/>
    <w:rsid w:val="00A42876"/>
    <w:rPr>
      <w:rFonts w:eastAsia="Times New Roman"/>
      <w:lang w:eastAsia="ru-RU"/>
    </w:rPr>
  </w:style>
  <w:style w:type="paragraph" w:styleId="a7">
    <w:name w:val="header"/>
    <w:basedOn w:val="a"/>
    <w:link w:val="a8"/>
    <w:rsid w:val="00A4287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8">
    <w:name w:val="Верхний колонтитул Знак"/>
    <w:basedOn w:val="a0"/>
    <w:link w:val="a7"/>
    <w:rsid w:val="00A42876"/>
    <w:rPr>
      <w:rFonts w:eastAsia="Times New Roman"/>
      <w:lang w:eastAsia="ru-RU"/>
    </w:rPr>
  </w:style>
  <w:style w:type="character" w:styleId="a9">
    <w:name w:val="page number"/>
    <w:basedOn w:val="a0"/>
    <w:rsid w:val="00A42876"/>
  </w:style>
  <w:style w:type="paragraph" w:styleId="aa">
    <w:name w:val="footer"/>
    <w:basedOn w:val="a"/>
    <w:link w:val="ab"/>
    <w:uiPriority w:val="99"/>
    <w:unhideWhenUsed/>
    <w:rsid w:val="00A65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53FB"/>
  </w:style>
  <w:style w:type="table" w:customStyle="1" w:styleId="TableNormal">
    <w:name w:val="Table Normal"/>
    <w:uiPriority w:val="2"/>
    <w:semiHidden/>
    <w:unhideWhenUsed/>
    <w:qFormat/>
    <w:rsid w:val="00A653FB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653FB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  <w:lang w:val="en-US"/>
    </w:rPr>
  </w:style>
  <w:style w:type="paragraph" w:styleId="ac">
    <w:name w:val="List Paragraph"/>
    <w:basedOn w:val="a"/>
    <w:uiPriority w:val="34"/>
    <w:qFormat/>
    <w:rsid w:val="00AF41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9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5A8C4-C2CF-4725-8F27-73ED4DFDE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14</Pages>
  <Words>3508</Words>
  <Characters>20002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</dc:creator>
  <cp:keywords/>
  <dc:description/>
  <cp:lastModifiedBy>Пользователь</cp:lastModifiedBy>
  <cp:revision>10</cp:revision>
  <dcterms:created xsi:type="dcterms:W3CDTF">2020-02-25T18:39:00Z</dcterms:created>
  <dcterms:modified xsi:type="dcterms:W3CDTF">2020-03-24T18:35:00Z</dcterms:modified>
</cp:coreProperties>
</file>