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8BF" w:rsidRPr="00BC641F" w:rsidRDefault="00C738BF" w:rsidP="005170AF">
      <w:pPr>
        <w:autoSpaceDE w:val="0"/>
        <w:autoSpaceDN w:val="0"/>
        <w:adjustRightInd w:val="0"/>
        <w:ind w:firstLine="709"/>
        <w:jc w:val="left"/>
      </w:pPr>
      <w:r w:rsidRPr="00BC641F">
        <w:t>УДК 616.37-002.2-035.2-036:303.446.34</w:t>
      </w:r>
    </w:p>
    <w:p w:rsidR="005170AF" w:rsidRDefault="005170AF" w:rsidP="005170AF">
      <w:pPr>
        <w:autoSpaceDE w:val="0"/>
        <w:autoSpaceDN w:val="0"/>
        <w:adjustRightInd w:val="0"/>
        <w:ind w:firstLine="709"/>
        <w:jc w:val="center"/>
        <w:rPr>
          <w:b/>
          <w:lang w:val="uk-UA"/>
        </w:rPr>
      </w:pPr>
      <w:r w:rsidRPr="00BC641F">
        <w:rPr>
          <w:b/>
          <w:lang w:val="uk-UA"/>
        </w:rPr>
        <w:t xml:space="preserve">Фактори ризику і оцінка прогнозу хронічного панкреатиту: загальнонаціональне популяційне </w:t>
      </w:r>
      <w:proofErr w:type="spellStart"/>
      <w:r w:rsidRPr="00BC641F">
        <w:rPr>
          <w:b/>
          <w:lang w:val="uk-UA"/>
        </w:rPr>
        <w:t>когортне</w:t>
      </w:r>
      <w:proofErr w:type="spellEnd"/>
      <w:r w:rsidRPr="00BC641F">
        <w:rPr>
          <w:b/>
          <w:lang w:val="uk-UA"/>
        </w:rPr>
        <w:t xml:space="preserve"> дослідження</w:t>
      </w:r>
    </w:p>
    <w:p w:rsidR="005170AF" w:rsidRPr="00BC641F" w:rsidRDefault="005170AF" w:rsidP="005170AF">
      <w:pPr>
        <w:autoSpaceDE w:val="0"/>
        <w:autoSpaceDN w:val="0"/>
        <w:adjustRightInd w:val="0"/>
        <w:ind w:firstLine="709"/>
        <w:jc w:val="center"/>
        <w:rPr>
          <w:b/>
          <w:lang w:val="uk-UA"/>
        </w:rPr>
      </w:pPr>
    </w:p>
    <w:p w:rsidR="005170AF" w:rsidRPr="00BC641F" w:rsidRDefault="005170AF" w:rsidP="005170AF">
      <w:pPr>
        <w:autoSpaceDE w:val="0"/>
        <w:autoSpaceDN w:val="0"/>
        <w:adjustRightInd w:val="0"/>
        <w:ind w:firstLine="709"/>
        <w:jc w:val="center"/>
        <w:rPr>
          <w:vertAlign w:val="superscript"/>
          <w:lang w:val="uk-UA"/>
        </w:rPr>
      </w:pPr>
      <w:proofErr w:type="spellStart"/>
      <w:r w:rsidRPr="00BC641F">
        <w:rPr>
          <w:lang w:val="uk-UA"/>
        </w:rPr>
        <w:t>Yen-Chih</w:t>
      </w:r>
      <w:proofErr w:type="spellEnd"/>
      <w:r w:rsidRPr="00BC641F">
        <w:rPr>
          <w:lang w:val="uk-UA"/>
        </w:rPr>
        <w:t xml:space="preserve"> Lin</w:t>
      </w:r>
      <w:r w:rsidRPr="00BC641F">
        <w:rPr>
          <w:vertAlign w:val="superscript"/>
          <w:lang w:val="uk-UA"/>
        </w:rPr>
        <w:t>1</w:t>
      </w:r>
      <w:r w:rsidRPr="00BC641F">
        <w:rPr>
          <w:lang w:val="uk-UA"/>
        </w:rPr>
        <w:t xml:space="preserve">, </w:t>
      </w:r>
      <w:proofErr w:type="spellStart"/>
      <w:r w:rsidRPr="00BC641F">
        <w:rPr>
          <w:lang w:val="uk-UA"/>
        </w:rPr>
        <w:t>Chew-Teng</w:t>
      </w:r>
      <w:proofErr w:type="spellEnd"/>
      <w:r w:rsidRPr="00BC641F">
        <w:rPr>
          <w:lang w:val="uk-UA"/>
        </w:rPr>
        <w:t xml:space="preserve"> Kor</w:t>
      </w:r>
      <w:r w:rsidRPr="00BC641F">
        <w:rPr>
          <w:vertAlign w:val="superscript"/>
          <w:lang w:val="uk-UA"/>
        </w:rPr>
        <w:t>2</w:t>
      </w:r>
      <w:r w:rsidRPr="00BC641F">
        <w:rPr>
          <w:lang w:val="uk-UA"/>
        </w:rPr>
        <w:t xml:space="preserve">, </w:t>
      </w:r>
      <w:proofErr w:type="spellStart"/>
      <w:r w:rsidRPr="00BC641F">
        <w:rPr>
          <w:lang w:val="uk-UA"/>
        </w:rPr>
        <w:t>Wei-Wen</w:t>
      </w:r>
      <w:proofErr w:type="spellEnd"/>
      <w:r w:rsidRPr="00BC641F">
        <w:rPr>
          <w:lang w:val="uk-UA"/>
        </w:rPr>
        <w:t xml:space="preserve"> Su</w:t>
      </w:r>
      <w:r w:rsidRPr="00BC641F">
        <w:rPr>
          <w:vertAlign w:val="superscript"/>
          <w:lang w:val="uk-UA"/>
        </w:rPr>
        <w:t>1</w:t>
      </w:r>
      <w:r w:rsidRPr="00BC641F">
        <w:rPr>
          <w:lang w:val="uk-UA"/>
        </w:rPr>
        <w:t xml:space="preserve">, </w:t>
      </w:r>
      <w:proofErr w:type="spellStart"/>
      <w:r w:rsidRPr="00BC641F">
        <w:rPr>
          <w:lang w:val="uk-UA"/>
        </w:rPr>
        <w:t>Yu-Chun</w:t>
      </w:r>
      <w:proofErr w:type="spellEnd"/>
      <w:r w:rsidRPr="00BC641F">
        <w:rPr>
          <w:lang w:val="uk-UA"/>
        </w:rPr>
        <w:t xml:space="preserve"> Hsu</w:t>
      </w:r>
      <w:r w:rsidRPr="00BC641F">
        <w:rPr>
          <w:vertAlign w:val="superscript"/>
          <w:lang w:val="uk-UA"/>
        </w:rPr>
        <w:t>1</w:t>
      </w:r>
    </w:p>
    <w:p w:rsidR="005170AF" w:rsidRPr="00BC641F" w:rsidRDefault="005170AF" w:rsidP="005170AF">
      <w:pPr>
        <w:pStyle w:val="70"/>
        <w:spacing w:after="0" w:line="240" w:lineRule="auto"/>
        <w:ind w:firstLine="709"/>
        <w:jc w:val="center"/>
        <w:rPr>
          <w:sz w:val="24"/>
          <w:szCs w:val="24"/>
          <w:lang w:val="uk-UA"/>
        </w:rPr>
      </w:pPr>
      <w:r w:rsidRPr="00BC641F">
        <w:rPr>
          <w:sz w:val="24"/>
          <w:szCs w:val="24"/>
          <w:vertAlign w:val="superscript"/>
          <w:lang w:val="uk-UA"/>
        </w:rPr>
        <w:t>1</w:t>
      </w:r>
      <w:r w:rsidRPr="00BC641F">
        <w:rPr>
          <w:sz w:val="24"/>
          <w:szCs w:val="24"/>
          <w:lang w:val="uk-UA"/>
        </w:rPr>
        <w:t xml:space="preserve">Відділення гастроентерології, відділення внутрішньої медицини, Християнська лікарня </w:t>
      </w:r>
      <w:proofErr w:type="spellStart"/>
      <w:r w:rsidRPr="00BC641F">
        <w:rPr>
          <w:sz w:val="24"/>
          <w:szCs w:val="24"/>
          <w:lang w:val="uk-UA"/>
        </w:rPr>
        <w:t>Чанхуа</w:t>
      </w:r>
      <w:proofErr w:type="spellEnd"/>
      <w:r w:rsidRPr="00BC641F">
        <w:rPr>
          <w:sz w:val="24"/>
          <w:szCs w:val="24"/>
          <w:lang w:val="uk-UA"/>
        </w:rPr>
        <w:t xml:space="preserve">, </w:t>
      </w:r>
      <w:proofErr w:type="spellStart"/>
      <w:r w:rsidRPr="00BC641F">
        <w:rPr>
          <w:sz w:val="24"/>
          <w:szCs w:val="24"/>
          <w:lang w:val="uk-UA"/>
        </w:rPr>
        <w:t>Чанхуа</w:t>
      </w:r>
      <w:proofErr w:type="spellEnd"/>
      <w:r w:rsidRPr="00BC641F">
        <w:rPr>
          <w:sz w:val="24"/>
          <w:szCs w:val="24"/>
          <w:lang w:val="uk-UA"/>
        </w:rPr>
        <w:t>, Тайвань, Китай</w:t>
      </w:r>
    </w:p>
    <w:p w:rsidR="005170AF" w:rsidRPr="00BC641F" w:rsidRDefault="005170AF" w:rsidP="005170AF">
      <w:pPr>
        <w:pStyle w:val="70"/>
        <w:shd w:val="clear" w:color="auto" w:fill="auto"/>
        <w:spacing w:after="0" w:line="240" w:lineRule="auto"/>
        <w:ind w:firstLine="709"/>
        <w:jc w:val="center"/>
        <w:rPr>
          <w:sz w:val="24"/>
          <w:szCs w:val="24"/>
          <w:lang w:val="uk-UA"/>
        </w:rPr>
      </w:pPr>
      <w:r w:rsidRPr="00BC641F">
        <w:rPr>
          <w:sz w:val="24"/>
          <w:szCs w:val="24"/>
          <w:vertAlign w:val="superscript"/>
          <w:lang w:val="uk-UA"/>
        </w:rPr>
        <w:t>2</w:t>
      </w:r>
      <w:r w:rsidRPr="00BC641F">
        <w:rPr>
          <w:sz w:val="24"/>
          <w:szCs w:val="24"/>
          <w:lang w:val="uk-UA"/>
        </w:rPr>
        <w:t xml:space="preserve">Науково-дослідний центр внутрішньої медицини, Християнська лікарня </w:t>
      </w:r>
      <w:proofErr w:type="spellStart"/>
      <w:r w:rsidRPr="00BC641F">
        <w:rPr>
          <w:sz w:val="24"/>
          <w:szCs w:val="24"/>
          <w:lang w:val="uk-UA"/>
        </w:rPr>
        <w:t>Чанхуа</w:t>
      </w:r>
      <w:proofErr w:type="spellEnd"/>
      <w:r w:rsidRPr="00BC641F">
        <w:rPr>
          <w:sz w:val="24"/>
          <w:szCs w:val="24"/>
          <w:lang w:val="uk-UA"/>
        </w:rPr>
        <w:t xml:space="preserve">, </w:t>
      </w:r>
      <w:proofErr w:type="spellStart"/>
      <w:r w:rsidRPr="00BC641F">
        <w:rPr>
          <w:sz w:val="24"/>
          <w:szCs w:val="24"/>
          <w:lang w:val="uk-UA"/>
        </w:rPr>
        <w:t>Чанхуа</w:t>
      </w:r>
      <w:proofErr w:type="spellEnd"/>
      <w:r w:rsidRPr="00BC641F">
        <w:rPr>
          <w:sz w:val="24"/>
          <w:szCs w:val="24"/>
          <w:lang w:val="uk-UA"/>
        </w:rPr>
        <w:t>, Тайвань, Китай</w:t>
      </w:r>
    </w:p>
    <w:p w:rsidR="005170AF" w:rsidRPr="00BC641F" w:rsidRDefault="005170AF" w:rsidP="005170AF">
      <w:pPr>
        <w:autoSpaceDE w:val="0"/>
        <w:autoSpaceDN w:val="0"/>
        <w:adjustRightInd w:val="0"/>
        <w:ind w:firstLine="709"/>
        <w:jc w:val="left"/>
        <w:rPr>
          <w:lang w:val="uk-UA"/>
        </w:rPr>
      </w:pPr>
    </w:p>
    <w:p w:rsidR="005170AF" w:rsidRPr="00BC641F" w:rsidRDefault="005170AF" w:rsidP="005170AF">
      <w:pPr>
        <w:autoSpaceDE w:val="0"/>
        <w:autoSpaceDN w:val="0"/>
        <w:adjustRightInd w:val="0"/>
        <w:ind w:firstLine="709"/>
        <w:jc w:val="center"/>
        <w:rPr>
          <w:lang w:val="uk-UA"/>
        </w:rPr>
      </w:pPr>
      <w:r w:rsidRPr="00BC641F">
        <w:rPr>
          <w:lang w:val="uk-UA"/>
        </w:rPr>
        <w:t xml:space="preserve">Стаття опублікована у журналі </w:t>
      </w:r>
      <w:proofErr w:type="spellStart"/>
      <w:r w:rsidRPr="00BC641F">
        <w:rPr>
          <w:i/>
          <w:iCs/>
          <w:lang w:val="uk-UA"/>
        </w:rPr>
        <w:t>World</w:t>
      </w:r>
      <w:proofErr w:type="spellEnd"/>
      <w:r w:rsidRPr="00BC641F">
        <w:rPr>
          <w:i/>
          <w:iCs/>
          <w:lang w:val="uk-UA"/>
        </w:rPr>
        <w:t xml:space="preserve"> J </w:t>
      </w:r>
      <w:proofErr w:type="spellStart"/>
      <w:r w:rsidRPr="00BC641F">
        <w:rPr>
          <w:i/>
          <w:iCs/>
          <w:lang w:val="uk-UA"/>
        </w:rPr>
        <w:t>Gastroenterol</w:t>
      </w:r>
      <w:proofErr w:type="spellEnd"/>
      <w:r w:rsidRPr="00BC641F">
        <w:rPr>
          <w:i/>
          <w:iCs/>
          <w:lang w:val="uk-UA"/>
        </w:rPr>
        <w:t xml:space="preserve">. </w:t>
      </w:r>
      <w:r w:rsidRPr="00BC641F">
        <w:rPr>
          <w:lang w:val="uk-UA"/>
        </w:rPr>
        <w:t xml:space="preserve">2018. </w:t>
      </w:r>
      <w:proofErr w:type="spellStart"/>
      <w:r w:rsidRPr="00BC641F">
        <w:rPr>
          <w:lang w:val="uk-UA"/>
        </w:rPr>
        <w:t>Vol</w:t>
      </w:r>
      <w:proofErr w:type="spellEnd"/>
      <w:r w:rsidRPr="00BC641F">
        <w:rPr>
          <w:lang w:val="uk-UA"/>
        </w:rPr>
        <w:t xml:space="preserve">. 24, </w:t>
      </w:r>
      <w:proofErr w:type="spellStart"/>
      <w:r w:rsidRPr="00BC641F">
        <w:rPr>
          <w:lang w:val="uk-UA"/>
        </w:rPr>
        <w:t>No</w:t>
      </w:r>
      <w:proofErr w:type="spellEnd"/>
      <w:r w:rsidRPr="00BC641F">
        <w:rPr>
          <w:lang w:val="uk-UA"/>
        </w:rPr>
        <w:t xml:space="preserve"> 44. P. 5034–5045.</w:t>
      </w:r>
    </w:p>
    <w:p w:rsidR="005170AF" w:rsidRPr="00BC641F" w:rsidRDefault="005170AF" w:rsidP="005170AF">
      <w:pPr>
        <w:autoSpaceDE w:val="0"/>
        <w:autoSpaceDN w:val="0"/>
        <w:adjustRightInd w:val="0"/>
        <w:ind w:firstLine="709"/>
        <w:jc w:val="left"/>
        <w:rPr>
          <w:lang w:val="uk-UA"/>
        </w:rPr>
      </w:pPr>
    </w:p>
    <w:p w:rsidR="005170AF" w:rsidRDefault="005170AF" w:rsidP="005170AF">
      <w:pPr>
        <w:autoSpaceDE w:val="0"/>
        <w:autoSpaceDN w:val="0"/>
        <w:adjustRightInd w:val="0"/>
        <w:ind w:firstLine="709"/>
        <w:rPr>
          <w:lang w:val="uk-UA"/>
        </w:rPr>
      </w:pPr>
      <w:r w:rsidRPr="00BC641F">
        <w:rPr>
          <w:b/>
          <w:lang w:val="uk-UA"/>
        </w:rPr>
        <w:t>Ключові слова:</w:t>
      </w:r>
      <w:r w:rsidRPr="00BC641F">
        <w:rPr>
          <w:lang w:val="uk-UA"/>
        </w:rPr>
        <w:t xml:space="preserve"> хронічний панкреатит, гострий панкреатит, оцінка прогнозу, ендоскопічне УЗД, рецидивний гострий панкреатит</w:t>
      </w:r>
    </w:p>
    <w:p w:rsidR="001B5DA6" w:rsidRDefault="001B5DA6" w:rsidP="005170AF">
      <w:pPr>
        <w:autoSpaceDE w:val="0"/>
        <w:autoSpaceDN w:val="0"/>
        <w:adjustRightInd w:val="0"/>
        <w:ind w:firstLine="709"/>
        <w:rPr>
          <w:lang w:val="uk-UA"/>
        </w:rPr>
      </w:pPr>
    </w:p>
    <w:p w:rsidR="005170AF" w:rsidRPr="001B5DA6" w:rsidRDefault="005170AF" w:rsidP="005170AF">
      <w:pPr>
        <w:autoSpaceDE w:val="0"/>
        <w:autoSpaceDN w:val="0"/>
        <w:adjustRightInd w:val="0"/>
        <w:ind w:firstLine="709"/>
        <w:rPr>
          <w:b/>
          <w:lang w:val="uk-UA"/>
        </w:rPr>
      </w:pPr>
      <w:r w:rsidRPr="001B5DA6">
        <w:rPr>
          <w:b/>
          <w:lang w:val="uk-UA"/>
        </w:rPr>
        <w:t>ВСТУП</w:t>
      </w:r>
    </w:p>
    <w:p w:rsidR="005170AF" w:rsidRPr="00865038" w:rsidRDefault="005170AF" w:rsidP="005170AF">
      <w:pPr>
        <w:autoSpaceDE w:val="0"/>
        <w:autoSpaceDN w:val="0"/>
        <w:adjustRightInd w:val="0"/>
        <w:ind w:firstLine="709"/>
        <w:rPr>
          <w:lang w:val="uk-UA"/>
        </w:rPr>
      </w:pPr>
      <w:r w:rsidRPr="005170AF">
        <w:rPr>
          <w:lang w:val="uk-UA"/>
        </w:rPr>
        <w:t>Гострий панкреатит (</w:t>
      </w:r>
      <w:r>
        <w:rPr>
          <w:lang w:val="uk-UA"/>
        </w:rPr>
        <w:t>ГП</w:t>
      </w:r>
      <w:r w:rsidRPr="005170AF">
        <w:rPr>
          <w:lang w:val="uk-UA"/>
        </w:rPr>
        <w:t>) і хронічний панкреатит (ХП) є поширеними захворюваннями, поширеними в усьому світі. Ці захворювання стали важливою проблемою громадської охорони здоров'я в багатьох країнах через висок</w:t>
      </w:r>
      <w:r>
        <w:rPr>
          <w:lang w:val="uk-UA"/>
        </w:rPr>
        <w:t>ий</w:t>
      </w:r>
      <w:r w:rsidRPr="005170AF">
        <w:rPr>
          <w:lang w:val="uk-UA"/>
        </w:rPr>
        <w:t xml:space="preserve"> рів</w:t>
      </w:r>
      <w:r>
        <w:rPr>
          <w:lang w:val="uk-UA"/>
        </w:rPr>
        <w:t>ень</w:t>
      </w:r>
      <w:r w:rsidRPr="005170AF">
        <w:rPr>
          <w:lang w:val="uk-UA"/>
        </w:rPr>
        <w:t xml:space="preserve"> смертності і значн</w:t>
      </w:r>
      <w:r w:rsidR="003A5A72">
        <w:rPr>
          <w:lang w:val="uk-UA"/>
        </w:rPr>
        <w:t>е</w:t>
      </w:r>
      <w:r w:rsidRPr="005170AF">
        <w:rPr>
          <w:lang w:val="uk-UA"/>
        </w:rPr>
        <w:t xml:space="preserve"> </w:t>
      </w:r>
      <w:r w:rsidR="003A5A72">
        <w:rPr>
          <w:lang w:val="uk-UA"/>
        </w:rPr>
        <w:t>навантаження</w:t>
      </w:r>
      <w:r w:rsidRPr="005170AF">
        <w:rPr>
          <w:lang w:val="uk-UA"/>
        </w:rPr>
        <w:t>, як</w:t>
      </w:r>
      <w:r w:rsidR="003A5A72">
        <w:rPr>
          <w:lang w:val="uk-UA"/>
        </w:rPr>
        <w:t>е</w:t>
      </w:r>
      <w:r w:rsidRPr="005170AF">
        <w:rPr>
          <w:lang w:val="uk-UA"/>
        </w:rPr>
        <w:t xml:space="preserve"> лягає на систему охорони здоров'я</w:t>
      </w:r>
      <w:r w:rsidRPr="00865038">
        <w:rPr>
          <w:lang w:val="uk-UA"/>
        </w:rPr>
        <w:t xml:space="preserve">. </w:t>
      </w:r>
      <w:r w:rsidR="00AB753B" w:rsidRPr="00865038">
        <w:rPr>
          <w:lang w:val="uk-UA"/>
        </w:rPr>
        <w:t xml:space="preserve">ГП </w:t>
      </w:r>
      <w:r w:rsidRPr="00865038">
        <w:rPr>
          <w:lang w:val="uk-UA"/>
        </w:rPr>
        <w:t>являє собою запальне захворювання підшлункової залози, яке вважається захворюванням, що завершується певним результатом з частотою від 5-10 на 100000 до 70-80 на 100000 в західних країнах, як</w:t>
      </w:r>
      <w:r w:rsidR="003A5A72">
        <w:rPr>
          <w:lang w:val="uk-UA"/>
        </w:rPr>
        <w:t>а</w:t>
      </w:r>
      <w:r w:rsidRPr="00865038">
        <w:rPr>
          <w:lang w:val="uk-UA"/>
        </w:rPr>
        <w:t xml:space="preserve">, мабуть, </w:t>
      </w:r>
      <w:r w:rsidR="003A5A72">
        <w:rPr>
          <w:lang w:val="uk-UA"/>
        </w:rPr>
        <w:t>підвищ</w:t>
      </w:r>
      <w:r w:rsidRPr="00865038">
        <w:rPr>
          <w:lang w:val="uk-UA"/>
        </w:rPr>
        <w:t>ується в останні роки [3]. На відміну від цього, ХП включає постійно триваючий деструктивний, запальний процес, який в кінцевому підсумку призводить до необоротного пошкодження ендокринної та екзокринної функцій підшлункової залози, а подальший розвиток цукрового діабету і часті госпіталізації стали обтяжливими для охорони здоров'я. Прогноз ХП є несприятливим, а рівень смертності приблизно вдвічі вищий, ніж у загальній популяції. Крім того, всесвітнє епідеміологічне дослідження, проведене в 1993 році, показало, що рівень захворюваності на рак підшлункової залози в 26 разів вищий у пацієнтів із ХП, що дозволяє припустити, що ризик раку підшлункової залози значно вищий у пацієнтів із ХП [22].</w:t>
      </w:r>
    </w:p>
    <w:p w:rsidR="005170AF" w:rsidRDefault="005170AF" w:rsidP="005170AF">
      <w:pPr>
        <w:autoSpaceDE w:val="0"/>
        <w:autoSpaceDN w:val="0"/>
        <w:adjustRightInd w:val="0"/>
        <w:ind w:firstLine="709"/>
        <w:rPr>
          <w:lang w:val="uk-UA"/>
        </w:rPr>
      </w:pPr>
      <w:r w:rsidRPr="00865038">
        <w:rPr>
          <w:lang w:val="uk-UA"/>
        </w:rPr>
        <w:t xml:space="preserve">Сформульовано консенсус щодо того, що </w:t>
      </w:r>
      <w:r w:rsidR="00AB753B" w:rsidRPr="00865038">
        <w:rPr>
          <w:lang w:val="uk-UA"/>
        </w:rPr>
        <w:t xml:space="preserve">ГП </w:t>
      </w:r>
      <w:r w:rsidRPr="00865038">
        <w:rPr>
          <w:lang w:val="uk-UA"/>
        </w:rPr>
        <w:t xml:space="preserve">і ХП є континуумом </w:t>
      </w:r>
      <w:proofErr w:type="spellStart"/>
      <w:r w:rsidRPr="00865038">
        <w:rPr>
          <w:lang w:val="uk-UA"/>
        </w:rPr>
        <w:t>хвороб</w:t>
      </w:r>
      <w:proofErr w:type="spellEnd"/>
      <w:r w:rsidRPr="00865038">
        <w:rPr>
          <w:lang w:val="uk-UA"/>
        </w:rPr>
        <w:t xml:space="preserve">, а проміжна стадія між ними - рецидивний </w:t>
      </w:r>
      <w:r w:rsidR="00AB753B" w:rsidRPr="00865038">
        <w:rPr>
          <w:lang w:val="uk-UA"/>
        </w:rPr>
        <w:t xml:space="preserve">ГП </w:t>
      </w:r>
      <w:r w:rsidRPr="00865038">
        <w:rPr>
          <w:lang w:val="uk-UA"/>
        </w:rPr>
        <w:t>(РГП) [27]. У кількох дослідженнях обговорюва</w:t>
      </w:r>
      <w:r w:rsidR="003A5A72">
        <w:rPr>
          <w:lang w:val="uk-UA"/>
        </w:rPr>
        <w:t>в</w:t>
      </w:r>
      <w:r w:rsidRPr="00865038">
        <w:rPr>
          <w:lang w:val="uk-UA"/>
        </w:rPr>
        <w:t xml:space="preserve">ся природний плин панкреатиту, а також фактори ризику та протекторні фактори, які відповідно сприяють або перешкоджають переходу від </w:t>
      </w:r>
      <w:r w:rsidR="00AB753B" w:rsidRPr="00865038">
        <w:rPr>
          <w:lang w:val="uk-UA"/>
        </w:rPr>
        <w:t xml:space="preserve">ГП </w:t>
      </w:r>
      <w:r w:rsidRPr="00865038">
        <w:rPr>
          <w:lang w:val="uk-UA"/>
        </w:rPr>
        <w:t>до Р</w:t>
      </w:r>
      <w:r w:rsidR="00AB753B" w:rsidRPr="00865038">
        <w:rPr>
          <w:lang w:val="uk-UA"/>
        </w:rPr>
        <w:t xml:space="preserve">ГП </w:t>
      </w:r>
      <w:r w:rsidRPr="005170AF">
        <w:rPr>
          <w:lang w:val="uk-UA"/>
        </w:rPr>
        <w:t>і ХП, хоча більшість з них були проведені в західних країнах [19, 27]. До основних факторів ризику розвитку ХП, крім вживання алкоголю, відноситься куріння. Більш того, повідомлялося, що куріння прискорює прогресування алкогольного ХП [23, 36]. Крім того, недавнє дослідження показало, що споживання алкоголю</w:t>
      </w:r>
      <w:r>
        <w:rPr>
          <w:lang w:val="uk-UA"/>
        </w:rPr>
        <w:t xml:space="preserve"> </w:t>
      </w:r>
      <w:r w:rsidRPr="005170AF">
        <w:rPr>
          <w:lang w:val="uk-UA"/>
        </w:rPr>
        <w:t>&gt; 13,5 г / день і куріння</w:t>
      </w:r>
      <w:r>
        <w:rPr>
          <w:lang w:val="uk-UA"/>
        </w:rPr>
        <w:t xml:space="preserve"> </w:t>
      </w:r>
      <w:r w:rsidRPr="005170AF">
        <w:rPr>
          <w:lang w:val="uk-UA"/>
        </w:rPr>
        <w:t xml:space="preserve">&gt; 5,5 сигарет / день пов'язані з розвитком ХП [10]. Оскільки тільки невеликий відсоток пацієнтів з </w:t>
      </w:r>
      <w:r w:rsidR="00AB753B">
        <w:rPr>
          <w:lang w:val="uk-UA"/>
        </w:rPr>
        <w:t xml:space="preserve">ГП </w:t>
      </w:r>
      <w:r w:rsidRPr="005170AF">
        <w:rPr>
          <w:lang w:val="uk-UA"/>
        </w:rPr>
        <w:t xml:space="preserve">прогресує до ХП, і було доведено, що ХП є важливим фактором ризику розвитку </w:t>
      </w:r>
      <w:proofErr w:type="spellStart"/>
      <w:r w:rsidRPr="005170AF">
        <w:rPr>
          <w:lang w:val="uk-UA"/>
        </w:rPr>
        <w:t>протоково</w:t>
      </w:r>
      <w:r>
        <w:rPr>
          <w:lang w:val="uk-UA"/>
        </w:rPr>
        <w:t>ї</w:t>
      </w:r>
      <w:proofErr w:type="spellEnd"/>
      <w:r w:rsidRPr="005170AF">
        <w:rPr>
          <w:lang w:val="uk-UA"/>
        </w:rPr>
        <w:t xml:space="preserve"> аденокарциноми підшлункової залози (ПАП</w:t>
      </w:r>
      <w:r>
        <w:rPr>
          <w:lang w:val="uk-UA"/>
        </w:rPr>
        <w:t>З</w:t>
      </w:r>
      <w:r w:rsidRPr="005170AF">
        <w:rPr>
          <w:lang w:val="uk-UA"/>
        </w:rPr>
        <w:t xml:space="preserve">), вкрай важливо прогнозувати розвиток ХП у пацієнтів </w:t>
      </w:r>
      <w:r>
        <w:rPr>
          <w:lang w:val="uk-UA"/>
        </w:rPr>
        <w:t>і</w:t>
      </w:r>
      <w:r w:rsidRPr="005170AF">
        <w:rPr>
          <w:lang w:val="uk-UA"/>
        </w:rPr>
        <w:t xml:space="preserve">з </w:t>
      </w:r>
      <w:r w:rsidR="00865038">
        <w:rPr>
          <w:lang w:val="uk-UA"/>
        </w:rPr>
        <w:t>ГП.</w:t>
      </w:r>
      <w:r w:rsidRPr="005170AF">
        <w:rPr>
          <w:lang w:val="uk-UA"/>
        </w:rPr>
        <w:t xml:space="preserve"> Проте, до теперішнього часу в англомовній літературі не використовувалися шкали прогнозування ХП, хоча були деякі показники для прогнозу ХП і </w:t>
      </w:r>
      <w:r w:rsidR="00AB753B">
        <w:rPr>
          <w:lang w:val="uk-UA"/>
        </w:rPr>
        <w:t xml:space="preserve">ГП </w:t>
      </w:r>
      <w:r w:rsidRPr="005170AF">
        <w:rPr>
          <w:lang w:val="uk-UA"/>
        </w:rPr>
        <w:t xml:space="preserve">[5, 34]. Тому в цьому великомасштабному популяційному </w:t>
      </w:r>
      <w:proofErr w:type="spellStart"/>
      <w:r w:rsidRPr="005170AF">
        <w:rPr>
          <w:lang w:val="uk-UA"/>
        </w:rPr>
        <w:t>когортно</w:t>
      </w:r>
      <w:r>
        <w:rPr>
          <w:lang w:val="uk-UA"/>
        </w:rPr>
        <w:t>му</w:t>
      </w:r>
      <w:proofErr w:type="spellEnd"/>
      <w:r w:rsidRPr="005170AF">
        <w:rPr>
          <w:lang w:val="uk-UA"/>
        </w:rPr>
        <w:t xml:space="preserve"> дослідженн</w:t>
      </w:r>
      <w:r>
        <w:rPr>
          <w:lang w:val="uk-UA"/>
        </w:rPr>
        <w:t>і</w:t>
      </w:r>
      <w:r w:rsidRPr="005170AF">
        <w:rPr>
          <w:lang w:val="uk-UA"/>
        </w:rPr>
        <w:t xml:space="preserve"> ми розробили і затвердили систему підрахунку балів для прогнозування ХП з використанням даних з національної бази даних досліджень медичного страхування (NHIRD) на Тайвані.</w:t>
      </w:r>
    </w:p>
    <w:p w:rsidR="001B5DA6" w:rsidRDefault="001B5DA6" w:rsidP="001B5DA6">
      <w:pPr>
        <w:autoSpaceDE w:val="0"/>
        <w:autoSpaceDN w:val="0"/>
        <w:adjustRightInd w:val="0"/>
        <w:ind w:firstLine="709"/>
        <w:rPr>
          <w:lang w:val="uk-UA"/>
        </w:rPr>
      </w:pPr>
    </w:p>
    <w:p w:rsidR="001B5DA6" w:rsidRPr="001B5DA6" w:rsidRDefault="001B5DA6" w:rsidP="001B5DA6">
      <w:pPr>
        <w:autoSpaceDE w:val="0"/>
        <w:autoSpaceDN w:val="0"/>
        <w:adjustRightInd w:val="0"/>
        <w:ind w:firstLine="709"/>
        <w:rPr>
          <w:b/>
          <w:lang w:val="uk-UA"/>
        </w:rPr>
      </w:pPr>
      <w:r w:rsidRPr="001B5DA6">
        <w:rPr>
          <w:b/>
          <w:lang w:val="uk-UA"/>
        </w:rPr>
        <w:t>МАТЕРІАЛИ ТА МЕТОДИ</w:t>
      </w:r>
    </w:p>
    <w:p w:rsidR="001B5DA6" w:rsidRPr="001B5DA6" w:rsidRDefault="001B5DA6" w:rsidP="001B5DA6">
      <w:pPr>
        <w:autoSpaceDE w:val="0"/>
        <w:autoSpaceDN w:val="0"/>
        <w:adjustRightInd w:val="0"/>
        <w:ind w:firstLine="709"/>
        <w:rPr>
          <w:lang w:val="uk-UA"/>
        </w:rPr>
      </w:pPr>
      <w:r w:rsidRPr="001B5DA6">
        <w:rPr>
          <w:lang w:val="uk-UA"/>
        </w:rPr>
        <w:t>Ми отримали дані з тайвансько</w:t>
      </w:r>
      <w:r>
        <w:rPr>
          <w:lang w:val="uk-UA"/>
        </w:rPr>
        <w:t>ї</w:t>
      </w:r>
      <w:r w:rsidRPr="001B5DA6">
        <w:rPr>
          <w:lang w:val="uk-UA"/>
        </w:rPr>
        <w:t xml:space="preserve"> NHIRD. Ця база є однією з найповн</w:t>
      </w:r>
      <w:r>
        <w:rPr>
          <w:lang w:val="uk-UA"/>
        </w:rPr>
        <w:t>іш</w:t>
      </w:r>
      <w:r w:rsidRPr="001B5DA6">
        <w:rPr>
          <w:lang w:val="uk-UA"/>
        </w:rPr>
        <w:t xml:space="preserve">их світових баз даних і включає в себе всі дані для оплати медичної допомоги з національної програми </w:t>
      </w:r>
      <w:r w:rsidRPr="001B5DA6">
        <w:rPr>
          <w:lang w:val="uk-UA"/>
        </w:rPr>
        <w:lastRenderedPageBreak/>
        <w:t>медичного страхування, такі як демографічні дані, кількість випадків амбулаторного лікування, записи відвідувань клініки, госпіталізації, стоматологічні послуги, рецепти і статус захворювання. Національна програма медичного страхування</w:t>
      </w:r>
      <w:r>
        <w:rPr>
          <w:lang w:val="uk-UA"/>
        </w:rPr>
        <w:t>,</w:t>
      </w:r>
      <w:r w:rsidRPr="001B5DA6">
        <w:rPr>
          <w:lang w:val="uk-UA"/>
        </w:rPr>
        <w:t xml:space="preserve"> як</w:t>
      </w:r>
      <w:r>
        <w:rPr>
          <w:lang w:val="uk-UA"/>
        </w:rPr>
        <w:t>у було ініційовано</w:t>
      </w:r>
      <w:r w:rsidRPr="001B5DA6">
        <w:rPr>
          <w:lang w:val="uk-UA"/>
        </w:rPr>
        <w:t xml:space="preserve"> урядом Тайваню в березні 1995 року, охоплює більше 99% всього населення або приблизно 23 мільйони чоловік. Діагностичні коди, що використовуються в NHIRD для позначення захворювань, засновані на Міжнародній класифікації </w:t>
      </w:r>
      <w:proofErr w:type="spellStart"/>
      <w:r w:rsidRPr="001B5DA6">
        <w:rPr>
          <w:lang w:val="uk-UA"/>
        </w:rPr>
        <w:t>хвороб</w:t>
      </w:r>
      <w:proofErr w:type="spellEnd"/>
      <w:r w:rsidRPr="001B5DA6">
        <w:rPr>
          <w:lang w:val="uk-UA"/>
        </w:rPr>
        <w:t>, дев'ятої редакції, з клінічно</w:t>
      </w:r>
      <w:r>
        <w:rPr>
          <w:lang w:val="uk-UA"/>
        </w:rPr>
        <w:t>ю</w:t>
      </w:r>
      <w:r w:rsidRPr="001B5DA6">
        <w:rPr>
          <w:lang w:val="uk-UA"/>
        </w:rPr>
        <w:t xml:space="preserve"> модифікацією (ICD-9-CM), яка довела свою високу точність і достовірність [7, 8, 15]. Дані для цього дослідження були виділені з повного огляду і схвалені Інституціональн</w:t>
      </w:r>
      <w:r>
        <w:rPr>
          <w:lang w:val="uk-UA"/>
        </w:rPr>
        <w:t>ою</w:t>
      </w:r>
      <w:r w:rsidRPr="001B5DA6">
        <w:rPr>
          <w:lang w:val="uk-UA"/>
        </w:rPr>
        <w:t xml:space="preserve"> контрольн</w:t>
      </w:r>
      <w:r>
        <w:rPr>
          <w:lang w:val="uk-UA"/>
        </w:rPr>
        <w:t>ою</w:t>
      </w:r>
      <w:r w:rsidRPr="001B5DA6">
        <w:rPr>
          <w:lang w:val="uk-UA"/>
        </w:rPr>
        <w:t xml:space="preserve"> радою Християнської лікарні </w:t>
      </w:r>
      <w:proofErr w:type="spellStart"/>
      <w:r w:rsidRPr="001B5DA6">
        <w:rPr>
          <w:lang w:val="uk-UA"/>
        </w:rPr>
        <w:t>Чанхуа</w:t>
      </w:r>
      <w:proofErr w:type="spellEnd"/>
      <w:r w:rsidRPr="001B5DA6">
        <w:rPr>
          <w:lang w:val="uk-UA"/>
        </w:rPr>
        <w:t xml:space="preserve"> (номер підтвердження: 171112).</w:t>
      </w:r>
    </w:p>
    <w:p w:rsidR="001B5DA6" w:rsidRPr="001B5DA6" w:rsidRDefault="001B5DA6" w:rsidP="001B5DA6">
      <w:pPr>
        <w:autoSpaceDE w:val="0"/>
        <w:autoSpaceDN w:val="0"/>
        <w:adjustRightInd w:val="0"/>
        <w:ind w:firstLine="709"/>
        <w:rPr>
          <w:b/>
          <w:lang w:val="uk-UA"/>
        </w:rPr>
      </w:pPr>
      <w:r w:rsidRPr="001B5DA6">
        <w:rPr>
          <w:b/>
          <w:lang w:val="uk-UA"/>
        </w:rPr>
        <w:t>Популяція дослідження</w:t>
      </w:r>
    </w:p>
    <w:p w:rsidR="001B5DA6" w:rsidRPr="001B5DA6" w:rsidRDefault="001B5DA6" w:rsidP="001B5DA6">
      <w:pPr>
        <w:autoSpaceDE w:val="0"/>
        <w:autoSpaceDN w:val="0"/>
        <w:adjustRightInd w:val="0"/>
        <w:ind w:firstLine="709"/>
        <w:rPr>
          <w:lang w:val="uk-UA"/>
        </w:rPr>
      </w:pPr>
      <w:r w:rsidRPr="001B5DA6">
        <w:rPr>
          <w:lang w:val="uk-UA"/>
        </w:rPr>
        <w:t xml:space="preserve">В цілому 5971 пацієнт з одним або декількома епізодами </w:t>
      </w:r>
      <w:r w:rsidR="00AB753B">
        <w:rPr>
          <w:lang w:val="uk-UA"/>
        </w:rPr>
        <w:t xml:space="preserve">ГП </w:t>
      </w:r>
      <w:r w:rsidRPr="001B5DA6">
        <w:rPr>
          <w:lang w:val="uk-UA"/>
        </w:rPr>
        <w:t>(ICD-9-CM код 577.0), зареєстровани</w:t>
      </w:r>
      <w:r>
        <w:rPr>
          <w:lang w:val="uk-UA"/>
        </w:rPr>
        <w:t>й</w:t>
      </w:r>
      <w:r w:rsidRPr="001B5DA6">
        <w:rPr>
          <w:lang w:val="uk-UA"/>
        </w:rPr>
        <w:t xml:space="preserve"> за період з 2000 по 2013 рік, був ідентифікований в базі даних. З 1996 по 1999 рік застосовувався чотирирічний період ретроспективного аналізу для гарантування того, що всі випадки в нашій групі були знову </w:t>
      </w:r>
      <w:proofErr w:type="spellStart"/>
      <w:r w:rsidRPr="001B5DA6">
        <w:rPr>
          <w:lang w:val="uk-UA"/>
        </w:rPr>
        <w:t>діагностованими</w:t>
      </w:r>
      <w:proofErr w:type="spellEnd"/>
      <w:r w:rsidRPr="001B5DA6">
        <w:rPr>
          <w:lang w:val="uk-UA"/>
        </w:rPr>
        <w:t xml:space="preserve">, і зменшити кількість помилкових інцидентів. Пацієнти з попереднім діагнозом </w:t>
      </w:r>
      <w:r w:rsidR="00AB753B">
        <w:rPr>
          <w:lang w:val="uk-UA"/>
        </w:rPr>
        <w:t xml:space="preserve">ГП </w:t>
      </w:r>
      <w:r w:rsidR="003A5A72">
        <w:rPr>
          <w:lang w:val="uk-UA"/>
        </w:rPr>
        <w:t>впродовж</w:t>
      </w:r>
      <w:r w:rsidRPr="001B5DA6">
        <w:rPr>
          <w:lang w:val="uk-UA"/>
        </w:rPr>
        <w:t xml:space="preserve"> періоду спостереження були виключені. Пацієнти з ХП до початку дослідження, пацієнти у віці &lt;18 або</w:t>
      </w:r>
      <w:r>
        <w:rPr>
          <w:lang w:val="uk-UA"/>
        </w:rPr>
        <w:t xml:space="preserve"> </w:t>
      </w:r>
      <w:r w:rsidRPr="001B5DA6">
        <w:rPr>
          <w:lang w:val="uk-UA"/>
        </w:rPr>
        <w:t xml:space="preserve">&gt; 100 років, пацієнти з тривалістю спостереження &lt;1 року, а також пацієнти з </w:t>
      </w:r>
      <w:proofErr w:type="spellStart"/>
      <w:r w:rsidRPr="001B5DA6">
        <w:rPr>
          <w:lang w:val="uk-UA"/>
        </w:rPr>
        <w:t>біліарним</w:t>
      </w:r>
      <w:proofErr w:type="spellEnd"/>
      <w:r w:rsidRPr="001B5DA6">
        <w:rPr>
          <w:lang w:val="uk-UA"/>
        </w:rPr>
        <w:t xml:space="preserve"> або обструктивним панкреатитом [4] (наприклад, внаслідок раку підшлункової залози і </w:t>
      </w:r>
      <w:proofErr w:type="spellStart"/>
      <w:r w:rsidRPr="001B5DA6">
        <w:rPr>
          <w:lang w:val="uk-UA"/>
        </w:rPr>
        <w:t>pancreas</w:t>
      </w:r>
      <w:proofErr w:type="spellEnd"/>
      <w:r w:rsidRPr="001B5DA6">
        <w:rPr>
          <w:lang w:val="uk-UA"/>
        </w:rPr>
        <w:t xml:space="preserve"> </w:t>
      </w:r>
      <w:proofErr w:type="spellStart"/>
      <w:r w:rsidRPr="001B5DA6">
        <w:rPr>
          <w:lang w:val="uk-UA"/>
        </w:rPr>
        <w:t>divisum</w:t>
      </w:r>
      <w:proofErr w:type="spellEnd"/>
      <w:r w:rsidRPr="001B5DA6">
        <w:rPr>
          <w:lang w:val="uk-UA"/>
        </w:rPr>
        <w:t xml:space="preserve">) були також виключені, тому що ці пацієнти </w:t>
      </w:r>
      <w:proofErr w:type="spellStart"/>
      <w:r w:rsidRPr="001B5DA6">
        <w:rPr>
          <w:lang w:val="uk-UA"/>
        </w:rPr>
        <w:t>рідко</w:t>
      </w:r>
      <w:proofErr w:type="spellEnd"/>
      <w:r w:rsidRPr="001B5DA6">
        <w:rPr>
          <w:lang w:val="uk-UA"/>
        </w:rPr>
        <w:t xml:space="preserve"> прогресують до ХП. Відповідно, 3739 пацієнтів з необструктивним, </w:t>
      </w:r>
      <w:proofErr w:type="spellStart"/>
      <w:r w:rsidRPr="001B5DA6">
        <w:rPr>
          <w:lang w:val="uk-UA"/>
        </w:rPr>
        <w:t>небіліарн</w:t>
      </w:r>
      <w:r>
        <w:rPr>
          <w:lang w:val="uk-UA"/>
        </w:rPr>
        <w:t>им</w:t>
      </w:r>
      <w:proofErr w:type="spellEnd"/>
      <w:r w:rsidRPr="001B5DA6">
        <w:rPr>
          <w:lang w:val="uk-UA"/>
        </w:rPr>
        <w:t xml:space="preserve"> </w:t>
      </w:r>
      <w:r w:rsidR="00AB753B">
        <w:rPr>
          <w:lang w:val="uk-UA"/>
        </w:rPr>
        <w:t xml:space="preserve">ГП </w:t>
      </w:r>
      <w:r w:rsidRPr="001B5DA6">
        <w:rPr>
          <w:lang w:val="uk-UA"/>
        </w:rPr>
        <w:t xml:space="preserve">були ідентифіковані для подальшого аналізу. Потім ми розробили модель для прогнозування прогресування до ХП </w:t>
      </w:r>
      <w:r>
        <w:rPr>
          <w:lang w:val="uk-UA"/>
        </w:rPr>
        <w:t>у</w:t>
      </w:r>
      <w:r w:rsidRPr="001B5DA6">
        <w:rPr>
          <w:lang w:val="uk-UA"/>
        </w:rPr>
        <w:t xml:space="preserve"> випадково обраних двох третинах цієї когорти (дериваційна когорта) і оцінили цю модель в одн</w:t>
      </w:r>
      <w:r>
        <w:rPr>
          <w:lang w:val="uk-UA"/>
        </w:rPr>
        <w:t>ій</w:t>
      </w:r>
      <w:r w:rsidRPr="001B5DA6">
        <w:rPr>
          <w:lang w:val="uk-UA"/>
        </w:rPr>
        <w:t xml:space="preserve"> третин</w:t>
      </w:r>
      <w:r>
        <w:rPr>
          <w:lang w:val="uk-UA"/>
        </w:rPr>
        <w:t>і</w:t>
      </w:r>
      <w:r w:rsidRPr="001B5DA6">
        <w:rPr>
          <w:lang w:val="uk-UA"/>
        </w:rPr>
        <w:t xml:space="preserve"> цієї когорти (</w:t>
      </w:r>
      <w:proofErr w:type="spellStart"/>
      <w:r w:rsidRPr="001B5DA6">
        <w:rPr>
          <w:lang w:val="uk-UA"/>
        </w:rPr>
        <w:t>валідаційн</w:t>
      </w:r>
      <w:r>
        <w:rPr>
          <w:lang w:val="uk-UA"/>
        </w:rPr>
        <w:t>а</w:t>
      </w:r>
      <w:proofErr w:type="spellEnd"/>
      <w:r w:rsidRPr="001B5DA6">
        <w:rPr>
          <w:lang w:val="uk-UA"/>
        </w:rPr>
        <w:t xml:space="preserve"> когорта)</w:t>
      </w:r>
      <w:r>
        <w:rPr>
          <w:lang w:val="uk-UA"/>
        </w:rPr>
        <w:t>, що залишилась</w:t>
      </w:r>
      <w:r w:rsidRPr="001B5DA6">
        <w:rPr>
          <w:lang w:val="uk-UA"/>
        </w:rPr>
        <w:t>.</w:t>
      </w:r>
    </w:p>
    <w:p w:rsidR="001B5DA6" w:rsidRPr="001B5DA6" w:rsidRDefault="001B5DA6" w:rsidP="001B5DA6">
      <w:pPr>
        <w:autoSpaceDE w:val="0"/>
        <w:autoSpaceDN w:val="0"/>
        <w:adjustRightInd w:val="0"/>
        <w:ind w:firstLine="709"/>
        <w:rPr>
          <w:b/>
          <w:lang w:val="uk-UA"/>
        </w:rPr>
      </w:pPr>
      <w:r w:rsidRPr="001B5DA6">
        <w:rPr>
          <w:b/>
          <w:lang w:val="uk-UA"/>
        </w:rPr>
        <w:t>Результати оцінки та відповідні змінні</w:t>
      </w:r>
    </w:p>
    <w:p w:rsidR="001B5DA6" w:rsidRPr="001B5DA6" w:rsidRDefault="001B5DA6" w:rsidP="001B5DA6">
      <w:pPr>
        <w:autoSpaceDE w:val="0"/>
        <w:autoSpaceDN w:val="0"/>
        <w:adjustRightInd w:val="0"/>
        <w:ind w:firstLine="709"/>
        <w:rPr>
          <w:lang w:val="uk-UA"/>
        </w:rPr>
      </w:pPr>
      <w:r>
        <w:rPr>
          <w:lang w:val="uk-UA"/>
        </w:rPr>
        <w:t>Результати</w:t>
      </w:r>
      <w:r w:rsidRPr="001B5DA6">
        <w:rPr>
          <w:lang w:val="uk-UA"/>
        </w:rPr>
        <w:t xml:space="preserve"> і супутні захворювання були визначені на основі кодів ICD-9-CM. ХП був визначений з використанням кодів ICD-9-CM (код ICD-9-CM 577.1).</w:t>
      </w:r>
    </w:p>
    <w:p w:rsidR="001B5DA6" w:rsidRPr="001B5DA6" w:rsidRDefault="001B5DA6" w:rsidP="001B5DA6">
      <w:pPr>
        <w:autoSpaceDE w:val="0"/>
        <w:autoSpaceDN w:val="0"/>
        <w:adjustRightInd w:val="0"/>
        <w:ind w:firstLine="709"/>
        <w:rPr>
          <w:lang w:val="uk-UA"/>
        </w:rPr>
      </w:pPr>
      <w:r w:rsidRPr="001B5DA6">
        <w:rPr>
          <w:lang w:val="uk-UA"/>
        </w:rPr>
        <w:t>Щоб уникнути переоцінки ХП тільки за допомогою кодування ICD-9-CM, ми виключили всіх пацієнтів без комп'ютерної томографії (КТ) або магнітно-резонансної томографії (МРТ) черевної порожнини, виконаних за 3 місяці до постановки діагнозу ХП.</w:t>
      </w:r>
    </w:p>
    <w:p w:rsidR="005170AF" w:rsidRDefault="001B5DA6" w:rsidP="001B5DA6">
      <w:pPr>
        <w:autoSpaceDE w:val="0"/>
        <w:autoSpaceDN w:val="0"/>
        <w:adjustRightInd w:val="0"/>
        <w:ind w:firstLine="709"/>
        <w:rPr>
          <w:lang w:val="uk-UA"/>
        </w:rPr>
      </w:pPr>
      <w:r w:rsidRPr="001B5DA6">
        <w:rPr>
          <w:lang w:val="uk-UA"/>
        </w:rPr>
        <w:t>Пацієнти перебували під наглядом з моменту ініціально</w:t>
      </w:r>
      <w:r w:rsidR="008146D6">
        <w:rPr>
          <w:lang w:val="uk-UA"/>
        </w:rPr>
        <w:t>ї</w:t>
      </w:r>
      <w:r w:rsidRPr="001B5DA6">
        <w:rPr>
          <w:lang w:val="uk-UA"/>
        </w:rPr>
        <w:t xml:space="preserve"> дати (тобто дати першого діагнозу </w:t>
      </w:r>
      <w:r w:rsidR="003A5A72">
        <w:rPr>
          <w:lang w:val="uk-UA"/>
        </w:rPr>
        <w:t>Г</w:t>
      </w:r>
      <w:r w:rsidRPr="001B5DA6">
        <w:rPr>
          <w:lang w:val="uk-UA"/>
        </w:rPr>
        <w:t xml:space="preserve">П) до дати, коли вони вийшли з програми страхування, або до кінця 2013 року. Основні супутні захворювання, </w:t>
      </w:r>
      <w:proofErr w:type="spellStart"/>
      <w:r w:rsidRPr="001B5DA6">
        <w:rPr>
          <w:lang w:val="uk-UA"/>
        </w:rPr>
        <w:t>діагностовані</w:t>
      </w:r>
      <w:proofErr w:type="spellEnd"/>
      <w:r w:rsidRPr="001B5DA6">
        <w:rPr>
          <w:lang w:val="uk-UA"/>
        </w:rPr>
        <w:t xml:space="preserve"> до ініціальної дати, були визначені як вихідні супутні захворювання на основі даних для оплати медичної допомоги. Ці супутні захворювання включали ожиріння, гіпертонію, </w:t>
      </w:r>
      <w:proofErr w:type="spellStart"/>
      <w:r w:rsidRPr="001B5DA6">
        <w:rPr>
          <w:lang w:val="uk-UA"/>
        </w:rPr>
        <w:t>гіперліпідемію</w:t>
      </w:r>
      <w:proofErr w:type="spellEnd"/>
      <w:r w:rsidRPr="001B5DA6">
        <w:rPr>
          <w:lang w:val="uk-UA"/>
        </w:rPr>
        <w:t xml:space="preserve">, цукровий діабет, алкоголізм [коди, пов'язані з вживанням алкоголю: коди ICD-9-CM 291, 303, 305.0, 357.5, 571.0, 571.1, 571.2 і 790.3 (V11.3)], куріння (коди, пов'язані з курінням: ICD-9-CM 305.1, V15.82, 491, 492, 493 і 496) і хронічну хворобу нирок. Якщо пацієнти з </w:t>
      </w:r>
      <w:r w:rsidR="00865038">
        <w:rPr>
          <w:lang w:val="uk-UA"/>
        </w:rPr>
        <w:t>ГП,</w:t>
      </w:r>
      <w:r w:rsidR="001E1FD2">
        <w:rPr>
          <w:lang w:val="uk-UA"/>
        </w:rPr>
        <w:t xml:space="preserve"> </w:t>
      </w:r>
      <w:r w:rsidRPr="001B5DA6">
        <w:rPr>
          <w:lang w:val="uk-UA"/>
        </w:rPr>
        <w:t xml:space="preserve">включені в наше дослідження, мали кодування, пов'язане з вживанням алкоголю або курінням, </w:t>
      </w:r>
      <w:r w:rsidR="004B3DE8">
        <w:rPr>
          <w:lang w:val="uk-UA"/>
        </w:rPr>
        <w:t>впродовж</w:t>
      </w:r>
      <w:r w:rsidRPr="001B5DA6">
        <w:rPr>
          <w:lang w:val="uk-UA"/>
        </w:rPr>
        <w:t xml:space="preserve"> періоду спостереження після першого епізоду </w:t>
      </w:r>
      <w:r w:rsidR="00865038">
        <w:rPr>
          <w:lang w:val="uk-UA"/>
        </w:rPr>
        <w:t>ГП,</w:t>
      </w:r>
      <w:r w:rsidR="001E1FD2">
        <w:rPr>
          <w:lang w:val="uk-UA"/>
        </w:rPr>
        <w:t xml:space="preserve"> </w:t>
      </w:r>
      <w:r w:rsidRPr="001B5DA6">
        <w:rPr>
          <w:lang w:val="uk-UA"/>
        </w:rPr>
        <w:t>ми вважали, що вони мають звичку зловживання алкоголем і куріння</w:t>
      </w:r>
      <w:r w:rsidR="008146D6">
        <w:rPr>
          <w:lang w:val="uk-UA"/>
        </w:rPr>
        <w:t>м</w:t>
      </w:r>
      <w:r w:rsidRPr="001B5DA6">
        <w:rPr>
          <w:lang w:val="uk-UA"/>
        </w:rPr>
        <w:t xml:space="preserve">. Для оцінки впливу соціально-економічних чинників на розвиток захворювання реєстрували щомісячний дохід і місце проживання пацієнтів. Для кількісної оцінки вихідних супутніх захворювань був використаний показник індексу </w:t>
      </w:r>
      <w:proofErr w:type="spellStart"/>
      <w:r w:rsidRPr="001B5DA6">
        <w:rPr>
          <w:lang w:val="uk-UA"/>
        </w:rPr>
        <w:t>коморбідності</w:t>
      </w:r>
      <w:proofErr w:type="spellEnd"/>
      <w:r w:rsidRPr="001B5DA6">
        <w:rPr>
          <w:lang w:val="uk-UA"/>
        </w:rPr>
        <w:t xml:space="preserve"> </w:t>
      </w:r>
      <w:proofErr w:type="spellStart"/>
      <w:r w:rsidRPr="001B5DA6">
        <w:rPr>
          <w:lang w:val="uk-UA"/>
        </w:rPr>
        <w:t>Charlson</w:t>
      </w:r>
      <w:proofErr w:type="spellEnd"/>
      <w:r w:rsidRPr="001B5DA6">
        <w:rPr>
          <w:lang w:val="uk-UA"/>
        </w:rPr>
        <w:t xml:space="preserve"> (CCI). Також оцінювалася історія довгострокового використання лікарських препаратів, які є можливими факторами ризику для </w:t>
      </w:r>
      <w:r w:rsidR="00865038">
        <w:rPr>
          <w:lang w:val="uk-UA"/>
        </w:rPr>
        <w:t>ГП,</w:t>
      </w:r>
      <w:r w:rsidR="004B3DE8">
        <w:rPr>
          <w:lang w:val="uk-UA"/>
        </w:rPr>
        <w:t xml:space="preserve"> </w:t>
      </w:r>
      <w:r w:rsidRPr="001B5DA6">
        <w:rPr>
          <w:lang w:val="uk-UA"/>
        </w:rPr>
        <w:t xml:space="preserve">включаючи </w:t>
      </w:r>
      <w:proofErr w:type="spellStart"/>
      <w:r w:rsidRPr="001B5DA6">
        <w:rPr>
          <w:lang w:val="uk-UA"/>
        </w:rPr>
        <w:t>статини</w:t>
      </w:r>
      <w:proofErr w:type="spellEnd"/>
      <w:r w:rsidRPr="001B5DA6">
        <w:rPr>
          <w:lang w:val="uk-UA"/>
        </w:rPr>
        <w:t xml:space="preserve">, інгібітори </w:t>
      </w:r>
      <w:proofErr w:type="spellStart"/>
      <w:r w:rsidRPr="001B5DA6">
        <w:rPr>
          <w:lang w:val="uk-UA"/>
        </w:rPr>
        <w:t>ангіотензинперетворюючого</w:t>
      </w:r>
      <w:proofErr w:type="spellEnd"/>
      <w:r w:rsidRPr="001B5DA6">
        <w:rPr>
          <w:lang w:val="uk-UA"/>
        </w:rPr>
        <w:t xml:space="preserve"> ферменту, преднізолон, </w:t>
      </w:r>
      <w:proofErr w:type="spellStart"/>
      <w:r w:rsidRPr="001B5DA6">
        <w:rPr>
          <w:lang w:val="uk-UA"/>
        </w:rPr>
        <w:t>гідрохлортіазид</w:t>
      </w:r>
      <w:proofErr w:type="spellEnd"/>
      <w:r w:rsidRPr="001B5DA6">
        <w:rPr>
          <w:lang w:val="uk-UA"/>
        </w:rPr>
        <w:t xml:space="preserve">, статеві гормони і </w:t>
      </w:r>
      <w:proofErr w:type="spellStart"/>
      <w:r w:rsidRPr="001B5DA6">
        <w:rPr>
          <w:lang w:val="uk-UA"/>
        </w:rPr>
        <w:t>метформін</w:t>
      </w:r>
      <w:proofErr w:type="spellEnd"/>
      <w:r w:rsidRPr="001B5DA6">
        <w:rPr>
          <w:lang w:val="uk-UA"/>
        </w:rPr>
        <w:t>.</w:t>
      </w:r>
      <w:r w:rsidR="004B3DE8">
        <w:rPr>
          <w:lang w:val="uk-UA"/>
        </w:rPr>
        <w:t xml:space="preserve"> </w:t>
      </w:r>
    </w:p>
    <w:p w:rsidR="008146D6" w:rsidRPr="008146D6" w:rsidRDefault="008146D6" w:rsidP="008146D6">
      <w:pPr>
        <w:autoSpaceDE w:val="0"/>
        <w:autoSpaceDN w:val="0"/>
        <w:adjustRightInd w:val="0"/>
        <w:ind w:firstLine="709"/>
        <w:rPr>
          <w:b/>
          <w:lang w:val="uk-UA"/>
        </w:rPr>
      </w:pPr>
      <w:r w:rsidRPr="008146D6">
        <w:rPr>
          <w:b/>
          <w:lang w:val="uk-UA"/>
        </w:rPr>
        <w:t>Статистичний аналіз</w:t>
      </w:r>
    </w:p>
    <w:p w:rsidR="008146D6" w:rsidRPr="008146D6" w:rsidRDefault="008146D6" w:rsidP="008146D6">
      <w:pPr>
        <w:autoSpaceDE w:val="0"/>
        <w:autoSpaceDN w:val="0"/>
        <w:adjustRightInd w:val="0"/>
        <w:ind w:firstLine="709"/>
        <w:rPr>
          <w:lang w:val="uk-UA"/>
        </w:rPr>
      </w:pPr>
      <w:r w:rsidRPr="008146D6">
        <w:rPr>
          <w:lang w:val="uk-UA"/>
        </w:rPr>
        <w:t>Демографічні та клінічні характеристики пацієнтів в дослідженні узагальнені у вигляді пропорцій і середніх значень ± стандартне відхилення (С</w:t>
      </w:r>
      <w:r>
        <w:rPr>
          <w:lang w:val="uk-UA"/>
        </w:rPr>
        <w:t>В</w:t>
      </w:r>
      <w:r w:rsidRPr="008146D6">
        <w:rPr>
          <w:lang w:val="uk-UA"/>
        </w:rPr>
        <w:t xml:space="preserve">). Критерій хі-квадрат і критерій Стьюдента використовувалися для порівняння розподілів дискретних і безперервних змінних, відповідно. Ризик ХП у пацієнтів з необструктивним, </w:t>
      </w:r>
      <w:proofErr w:type="spellStart"/>
      <w:r w:rsidRPr="008146D6">
        <w:rPr>
          <w:lang w:val="uk-UA"/>
        </w:rPr>
        <w:t>небіліарн</w:t>
      </w:r>
      <w:r w:rsidR="004B3DE8">
        <w:rPr>
          <w:lang w:val="uk-UA"/>
        </w:rPr>
        <w:t>им</w:t>
      </w:r>
      <w:proofErr w:type="spellEnd"/>
      <w:r w:rsidRPr="008146D6">
        <w:rPr>
          <w:lang w:val="uk-UA"/>
        </w:rPr>
        <w:t xml:space="preserve"> </w:t>
      </w:r>
      <w:r w:rsidR="00AB753B">
        <w:rPr>
          <w:lang w:val="uk-UA"/>
        </w:rPr>
        <w:t xml:space="preserve">ГП </w:t>
      </w:r>
      <w:r w:rsidRPr="008146D6">
        <w:rPr>
          <w:lang w:val="uk-UA"/>
        </w:rPr>
        <w:t xml:space="preserve">оцінювали з використанням моделі пропорційних ризиків </w:t>
      </w:r>
      <w:proofErr w:type="spellStart"/>
      <w:r w:rsidRPr="008146D6">
        <w:rPr>
          <w:lang w:val="uk-UA"/>
        </w:rPr>
        <w:t>Cox</w:t>
      </w:r>
      <w:proofErr w:type="spellEnd"/>
      <w:r w:rsidRPr="008146D6">
        <w:rPr>
          <w:lang w:val="uk-UA"/>
        </w:rPr>
        <w:t xml:space="preserve">. Змінні в моделі </w:t>
      </w:r>
      <w:proofErr w:type="spellStart"/>
      <w:r w:rsidRPr="008146D6">
        <w:rPr>
          <w:lang w:val="uk-UA"/>
        </w:rPr>
        <w:t>Cox</w:t>
      </w:r>
      <w:proofErr w:type="spellEnd"/>
      <w:r w:rsidRPr="008146D6">
        <w:rPr>
          <w:lang w:val="uk-UA"/>
        </w:rPr>
        <w:t xml:space="preserve"> </w:t>
      </w:r>
      <w:r w:rsidRPr="008146D6">
        <w:rPr>
          <w:lang w:val="uk-UA"/>
        </w:rPr>
        <w:lastRenderedPageBreak/>
        <w:t>включали наявність Р</w:t>
      </w:r>
      <w:r w:rsidR="00AB753B">
        <w:rPr>
          <w:lang w:val="uk-UA"/>
        </w:rPr>
        <w:t xml:space="preserve">ГП </w:t>
      </w:r>
      <w:r w:rsidRPr="008146D6">
        <w:rPr>
          <w:lang w:val="uk-UA"/>
        </w:rPr>
        <w:t xml:space="preserve">або кількість епізодів </w:t>
      </w:r>
      <w:r w:rsidR="00865038">
        <w:rPr>
          <w:lang w:val="uk-UA"/>
        </w:rPr>
        <w:t>ГП,</w:t>
      </w:r>
      <w:r w:rsidR="001E1FD2">
        <w:rPr>
          <w:lang w:val="uk-UA"/>
        </w:rPr>
        <w:t xml:space="preserve"> </w:t>
      </w:r>
      <w:r w:rsidRPr="008146D6">
        <w:rPr>
          <w:lang w:val="uk-UA"/>
        </w:rPr>
        <w:t xml:space="preserve">куріння, вживання алкоголю, вік, стать, всі супутні захворювання, показники CCI і тривале застосування лікарських препаратів. Значні β-коефіцієнти з моделі </w:t>
      </w:r>
      <w:proofErr w:type="spellStart"/>
      <w:r w:rsidRPr="008146D6">
        <w:rPr>
          <w:lang w:val="uk-UA"/>
        </w:rPr>
        <w:t>Cox</w:t>
      </w:r>
      <w:proofErr w:type="spellEnd"/>
      <w:r w:rsidRPr="008146D6">
        <w:rPr>
          <w:lang w:val="uk-UA"/>
        </w:rPr>
        <w:t xml:space="preserve"> з процедурою покрокового виключення були використані для побудови чис</w:t>
      </w:r>
      <w:r w:rsidR="004B3DE8">
        <w:rPr>
          <w:lang w:val="uk-UA"/>
        </w:rPr>
        <w:t>лов</w:t>
      </w:r>
      <w:r w:rsidRPr="008146D6">
        <w:rPr>
          <w:lang w:val="uk-UA"/>
        </w:rPr>
        <w:t>ої оцінки ризику для стратифікації ризику прогресування до ХП. Референтним для кожної змінної було значення 0, а коефіцієнти для інших змінних були розраховані шляхом ділення на найменший коефіцієнт в моделі, а потім округлення до найближчого цілого числа. Індивідуальні оцінки присвоювалися шляхом підсумовування оцінок за окремими факторами ризику, і розраховува</w:t>
      </w:r>
      <w:r w:rsidR="004B3DE8">
        <w:rPr>
          <w:lang w:val="uk-UA"/>
        </w:rPr>
        <w:t>в</w:t>
      </w:r>
      <w:r w:rsidRPr="008146D6">
        <w:rPr>
          <w:lang w:val="uk-UA"/>
        </w:rPr>
        <w:t>ся сукупний коефіцієнт захворюваності для кожної оцінки ризику. Для полегшення застосування в клінічній практиці, сумарні оцінки ризику були класифіковані на категорію низького ризику, категорію середнього ризику і категорію високого ризику на основі аналогічних величин небезпеки.</w:t>
      </w:r>
    </w:p>
    <w:p w:rsidR="008146D6" w:rsidRPr="00EC25B7" w:rsidRDefault="008146D6" w:rsidP="008146D6">
      <w:pPr>
        <w:autoSpaceDE w:val="0"/>
        <w:autoSpaceDN w:val="0"/>
        <w:adjustRightInd w:val="0"/>
        <w:ind w:firstLine="709"/>
        <w:rPr>
          <w:color w:val="002060"/>
          <w:lang w:val="uk-UA"/>
        </w:rPr>
      </w:pPr>
      <w:r w:rsidRPr="008146D6">
        <w:rPr>
          <w:lang w:val="uk-UA"/>
        </w:rPr>
        <w:t>В межах деривац</w:t>
      </w:r>
      <w:r>
        <w:rPr>
          <w:lang w:val="uk-UA"/>
        </w:rPr>
        <w:t>ійної</w:t>
      </w:r>
      <w:r w:rsidRPr="008146D6">
        <w:rPr>
          <w:lang w:val="uk-UA"/>
        </w:rPr>
        <w:t xml:space="preserve"> когорти дискримінація була оцінена з використанням залеж</w:t>
      </w:r>
      <w:r>
        <w:rPr>
          <w:lang w:val="uk-UA"/>
        </w:rPr>
        <w:t>ної</w:t>
      </w:r>
      <w:r w:rsidRPr="008146D6">
        <w:rPr>
          <w:lang w:val="uk-UA"/>
        </w:rPr>
        <w:t xml:space="preserve"> від часу площі під робочою </w:t>
      </w:r>
      <w:proofErr w:type="spellStart"/>
      <w:r w:rsidRPr="008146D6">
        <w:rPr>
          <w:lang w:val="uk-UA"/>
        </w:rPr>
        <w:t>характеризу</w:t>
      </w:r>
      <w:r>
        <w:rPr>
          <w:lang w:val="uk-UA"/>
        </w:rPr>
        <w:t>ючою</w:t>
      </w:r>
      <w:proofErr w:type="spellEnd"/>
      <w:r w:rsidRPr="008146D6">
        <w:rPr>
          <w:lang w:val="uk-UA"/>
        </w:rPr>
        <w:t xml:space="preserve"> криво</w:t>
      </w:r>
      <w:r>
        <w:rPr>
          <w:lang w:val="uk-UA"/>
        </w:rPr>
        <w:t>ю</w:t>
      </w:r>
      <w:r w:rsidRPr="008146D6">
        <w:rPr>
          <w:lang w:val="uk-UA"/>
        </w:rPr>
        <w:t xml:space="preserve"> (ROC-криво</w:t>
      </w:r>
      <w:r w:rsidR="004B3DE8">
        <w:rPr>
          <w:lang w:val="uk-UA"/>
        </w:rPr>
        <w:t>ю</w:t>
      </w:r>
      <w:r w:rsidRPr="008146D6">
        <w:rPr>
          <w:lang w:val="uk-UA"/>
        </w:rPr>
        <w:t xml:space="preserve">). Внутрішня </w:t>
      </w:r>
      <w:proofErr w:type="spellStart"/>
      <w:r w:rsidRPr="008146D6">
        <w:rPr>
          <w:lang w:val="uk-UA"/>
        </w:rPr>
        <w:t>валідація</w:t>
      </w:r>
      <w:proofErr w:type="spellEnd"/>
      <w:r w:rsidRPr="008146D6">
        <w:rPr>
          <w:lang w:val="uk-UA"/>
        </w:rPr>
        <w:t xml:space="preserve"> цієї оцінки ризику була проведена за допомогою 1000 початкових моделювань. Початкове моделювання в деривац</w:t>
      </w:r>
      <w:r>
        <w:rPr>
          <w:lang w:val="uk-UA"/>
        </w:rPr>
        <w:t>ійн</w:t>
      </w:r>
      <w:r w:rsidR="004B3DE8">
        <w:rPr>
          <w:lang w:val="uk-UA"/>
        </w:rPr>
        <w:t>ій</w:t>
      </w:r>
      <w:r w:rsidRPr="008146D6">
        <w:rPr>
          <w:lang w:val="uk-UA"/>
        </w:rPr>
        <w:t xml:space="preserve"> когорт</w:t>
      </w:r>
      <w:r w:rsidR="004B3DE8">
        <w:rPr>
          <w:lang w:val="uk-UA"/>
        </w:rPr>
        <w:t>і</w:t>
      </w:r>
      <w:r w:rsidRPr="008146D6">
        <w:rPr>
          <w:lang w:val="uk-UA"/>
        </w:rPr>
        <w:t xml:space="preserve"> проводилося шляхом вибірки </w:t>
      </w:r>
      <w:r w:rsidR="004B3DE8">
        <w:rPr>
          <w:lang w:val="uk-UA"/>
        </w:rPr>
        <w:t>і</w:t>
      </w:r>
      <w:r w:rsidRPr="008146D6">
        <w:rPr>
          <w:lang w:val="uk-UA"/>
        </w:rPr>
        <w:t>з заміною на 1000 ітерацій. Кожен зразок початкового завантаження був того ж розміру, що і дериваційна когорта, розрахована оцінка ризику і згенер</w:t>
      </w:r>
      <w:r w:rsidR="004B3DE8">
        <w:rPr>
          <w:lang w:val="uk-UA"/>
        </w:rPr>
        <w:t>ован</w:t>
      </w:r>
      <w:r w:rsidRPr="008146D6">
        <w:rPr>
          <w:lang w:val="uk-UA"/>
        </w:rPr>
        <w:t>а область на ROC-крив</w:t>
      </w:r>
      <w:r w:rsidR="004B3DE8">
        <w:rPr>
          <w:lang w:val="uk-UA"/>
        </w:rPr>
        <w:t>ій</w:t>
      </w:r>
      <w:r w:rsidRPr="008146D6">
        <w:rPr>
          <w:lang w:val="uk-UA"/>
        </w:rPr>
        <w:t xml:space="preserve">. Крім того, ми підтвердили оцінку ризику ззовні, використовуючи </w:t>
      </w:r>
      <w:r>
        <w:rPr>
          <w:lang w:val="uk-UA"/>
        </w:rPr>
        <w:t xml:space="preserve">останню </w:t>
      </w:r>
      <w:r w:rsidRPr="008146D6">
        <w:rPr>
          <w:lang w:val="uk-UA"/>
        </w:rPr>
        <w:t>третину випадкової вибірки. Була застосована модель оцінки ризику, і була оцінена дискримінація шляхом аналізу ROC-кривої, що залежить від часу.</w:t>
      </w:r>
    </w:p>
    <w:p w:rsidR="008146D6" w:rsidRPr="008146D6" w:rsidRDefault="008146D6" w:rsidP="008146D6">
      <w:pPr>
        <w:autoSpaceDE w:val="0"/>
        <w:autoSpaceDN w:val="0"/>
        <w:adjustRightInd w:val="0"/>
        <w:ind w:firstLine="709"/>
        <w:rPr>
          <w:lang w:val="uk-UA"/>
        </w:rPr>
      </w:pPr>
      <w:r w:rsidRPr="008146D6">
        <w:rPr>
          <w:lang w:val="uk-UA"/>
        </w:rPr>
        <w:t xml:space="preserve">Всі статистичні аналізи були виконані з використанням програмного забезпечення SAS 9.4 (SAS </w:t>
      </w:r>
      <w:proofErr w:type="spellStart"/>
      <w:r w:rsidRPr="008146D6">
        <w:rPr>
          <w:lang w:val="uk-UA"/>
        </w:rPr>
        <w:t>Institute</w:t>
      </w:r>
      <w:proofErr w:type="spellEnd"/>
      <w:r w:rsidRPr="008146D6">
        <w:rPr>
          <w:lang w:val="uk-UA"/>
        </w:rPr>
        <w:t xml:space="preserve"> </w:t>
      </w:r>
      <w:proofErr w:type="spellStart"/>
      <w:r w:rsidRPr="008146D6">
        <w:rPr>
          <w:lang w:val="uk-UA"/>
        </w:rPr>
        <w:t>Inc</w:t>
      </w:r>
      <w:proofErr w:type="spellEnd"/>
      <w:r w:rsidRPr="008146D6">
        <w:rPr>
          <w:lang w:val="uk-UA"/>
        </w:rPr>
        <w:t>., Кері, штат Північна Кароліна, США). Двосторонні значення P &lt;</w:t>
      </w:r>
      <w:r w:rsidR="00EC25B7">
        <w:rPr>
          <w:lang w:val="uk-UA"/>
        </w:rPr>
        <w:t xml:space="preserve"> </w:t>
      </w:r>
      <w:r w:rsidRPr="008146D6">
        <w:rPr>
          <w:lang w:val="uk-UA"/>
        </w:rPr>
        <w:t>0,05 вважалися статистично значущими.</w:t>
      </w:r>
    </w:p>
    <w:p w:rsidR="008146D6" w:rsidRPr="00EC25B7" w:rsidRDefault="008146D6" w:rsidP="008146D6">
      <w:pPr>
        <w:autoSpaceDE w:val="0"/>
        <w:autoSpaceDN w:val="0"/>
        <w:adjustRightInd w:val="0"/>
        <w:ind w:firstLine="709"/>
        <w:rPr>
          <w:b/>
          <w:lang w:val="uk-UA"/>
        </w:rPr>
      </w:pPr>
      <w:r w:rsidRPr="00EC25B7">
        <w:rPr>
          <w:b/>
          <w:lang w:val="uk-UA"/>
        </w:rPr>
        <w:t>РЕЗУЛЬТАТИ</w:t>
      </w:r>
    </w:p>
    <w:p w:rsidR="008146D6" w:rsidRPr="008146D6" w:rsidRDefault="008146D6" w:rsidP="008146D6">
      <w:pPr>
        <w:autoSpaceDE w:val="0"/>
        <w:autoSpaceDN w:val="0"/>
        <w:adjustRightInd w:val="0"/>
        <w:ind w:firstLine="709"/>
        <w:rPr>
          <w:lang w:val="uk-UA"/>
        </w:rPr>
      </w:pPr>
      <w:r w:rsidRPr="008146D6">
        <w:rPr>
          <w:lang w:val="uk-UA"/>
        </w:rPr>
        <w:t>Характеристика досліджуваної популяції</w:t>
      </w:r>
    </w:p>
    <w:p w:rsidR="008146D6" w:rsidRDefault="008146D6" w:rsidP="008146D6">
      <w:pPr>
        <w:autoSpaceDE w:val="0"/>
        <w:autoSpaceDN w:val="0"/>
        <w:adjustRightInd w:val="0"/>
        <w:ind w:firstLine="709"/>
        <w:rPr>
          <w:lang w:val="uk-UA"/>
        </w:rPr>
      </w:pPr>
      <w:r w:rsidRPr="008146D6">
        <w:rPr>
          <w:lang w:val="uk-UA"/>
        </w:rPr>
        <w:t xml:space="preserve">Блок-схема, зображена на </w:t>
      </w:r>
      <w:r w:rsidR="00AD6571">
        <w:rPr>
          <w:lang w:val="uk-UA"/>
        </w:rPr>
        <w:t>рис.</w:t>
      </w:r>
      <w:r w:rsidRPr="008146D6">
        <w:rPr>
          <w:lang w:val="uk-UA"/>
        </w:rPr>
        <w:t xml:space="preserve"> 1, описує процес відбору пацієнтів, в той час як в таблиці 1 наведені характеристики пацієнтів дослідження. В цілому 3739 пацієнтів були ідентифіковані як </w:t>
      </w:r>
      <w:r w:rsidR="00EC25B7">
        <w:rPr>
          <w:lang w:val="uk-UA"/>
        </w:rPr>
        <w:t xml:space="preserve">ті, що </w:t>
      </w:r>
      <w:r w:rsidRPr="008146D6">
        <w:rPr>
          <w:lang w:val="uk-UA"/>
        </w:rPr>
        <w:t xml:space="preserve">недавно перенесли необструктивний, </w:t>
      </w:r>
      <w:proofErr w:type="spellStart"/>
      <w:r w:rsidRPr="008146D6">
        <w:rPr>
          <w:lang w:val="uk-UA"/>
        </w:rPr>
        <w:t>небіліарн</w:t>
      </w:r>
      <w:r w:rsidR="00EC25B7">
        <w:rPr>
          <w:lang w:val="uk-UA"/>
        </w:rPr>
        <w:t>ий</w:t>
      </w:r>
      <w:proofErr w:type="spellEnd"/>
      <w:r w:rsidRPr="008146D6">
        <w:rPr>
          <w:lang w:val="uk-UA"/>
        </w:rPr>
        <w:t xml:space="preserve"> </w:t>
      </w:r>
      <w:r w:rsidR="00865038">
        <w:rPr>
          <w:lang w:val="uk-UA"/>
        </w:rPr>
        <w:t>ГП.</w:t>
      </w:r>
      <w:r w:rsidRPr="008146D6">
        <w:rPr>
          <w:lang w:val="uk-UA"/>
        </w:rPr>
        <w:t xml:space="preserve"> Серед цих пацієнтів у 174 (4,65%) розвинувся ХП протягом середнього періоду спостереження 6,13 ± 3,53 років. Середній вік на момент виникнення необструктивного </w:t>
      </w:r>
      <w:proofErr w:type="spellStart"/>
      <w:r w:rsidRPr="008146D6">
        <w:rPr>
          <w:lang w:val="uk-UA"/>
        </w:rPr>
        <w:t>небіліарного</w:t>
      </w:r>
      <w:proofErr w:type="spellEnd"/>
      <w:r w:rsidRPr="008146D6">
        <w:rPr>
          <w:lang w:val="uk-UA"/>
        </w:rPr>
        <w:t xml:space="preserve"> </w:t>
      </w:r>
      <w:r w:rsidR="00AB753B">
        <w:rPr>
          <w:lang w:val="uk-UA"/>
        </w:rPr>
        <w:t xml:space="preserve">ГП </w:t>
      </w:r>
      <w:r w:rsidRPr="008146D6">
        <w:rPr>
          <w:lang w:val="uk-UA"/>
        </w:rPr>
        <w:t xml:space="preserve">становив 53,04 ± 17,00 років. Крім того, згідно з даними для оплати стаціонарної медичної допомоги, у 1094 пацієнтів спостерігалося більше одного епізоду необструктивного </w:t>
      </w:r>
      <w:proofErr w:type="spellStart"/>
      <w:r w:rsidRPr="008146D6">
        <w:rPr>
          <w:lang w:val="uk-UA"/>
        </w:rPr>
        <w:t>небіліарного</w:t>
      </w:r>
      <w:proofErr w:type="spellEnd"/>
      <w:r w:rsidRPr="008146D6">
        <w:rPr>
          <w:lang w:val="uk-UA"/>
        </w:rPr>
        <w:t xml:space="preserve"> </w:t>
      </w:r>
      <w:r w:rsidR="00865038">
        <w:rPr>
          <w:lang w:val="uk-UA"/>
        </w:rPr>
        <w:t>ГП,</w:t>
      </w:r>
      <w:r w:rsidR="004B3DE8">
        <w:rPr>
          <w:lang w:val="uk-UA"/>
        </w:rPr>
        <w:t xml:space="preserve"> </w:t>
      </w:r>
      <w:r w:rsidRPr="008146D6">
        <w:rPr>
          <w:lang w:val="uk-UA"/>
        </w:rPr>
        <w:t>тоді як у 2645 пацієнтів спостерігався тільки один епізод захворювання. Що стосується змінних, пов'язаних з</w:t>
      </w:r>
      <w:r w:rsidR="00EC25B7">
        <w:rPr>
          <w:lang w:val="uk-UA"/>
        </w:rPr>
        <w:t>і</w:t>
      </w:r>
      <w:r w:rsidRPr="008146D6">
        <w:rPr>
          <w:lang w:val="uk-UA"/>
        </w:rPr>
        <w:t xml:space="preserve"> шкідливими звичками, у 21,56% і 33,73% пацієнтів спостерігалися коди, пов'язані з вживанням алкоголю, і коди, пов'язані з курінням, відповідно. Після випадкової вибірки дериваційна когорта складалася з 2493 пацієнтів, а </w:t>
      </w:r>
      <w:proofErr w:type="spellStart"/>
      <w:r w:rsidRPr="008146D6">
        <w:rPr>
          <w:lang w:val="uk-UA"/>
        </w:rPr>
        <w:t>валідаційн</w:t>
      </w:r>
      <w:r w:rsidR="00EC25B7">
        <w:rPr>
          <w:lang w:val="uk-UA"/>
        </w:rPr>
        <w:t>а</w:t>
      </w:r>
      <w:proofErr w:type="spellEnd"/>
      <w:r w:rsidRPr="008146D6">
        <w:rPr>
          <w:lang w:val="uk-UA"/>
        </w:rPr>
        <w:t xml:space="preserve"> когорта - з тисячі двісті сорок</w:t>
      </w:r>
      <w:r w:rsidR="00EC25B7">
        <w:rPr>
          <w:lang w:val="uk-UA"/>
        </w:rPr>
        <w:t>а</w:t>
      </w:r>
      <w:r w:rsidRPr="008146D6">
        <w:rPr>
          <w:lang w:val="uk-UA"/>
        </w:rPr>
        <w:t xml:space="preserve"> ш</w:t>
      </w:r>
      <w:r w:rsidR="00EC25B7">
        <w:rPr>
          <w:lang w:val="uk-UA"/>
        </w:rPr>
        <w:t>ести</w:t>
      </w:r>
      <w:r w:rsidRPr="008146D6">
        <w:rPr>
          <w:lang w:val="uk-UA"/>
        </w:rPr>
        <w:t xml:space="preserve"> пацієнтів, і вихідні характеристики і демографічні змінні можна було порівняти між обома когортами (таблиця 1). Поширеність ХП була однаковою в деривац</w:t>
      </w:r>
      <w:r w:rsidR="00EC25B7">
        <w:rPr>
          <w:lang w:val="uk-UA"/>
        </w:rPr>
        <w:t>ійній</w:t>
      </w:r>
      <w:r w:rsidRPr="008146D6">
        <w:rPr>
          <w:lang w:val="uk-UA"/>
        </w:rPr>
        <w:t xml:space="preserve"> і </w:t>
      </w:r>
      <w:proofErr w:type="spellStart"/>
      <w:r w:rsidRPr="008146D6">
        <w:rPr>
          <w:lang w:val="uk-UA"/>
        </w:rPr>
        <w:t>валідаційн</w:t>
      </w:r>
      <w:r w:rsidR="00EC25B7">
        <w:rPr>
          <w:lang w:val="uk-UA"/>
        </w:rPr>
        <w:t>ій</w:t>
      </w:r>
      <w:proofErr w:type="spellEnd"/>
      <w:r w:rsidRPr="008146D6">
        <w:rPr>
          <w:lang w:val="uk-UA"/>
        </w:rPr>
        <w:t xml:space="preserve"> когортах: 113 (4,53%) і 61 (4,90%) відповідно (таблиця 1).</w:t>
      </w:r>
    </w:p>
    <w:p w:rsidR="00A10334" w:rsidRDefault="00A10334" w:rsidP="008146D6">
      <w:pPr>
        <w:autoSpaceDE w:val="0"/>
        <w:autoSpaceDN w:val="0"/>
        <w:adjustRightInd w:val="0"/>
        <w:ind w:firstLine="709"/>
        <w:rPr>
          <w:lang w:val="uk-UA"/>
        </w:rPr>
      </w:pPr>
    </w:p>
    <w:p w:rsidR="00A10334" w:rsidRDefault="00A10334" w:rsidP="008146D6">
      <w:pPr>
        <w:autoSpaceDE w:val="0"/>
        <w:autoSpaceDN w:val="0"/>
        <w:adjustRightInd w:val="0"/>
        <w:ind w:firstLine="709"/>
        <w:rPr>
          <w:lang w:val="uk-UA"/>
        </w:rPr>
      </w:pPr>
    </w:p>
    <w:p w:rsidR="00A10334" w:rsidRDefault="00A10334" w:rsidP="008146D6">
      <w:pPr>
        <w:autoSpaceDE w:val="0"/>
        <w:autoSpaceDN w:val="0"/>
        <w:adjustRightInd w:val="0"/>
        <w:ind w:firstLine="709"/>
        <w:rPr>
          <w:lang w:val="uk-UA"/>
        </w:rPr>
      </w:pPr>
    </w:p>
    <w:p w:rsidR="00A10334" w:rsidRDefault="00A10334" w:rsidP="008146D6">
      <w:pPr>
        <w:autoSpaceDE w:val="0"/>
        <w:autoSpaceDN w:val="0"/>
        <w:adjustRightInd w:val="0"/>
        <w:ind w:firstLine="709"/>
        <w:rPr>
          <w:lang w:val="uk-UA"/>
        </w:rPr>
      </w:pPr>
    </w:p>
    <w:p w:rsidR="00A10334" w:rsidRDefault="00A10334" w:rsidP="008146D6">
      <w:pPr>
        <w:autoSpaceDE w:val="0"/>
        <w:autoSpaceDN w:val="0"/>
        <w:adjustRightInd w:val="0"/>
        <w:ind w:firstLine="709"/>
        <w:rPr>
          <w:lang w:val="uk-UA"/>
        </w:rPr>
      </w:pPr>
    </w:p>
    <w:p w:rsidR="00A10334" w:rsidRDefault="00A10334" w:rsidP="008146D6">
      <w:pPr>
        <w:autoSpaceDE w:val="0"/>
        <w:autoSpaceDN w:val="0"/>
        <w:adjustRightInd w:val="0"/>
        <w:ind w:firstLine="709"/>
        <w:rPr>
          <w:lang w:val="uk-UA"/>
        </w:rPr>
      </w:pPr>
    </w:p>
    <w:p w:rsidR="00A10334" w:rsidRDefault="00A10334" w:rsidP="008146D6">
      <w:pPr>
        <w:autoSpaceDE w:val="0"/>
        <w:autoSpaceDN w:val="0"/>
        <w:adjustRightInd w:val="0"/>
        <w:ind w:firstLine="709"/>
        <w:rPr>
          <w:lang w:val="uk-UA"/>
        </w:rPr>
      </w:pPr>
    </w:p>
    <w:p w:rsidR="00A10334" w:rsidRDefault="00A10334" w:rsidP="008146D6">
      <w:pPr>
        <w:autoSpaceDE w:val="0"/>
        <w:autoSpaceDN w:val="0"/>
        <w:adjustRightInd w:val="0"/>
        <w:ind w:firstLine="709"/>
        <w:rPr>
          <w:lang w:val="uk-UA"/>
        </w:rPr>
      </w:pPr>
    </w:p>
    <w:p w:rsidR="00A10334" w:rsidRDefault="00A10334" w:rsidP="008146D6">
      <w:pPr>
        <w:autoSpaceDE w:val="0"/>
        <w:autoSpaceDN w:val="0"/>
        <w:adjustRightInd w:val="0"/>
        <w:ind w:firstLine="709"/>
        <w:rPr>
          <w:lang w:val="uk-UA"/>
        </w:rPr>
      </w:pPr>
    </w:p>
    <w:p w:rsidR="00A10334" w:rsidRDefault="00A10334" w:rsidP="008146D6">
      <w:pPr>
        <w:autoSpaceDE w:val="0"/>
        <w:autoSpaceDN w:val="0"/>
        <w:adjustRightInd w:val="0"/>
        <w:ind w:firstLine="709"/>
        <w:rPr>
          <w:lang w:val="uk-UA"/>
        </w:rPr>
      </w:pPr>
    </w:p>
    <w:p w:rsidR="00A10334" w:rsidRDefault="00A10334" w:rsidP="008146D6">
      <w:pPr>
        <w:autoSpaceDE w:val="0"/>
        <w:autoSpaceDN w:val="0"/>
        <w:adjustRightInd w:val="0"/>
        <w:ind w:firstLine="709"/>
        <w:rPr>
          <w:lang w:val="uk-UA"/>
        </w:rPr>
      </w:pPr>
    </w:p>
    <w:p w:rsidR="00A10334" w:rsidRDefault="00A10334" w:rsidP="008146D6">
      <w:pPr>
        <w:autoSpaceDE w:val="0"/>
        <w:autoSpaceDN w:val="0"/>
        <w:adjustRightInd w:val="0"/>
        <w:ind w:firstLine="709"/>
        <w:rPr>
          <w:lang w:val="uk-UA"/>
        </w:rPr>
      </w:pPr>
    </w:p>
    <w:p w:rsidR="00357F2B" w:rsidRPr="007B5727" w:rsidRDefault="00357F2B" w:rsidP="005170AF">
      <w:pPr>
        <w:autoSpaceDE w:val="0"/>
        <w:autoSpaceDN w:val="0"/>
        <w:adjustRightInd w:val="0"/>
        <w:ind w:firstLine="709"/>
        <w:rPr>
          <w:lang w:val="uk-UA"/>
        </w:rPr>
      </w:pPr>
      <w:r w:rsidRPr="00BC641F">
        <w:rPr>
          <w:noProof/>
          <w:lang w:eastAsia="zh-CN"/>
        </w:rPr>
        <w:lastRenderedPageBreak/>
        <mc:AlternateContent>
          <mc:Choice Requires="wps">
            <w:drawing>
              <wp:anchor distT="0" distB="0" distL="114300" distR="114300" simplePos="0" relativeHeight="251640832" behindDoc="0" locked="0" layoutInCell="1" allowOverlap="1" wp14:anchorId="38081B5B" wp14:editId="2A0E3DBD">
                <wp:simplePos x="0" y="0"/>
                <wp:positionH relativeFrom="column">
                  <wp:posOffset>154940</wp:posOffset>
                </wp:positionH>
                <wp:positionV relativeFrom="paragraph">
                  <wp:posOffset>59690</wp:posOffset>
                </wp:positionV>
                <wp:extent cx="5573395" cy="6488430"/>
                <wp:effectExtent l="0" t="0" r="8255" b="762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395" cy="6488430"/>
                        </a:xfrm>
                        <a:prstGeom prst="rect">
                          <a:avLst/>
                        </a:prstGeom>
                        <a:solidFill>
                          <a:srgbClr val="FFFFFF"/>
                        </a:solidFill>
                        <a:ln w="9525">
                          <a:noFill/>
                          <a:miter lim="800000"/>
                          <a:headEnd/>
                          <a:tailEnd/>
                        </a:ln>
                      </wps:spPr>
                      <wps:txbx>
                        <w:txbxContent>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r>
                              <w:t xml:space="preserve">Рис. 1 Блок-схема </w:t>
                            </w:r>
                            <w:proofErr w:type="spellStart"/>
                            <w:r>
                              <w:t>процес</w:t>
                            </w:r>
                            <w:proofErr w:type="spellEnd"/>
                            <w:r>
                              <w:rPr>
                                <w:lang w:val="uk-UA"/>
                              </w:rPr>
                              <w:t>у</w:t>
                            </w:r>
                            <w:r>
                              <w:t xml:space="preserve"> </w:t>
                            </w:r>
                            <w:r>
                              <w:rPr>
                                <w:lang w:val="uk-UA"/>
                              </w:rPr>
                              <w:t>відбору</w:t>
                            </w:r>
                            <w:r>
                              <w:t xml:space="preserve"> </w:t>
                            </w:r>
                            <w:proofErr w:type="spellStart"/>
                            <w:r>
                              <w:t>пац</w:t>
                            </w:r>
                            <w:r>
                              <w:rPr>
                                <w:lang w:val="uk-UA"/>
                              </w:rPr>
                              <w:t>ієнті</w:t>
                            </w:r>
                            <w:proofErr w:type="spellEnd"/>
                            <w:r>
                              <w:t>в.</w:t>
                            </w:r>
                          </w:p>
                          <w:p w:rsidR="003A5A72" w:rsidRPr="009274E6" w:rsidRDefault="003A5A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81B5B" id="_x0000_t202" coordsize="21600,21600" o:spt="202" path="m,l,21600r21600,l21600,xe">
                <v:stroke joinstyle="miter"/>
                <v:path gradientshapeok="t" o:connecttype="rect"/>
              </v:shapetype>
              <v:shape id="Надпись 2" o:spid="_x0000_s1026" type="#_x0000_t202" style="position:absolute;left:0;text-align:left;margin-left:12.2pt;margin-top:4.7pt;width:438.85pt;height:510.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" stroked="f">
                <v:textbox>
                  <w:txbxContent>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p w:rsidR="003A5A72" w:rsidRDefault="003A5A72">
                      <w:r>
                        <w:t xml:space="preserve">Рис. 1 Блок-схема </w:t>
                      </w:r>
                      <w:proofErr w:type="spellStart"/>
                      <w:r>
                        <w:t>процес</w:t>
                      </w:r>
                      <w:proofErr w:type="spellEnd"/>
                      <w:r>
                        <w:rPr>
                          <w:lang w:val="uk-UA"/>
                        </w:rPr>
                        <w:t>у</w:t>
                      </w:r>
                      <w:r>
                        <w:t xml:space="preserve"> </w:t>
                      </w:r>
                      <w:r>
                        <w:rPr>
                          <w:lang w:val="uk-UA"/>
                        </w:rPr>
                        <w:t>відбору</w:t>
                      </w:r>
                      <w:r>
                        <w:t xml:space="preserve"> </w:t>
                      </w:r>
                      <w:proofErr w:type="spellStart"/>
                      <w:r>
                        <w:t>пац</w:t>
                      </w:r>
                      <w:r>
                        <w:rPr>
                          <w:lang w:val="uk-UA"/>
                        </w:rPr>
                        <w:t>ієнті</w:t>
                      </w:r>
                      <w:proofErr w:type="spellEnd"/>
                      <w:r>
                        <w:t>в.</w:t>
                      </w:r>
                    </w:p>
                    <w:p w:rsidR="003A5A72" w:rsidRPr="009274E6" w:rsidRDefault="003A5A72"/>
                  </w:txbxContent>
                </v:textbox>
              </v:shape>
            </w:pict>
          </mc:Fallback>
        </mc:AlternateContent>
      </w:r>
      <w:r w:rsidRPr="00BC641F">
        <w:rPr>
          <w:noProof/>
          <w:lang w:eastAsia="zh-CN"/>
        </w:rPr>
        <mc:AlternateContent>
          <mc:Choice Requires="wps">
            <w:drawing>
              <wp:anchor distT="0" distB="0" distL="114300" distR="114300" simplePos="0" relativeHeight="251675648" behindDoc="0" locked="0" layoutInCell="1" allowOverlap="1" wp14:anchorId="5529BB9E" wp14:editId="3D0F7484">
                <wp:simplePos x="0" y="0"/>
                <wp:positionH relativeFrom="column">
                  <wp:posOffset>3594278</wp:posOffset>
                </wp:positionH>
                <wp:positionV relativeFrom="paragraph">
                  <wp:posOffset>4959350</wp:posOffset>
                </wp:positionV>
                <wp:extent cx="2018995" cy="483565"/>
                <wp:effectExtent l="0" t="0" r="19685" b="12065"/>
                <wp:wrapNone/>
                <wp:docPr id="25" name="Поле 25"/>
                <wp:cNvGraphicFramePr/>
                <a:graphic xmlns:a="http://schemas.openxmlformats.org/drawingml/2006/main">
                  <a:graphicData uri="http://schemas.microsoft.com/office/word/2010/wordprocessingShape">
                    <wps:wsp>
                      <wps:cNvSpPr txBox="1"/>
                      <wps:spPr>
                        <a:xfrm>
                          <a:off x="0" y="0"/>
                          <a:ext cx="2018995" cy="4835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5A72" w:rsidRPr="008608A9" w:rsidRDefault="003A5A72" w:rsidP="00357F2B">
                            <w:pPr>
                              <w:jc w:val="center"/>
                              <w:rPr>
                                <w:sz w:val="20"/>
                                <w:szCs w:val="20"/>
                              </w:rPr>
                            </w:pPr>
                            <w:r>
                              <w:rPr>
                                <w:sz w:val="20"/>
                                <w:szCs w:val="20"/>
                              </w:rPr>
                              <w:t xml:space="preserve">32 (1,21%) </w:t>
                            </w:r>
                            <w:proofErr w:type="spellStart"/>
                            <w:r>
                              <w:rPr>
                                <w:sz w:val="20"/>
                                <w:szCs w:val="20"/>
                              </w:rPr>
                              <w:t>пац</w:t>
                            </w:r>
                            <w:r>
                              <w:rPr>
                                <w:sz w:val="20"/>
                                <w:szCs w:val="20"/>
                                <w:lang w:val="uk-UA"/>
                              </w:rPr>
                              <w:t>ієнті</w:t>
                            </w:r>
                            <w:proofErr w:type="spellEnd"/>
                            <w:r>
                              <w:rPr>
                                <w:sz w:val="20"/>
                                <w:szCs w:val="20"/>
                              </w:rPr>
                              <w:t xml:space="preserve">в </w:t>
                            </w:r>
                            <w:r>
                              <w:rPr>
                                <w:sz w:val="20"/>
                                <w:szCs w:val="20"/>
                                <w:lang w:val="uk-UA"/>
                              </w:rPr>
                              <w:t>із</w:t>
                            </w:r>
                            <w:r>
                              <w:rPr>
                                <w:sz w:val="20"/>
                                <w:szCs w:val="20"/>
                              </w:rPr>
                              <w:t xml:space="preserve"> ХП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29BB9E" id="Поле 25" o:spid="_x0000_s1027" type="#_x0000_t202" style="position:absolute;left:0;text-align:left;margin-left:283pt;margin-top:390.5pt;width:159pt;height:38.1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" fillcolor="white [3201]" strokeweight=".5pt">
                <v:textbox>
                  <w:txbxContent>
                    <w:p w:rsidR="003A5A72" w:rsidRPr="008608A9" w:rsidRDefault="003A5A72" w:rsidP="00357F2B">
                      <w:pPr>
                        <w:jc w:val="center"/>
                        <w:rPr>
                          <w:sz w:val="20"/>
                          <w:szCs w:val="20"/>
                        </w:rPr>
                      </w:pPr>
                      <w:r>
                        <w:rPr>
                          <w:sz w:val="20"/>
                          <w:szCs w:val="20"/>
                        </w:rPr>
                        <w:t xml:space="preserve">32 (1,21%) </w:t>
                      </w:r>
                      <w:proofErr w:type="spellStart"/>
                      <w:r>
                        <w:rPr>
                          <w:sz w:val="20"/>
                          <w:szCs w:val="20"/>
                        </w:rPr>
                        <w:t>пац</w:t>
                      </w:r>
                      <w:r>
                        <w:rPr>
                          <w:sz w:val="20"/>
                          <w:szCs w:val="20"/>
                          <w:lang w:val="uk-UA"/>
                        </w:rPr>
                        <w:t>ієнті</w:t>
                      </w:r>
                      <w:proofErr w:type="spellEnd"/>
                      <w:r>
                        <w:rPr>
                          <w:sz w:val="20"/>
                          <w:szCs w:val="20"/>
                        </w:rPr>
                        <w:t xml:space="preserve">в </w:t>
                      </w:r>
                      <w:r>
                        <w:rPr>
                          <w:sz w:val="20"/>
                          <w:szCs w:val="20"/>
                          <w:lang w:val="uk-UA"/>
                        </w:rPr>
                        <w:t>із</w:t>
                      </w:r>
                      <w:r>
                        <w:rPr>
                          <w:sz w:val="20"/>
                          <w:szCs w:val="20"/>
                        </w:rPr>
                        <w:t xml:space="preserve"> ХП</w:t>
                      </w:r>
                    </w:p>
                  </w:txbxContent>
                </v:textbox>
              </v:shape>
            </w:pict>
          </mc:Fallback>
        </mc:AlternateContent>
      </w:r>
      <w:r w:rsidRPr="00BC641F">
        <w:rPr>
          <w:noProof/>
          <w:lang w:eastAsia="zh-CN"/>
        </w:rPr>
        <mc:AlternateContent>
          <mc:Choice Requires="wps">
            <w:drawing>
              <wp:anchor distT="0" distB="0" distL="114300" distR="114300" simplePos="0" relativeHeight="251673600" behindDoc="0" locked="0" layoutInCell="1" allowOverlap="1" wp14:anchorId="38330803" wp14:editId="18C734A2">
                <wp:simplePos x="0" y="0"/>
                <wp:positionH relativeFrom="column">
                  <wp:posOffset>331699</wp:posOffset>
                </wp:positionH>
                <wp:positionV relativeFrom="paragraph">
                  <wp:posOffset>4959985</wp:posOffset>
                </wp:positionV>
                <wp:extent cx="2077516" cy="483133"/>
                <wp:effectExtent l="0" t="0" r="18415" b="12700"/>
                <wp:wrapNone/>
                <wp:docPr id="26" name="Поле 26"/>
                <wp:cNvGraphicFramePr/>
                <a:graphic xmlns:a="http://schemas.openxmlformats.org/drawingml/2006/main">
                  <a:graphicData uri="http://schemas.microsoft.com/office/word/2010/wordprocessingShape">
                    <wps:wsp>
                      <wps:cNvSpPr txBox="1"/>
                      <wps:spPr>
                        <a:xfrm>
                          <a:off x="0" y="0"/>
                          <a:ext cx="2077516" cy="4831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5A72" w:rsidRPr="008608A9" w:rsidRDefault="003A5A72" w:rsidP="00357F2B">
                            <w:pPr>
                              <w:jc w:val="center"/>
                              <w:rPr>
                                <w:sz w:val="20"/>
                                <w:szCs w:val="20"/>
                              </w:rPr>
                            </w:pPr>
                            <w:r>
                              <w:rPr>
                                <w:sz w:val="20"/>
                                <w:szCs w:val="20"/>
                              </w:rPr>
                              <w:t xml:space="preserve">142 (12,98%) </w:t>
                            </w:r>
                            <w:proofErr w:type="spellStart"/>
                            <w:r>
                              <w:rPr>
                                <w:sz w:val="20"/>
                                <w:szCs w:val="20"/>
                              </w:rPr>
                              <w:t>пац</w:t>
                            </w:r>
                            <w:r>
                              <w:rPr>
                                <w:sz w:val="20"/>
                                <w:szCs w:val="20"/>
                                <w:lang w:val="uk-UA"/>
                              </w:rPr>
                              <w:t>ієнті</w:t>
                            </w:r>
                            <w:proofErr w:type="spellEnd"/>
                            <w:r>
                              <w:rPr>
                                <w:sz w:val="20"/>
                                <w:szCs w:val="20"/>
                              </w:rPr>
                              <w:t xml:space="preserve">в </w:t>
                            </w:r>
                            <w:r>
                              <w:rPr>
                                <w:sz w:val="20"/>
                                <w:szCs w:val="20"/>
                                <w:lang w:val="uk-UA"/>
                              </w:rPr>
                              <w:t>із</w:t>
                            </w:r>
                            <w:r>
                              <w:rPr>
                                <w:sz w:val="20"/>
                                <w:szCs w:val="20"/>
                              </w:rPr>
                              <w:t xml:space="preserve"> ХП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330803" id="Поле 26" o:spid="_x0000_s1028" type="#_x0000_t202" style="position:absolute;left:0;text-align:left;margin-left:26.1pt;margin-top:390.55pt;width:163.6pt;height:38.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" fillcolor="white [3201]" strokeweight=".5pt">
                <v:textbox>
                  <w:txbxContent>
                    <w:p w:rsidR="003A5A72" w:rsidRPr="008608A9" w:rsidRDefault="003A5A72" w:rsidP="00357F2B">
                      <w:pPr>
                        <w:jc w:val="center"/>
                        <w:rPr>
                          <w:sz w:val="20"/>
                          <w:szCs w:val="20"/>
                        </w:rPr>
                      </w:pPr>
                      <w:r>
                        <w:rPr>
                          <w:sz w:val="20"/>
                          <w:szCs w:val="20"/>
                        </w:rPr>
                        <w:t xml:space="preserve">142 (12,98%) </w:t>
                      </w:r>
                      <w:proofErr w:type="spellStart"/>
                      <w:r>
                        <w:rPr>
                          <w:sz w:val="20"/>
                          <w:szCs w:val="20"/>
                        </w:rPr>
                        <w:t>пац</w:t>
                      </w:r>
                      <w:r>
                        <w:rPr>
                          <w:sz w:val="20"/>
                          <w:szCs w:val="20"/>
                          <w:lang w:val="uk-UA"/>
                        </w:rPr>
                        <w:t>ієнті</w:t>
                      </w:r>
                      <w:proofErr w:type="spellEnd"/>
                      <w:r>
                        <w:rPr>
                          <w:sz w:val="20"/>
                          <w:szCs w:val="20"/>
                        </w:rPr>
                        <w:t xml:space="preserve">в </w:t>
                      </w:r>
                      <w:r>
                        <w:rPr>
                          <w:sz w:val="20"/>
                          <w:szCs w:val="20"/>
                          <w:lang w:val="uk-UA"/>
                        </w:rPr>
                        <w:t>із</w:t>
                      </w:r>
                      <w:r>
                        <w:rPr>
                          <w:sz w:val="20"/>
                          <w:szCs w:val="20"/>
                        </w:rPr>
                        <w:t xml:space="preserve"> ХП</w:t>
                      </w:r>
                    </w:p>
                  </w:txbxContent>
                </v:textbox>
              </v:shape>
            </w:pict>
          </mc:Fallback>
        </mc:AlternateContent>
      </w:r>
      <w:r w:rsidRPr="00BC641F">
        <w:rPr>
          <w:noProof/>
          <w:lang w:eastAsia="zh-CN"/>
        </w:rPr>
        <mc:AlternateContent>
          <mc:Choice Requires="wps">
            <w:drawing>
              <wp:anchor distT="0" distB="0" distL="114300" distR="114300" simplePos="0" relativeHeight="251671552" behindDoc="0" locked="0" layoutInCell="1" allowOverlap="1" wp14:anchorId="46C92A2E" wp14:editId="2E63F370">
                <wp:simplePos x="0" y="0"/>
                <wp:positionH relativeFrom="column">
                  <wp:posOffset>4955540</wp:posOffset>
                </wp:positionH>
                <wp:positionV relativeFrom="paragraph">
                  <wp:posOffset>4770399</wp:posOffset>
                </wp:positionV>
                <wp:extent cx="0" cy="189586"/>
                <wp:effectExtent l="0" t="0" r="19050" b="20320"/>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0" cy="1895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E73860" id="Прямая соединительная линия 2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90.2pt,375.6pt" to="390.2pt,3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" strokecolor="black [3040]"/>
            </w:pict>
          </mc:Fallback>
        </mc:AlternateContent>
      </w:r>
      <w:r w:rsidRPr="00BC641F">
        <w:rPr>
          <w:noProof/>
          <w:lang w:eastAsia="zh-CN"/>
        </w:rPr>
        <mc:AlternateContent>
          <mc:Choice Requires="wps">
            <w:drawing>
              <wp:anchor distT="0" distB="0" distL="114300" distR="114300" simplePos="0" relativeHeight="251669504" behindDoc="0" locked="0" layoutInCell="1" allowOverlap="1" wp14:anchorId="5ED1B1B7" wp14:editId="2D9B92DF">
                <wp:simplePos x="0" y="0"/>
                <wp:positionH relativeFrom="column">
                  <wp:posOffset>558470</wp:posOffset>
                </wp:positionH>
                <wp:positionV relativeFrom="paragraph">
                  <wp:posOffset>4770399</wp:posOffset>
                </wp:positionV>
                <wp:extent cx="0" cy="189916"/>
                <wp:effectExtent l="0" t="0" r="19050" b="19685"/>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0" cy="1899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444EA7" id="Прямая соединительная линия 2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3.95pt,375.6pt" to="43.95pt,3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" strokecolor="black [3040]"/>
            </w:pict>
          </mc:Fallback>
        </mc:AlternateContent>
      </w:r>
      <w:r w:rsidRPr="00BC641F">
        <w:rPr>
          <w:noProof/>
          <w:lang w:eastAsia="zh-CN"/>
        </w:rPr>
        <mc:AlternateContent>
          <mc:Choice Requires="wps">
            <w:drawing>
              <wp:anchor distT="0" distB="0" distL="114300" distR="114300" simplePos="0" relativeHeight="251667456" behindDoc="0" locked="0" layoutInCell="1" allowOverlap="1" wp14:anchorId="1018866F" wp14:editId="17E9FE8F">
                <wp:simplePos x="0" y="0"/>
                <wp:positionH relativeFrom="column">
                  <wp:posOffset>3521075</wp:posOffset>
                </wp:positionH>
                <wp:positionV relativeFrom="paragraph">
                  <wp:posOffset>4016375</wp:posOffset>
                </wp:positionV>
                <wp:extent cx="2135505" cy="753745"/>
                <wp:effectExtent l="0" t="0" r="17145" b="27305"/>
                <wp:wrapNone/>
                <wp:docPr id="29" name="Поле 29"/>
                <wp:cNvGraphicFramePr/>
                <a:graphic xmlns:a="http://schemas.openxmlformats.org/drawingml/2006/main">
                  <a:graphicData uri="http://schemas.microsoft.com/office/word/2010/wordprocessingShape">
                    <wps:wsp>
                      <wps:cNvSpPr txBox="1"/>
                      <wps:spPr>
                        <a:xfrm>
                          <a:off x="0" y="0"/>
                          <a:ext cx="2135505" cy="753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5A72" w:rsidRPr="00723463" w:rsidRDefault="003A5A72" w:rsidP="00357F2B">
                            <w:pPr>
                              <w:rPr>
                                <w:sz w:val="20"/>
                                <w:szCs w:val="20"/>
                              </w:rPr>
                            </w:pPr>
                            <w:r w:rsidRPr="007B5727">
                              <w:rPr>
                                <w:sz w:val="20"/>
                                <w:szCs w:val="20"/>
                              </w:rPr>
                              <w:t xml:space="preserve">2645 </w:t>
                            </w:r>
                            <w:proofErr w:type="spellStart"/>
                            <w:r w:rsidRPr="007B5727">
                              <w:rPr>
                                <w:sz w:val="20"/>
                                <w:szCs w:val="20"/>
                              </w:rPr>
                              <w:t>пацієнти</w:t>
                            </w:r>
                            <w:proofErr w:type="spellEnd"/>
                            <w:r w:rsidRPr="007B5727">
                              <w:rPr>
                                <w:sz w:val="20"/>
                                <w:szCs w:val="20"/>
                              </w:rPr>
                              <w:t xml:space="preserve"> з </w:t>
                            </w:r>
                            <w:proofErr w:type="spellStart"/>
                            <w:r w:rsidRPr="007B5727">
                              <w:rPr>
                                <w:sz w:val="20"/>
                                <w:szCs w:val="20"/>
                              </w:rPr>
                              <w:t>тільки</w:t>
                            </w:r>
                            <w:proofErr w:type="spellEnd"/>
                            <w:r w:rsidRPr="007B5727">
                              <w:rPr>
                                <w:sz w:val="20"/>
                                <w:szCs w:val="20"/>
                              </w:rPr>
                              <w:t xml:space="preserve"> 1 </w:t>
                            </w:r>
                            <w:proofErr w:type="spellStart"/>
                            <w:r w:rsidRPr="007B5727">
                              <w:rPr>
                                <w:sz w:val="20"/>
                                <w:szCs w:val="20"/>
                              </w:rPr>
                              <w:t>епізодом</w:t>
                            </w:r>
                            <w:proofErr w:type="spellEnd"/>
                            <w:r w:rsidRPr="007B5727">
                              <w:rPr>
                                <w:sz w:val="20"/>
                                <w:szCs w:val="20"/>
                              </w:rPr>
                              <w:t xml:space="preserve"> </w:t>
                            </w:r>
                            <w:r w:rsidR="00225F2A">
                              <w:rPr>
                                <w:sz w:val="20"/>
                                <w:szCs w:val="20"/>
                                <w:lang w:val="uk-UA"/>
                              </w:rPr>
                              <w:t>ГП</w:t>
                            </w:r>
                            <w:r w:rsidRPr="007B5727">
                              <w:rPr>
                                <w:sz w:val="20"/>
                                <w:szCs w:val="20"/>
                              </w:rPr>
                              <w:t xml:space="preserve"> в </w:t>
                            </w:r>
                            <w:proofErr w:type="spellStart"/>
                            <w:r w:rsidRPr="007B5727">
                              <w:rPr>
                                <w:sz w:val="20"/>
                                <w:szCs w:val="20"/>
                              </w:rPr>
                              <w:t>даних</w:t>
                            </w:r>
                            <w:proofErr w:type="spellEnd"/>
                            <w:r w:rsidRPr="007B5727">
                              <w:rPr>
                                <w:sz w:val="20"/>
                                <w:szCs w:val="20"/>
                              </w:rPr>
                              <w:t xml:space="preserve"> для оплати </w:t>
                            </w:r>
                            <w:proofErr w:type="spellStart"/>
                            <w:r w:rsidRPr="007B5727">
                              <w:rPr>
                                <w:sz w:val="20"/>
                                <w:szCs w:val="20"/>
                              </w:rPr>
                              <w:t>стаціонарних</w:t>
                            </w:r>
                            <w:proofErr w:type="spellEnd"/>
                            <w:r w:rsidRPr="007B5727">
                              <w:rPr>
                                <w:sz w:val="20"/>
                                <w:szCs w:val="20"/>
                              </w:rPr>
                              <w:t xml:space="preserve"> </w:t>
                            </w:r>
                            <w:proofErr w:type="spellStart"/>
                            <w:r w:rsidRPr="007B5727">
                              <w:rPr>
                                <w:sz w:val="20"/>
                                <w:szCs w:val="20"/>
                              </w:rPr>
                              <w:t>медичних</w:t>
                            </w:r>
                            <w:proofErr w:type="spellEnd"/>
                            <w:r w:rsidRPr="007B5727">
                              <w:rPr>
                                <w:sz w:val="20"/>
                                <w:szCs w:val="20"/>
                              </w:rPr>
                              <w:t xml:space="preserve"> </w:t>
                            </w:r>
                            <w:proofErr w:type="spellStart"/>
                            <w:r w:rsidRPr="007B5727">
                              <w:rPr>
                                <w:sz w:val="20"/>
                                <w:szCs w:val="20"/>
                              </w:rPr>
                              <w:t>послуг</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8866F" id="Поле 29" o:spid="_x0000_s1029" type="#_x0000_t202" style="position:absolute;left:0;text-align:left;margin-left:277.25pt;margin-top:316.25pt;width:168.15pt;height:5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" fillcolor="white [3201]" strokeweight=".5pt">
                <v:textbox>
                  <w:txbxContent>
                    <w:p w:rsidR="003A5A72" w:rsidRPr="00723463" w:rsidRDefault="003A5A72" w:rsidP="00357F2B">
                      <w:pPr>
                        <w:rPr>
                          <w:sz w:val="20"/>
                          <w:szCs w:val="20"/>
                        </w:rPr>
                      </w:pPr>
                      <w:r w:rsidRPr="007B5727">
                        <w:rPr>
                          <w:sz w:val="20"/>
                          <w:szCs w:val="20"/>
                        </w:rPr>
                        <w:t xml:space="preserve">2645 </w:t>
                      </w:r>
                      <w:proofErr w:type="spellStart"/>
                      <w:r w:rsidRPr="007B5727">
                        <w:rPr>
                          <w:sz w:val="20"/>
                          <w:szCs w:val="20"/>
                        </w:rPr>
                        <w:t>пацієнти</w:t>
                      </w:r>
                      <w:proofErr w:type="spellEnd"/>
                      <w:r w:rsidRPr="007B5727">
                        <w:rPr>
                          <w:sz w:val="20"/>
                          <w:szCs w:val="20"/>
                        </w:rPr>
                        <w:t xml:space="preserve"> з </w:t>
                      </w:r>
                      <w:proofErr w:type="spellStart"/>
                      <w:r w:rsidRPr="007B5727">
                        <w:rPr>
                          <w:sz w:val="20"/>
                          <w:szCs w:val="20"/>
                        </w:rPr>
                        <w:t>тільки</w:t>
                      </w:r>
                      <w:proofErr w:type="spellEnd"/>
                      <w:r w:rsidRPr="007B5727">
                        <w:rPr>
                          <w:sz w:val="20"/>
                          <w:szCs w:val="20"/>
                        </w:rPr>
                        <w:t xml:space="preserve"> 1 </w:t>
                      </w:r>
                      <w:proofErr w:type="spellStart"/>
                      <w:r w:rsidRPr="007B5727">
                        <w:rPr>
                          <w:sz w:val="20"/>
                          <w:szCs w:val="20"/>
                        </w:rPr>
                        <w:t>епізодом</w:t>
                      </w:r>
                      <w:proofErr w:type="spellEnd"/>
                      <w:r w:rsidRPr="007B5727">
                        <w:rPr>
                          <w:sz w:val="20"/>
                          <w:szCs w:val="20"/>
                        </w:rPr>
                        <w:t xml:space="preserve"> </w:t>
                      </w:r>
                      <w:r w:rsidR="00225F2A">
                        <w:rPr>
                          <w:sz w:val="20"/>
                          <w:szCs w:val="20"/>
                          <w:lang w:val="uk-UA"/>
                        </w:rPr>
                        <w:t>ГП</w:t>
                      </w:r>
                      <w:r w:rsidRPr="007B5727">
                        <w:rPr>
                          <w:sz w:val="20"/>
                          <w:szCs w:val="20"/>
                        </w:rPr>
                        <w:t xml:space="preserve"> в </w:t>
                      </w:r>
                      <w:proofErr w:type="spellStart"/>
                      <w:r w:rsidRPr="007B5727">
                        <w:rPr>
                          <w:sz w:val="20"/>
                          <w:szCs w:val="20"/>
                        </w:rPr>
                        <w:t>даних</w:t>
                      </w:r>
                      <w:proofErr w:type="spellEnd"/>
                      <w:r w:rsidRPr="007B5727">
                        <w:rPr>
                          <w:sz w:val="20"/>
                          <w:szCs w:val="20"/>
                        </w:rPr>
                        <w:t xml:space="preserve"> для оплати </w:t>
                      </w:r>
                      <w:proofErr w:type="spellStart"/>
                      <w:r w:rsidRPr="007B5727">
                        <w:rPr>
                          <w:sz w:val="20"/>
                          <w:szCs w:val="20"/>
                        </w:rPr>
                        <w:t>стаціонарних</w:t>
                      </w:r>
                      <w:proofErr w:type="spellEnd"/>
                      <w:r w:rsidRPr="007B5727">
                        <w:rPr>
                          <w:sz w:val="20"/>
                          <w:szCs w:val="20"/>
                        </w:rPr>
                        <w:t xml:space="preserve"> </w:t>
                      </w:r>
                      <w:proofErr w:type="spellStart"/>
                      <w:r w:rsidRPr="007B5727">
                        <w:rPr>
                          <w:sz w:val="20"/>
                          <w:szCs w:val="20"/>
                        </w:rPr>
                        <w:t>медичних</w:t>
                      </w:r>
                      <w:proofErr w:type="spellEnd"/>
                      <w:r w:rsidRPr="007B5727">
                        <w:rPr>
                          <w:sz w:val="20"/>
                          <w:szCs w:val="20"/>
                        </w:rPr>
                        <w:t xml:space="preserve"> </w:t>
                      </w:r>
                      <w:proofErr w:type="spellStart"/>
                      <w:r w:rsidRPr="007B5727">
                        <w:rPr>
                          <w:sz w:val="20"/>
                          <w:szCs w:val="20"/>
                        </w:rPr>
                        <w:t>послуг</w:t>
                      </w:r>
                      <w:proofErr w:type="spellEnd"/>
                    </w:p>
                  </w:txbxContent>
                </v:textbox>
              </v:shape>
            </w:pict>
          </mc:Fallback>
        </mc:AlternateContent>
      </w:r>
      <w:r w:rsidRPr="00BC641F">
        <w:rPr>
          <w:noProof/>
          <w:lang w:eastAsia="zh-CN"/>
        </w:rPr>
        <mc:AlternateContent>
          <mc:Choice Requires="wps">
            <w:drawing>
              <wp:anchor distT="0" distB="0" distL="114300" distR="114300" simplePos="0" relativeHeight="251665408" behindDoc="0" locked="0" layoutInCell="1" allowOverlap="1" wp14:anchorId="160E003C" wp14:editId="322BBA6A">
                <wp:simplePos x="0" y="0"/>
                <wp:positionH relativeFrom="column">
                  <wp:posOffset>258445</wp:posOffset>
                </wp:positionH>
                <wp:positionV relativeFrom="paragraph">
                  <wp:posOffset>4016375</wp:posOffset>
                </wp:positionV>
                <wp:extent cx="2209165" cy="753745"/>
                <wp:effectExtent l="0" t="0" r="19685" b="27305"/>
                <wp:wrapNone/>
                <wp:docPr id="30" name="Поле 30"/>
                <wp:cNvGraphicFramePr/>
                <a:graphic xmlns:a="http://schemas.openxmlformats.org/drawingml/2006/main">
                  <a:graphicData uri="http://schemas.microsoft.com/office/word/2010/wordprocessingShape">
                    <wps:wsp>
                      <wps:cNvSpPr txBox="1"/>
                      <wps:spPr>
                        <a:xfrm>
                          <a:off x="0" y="0"/>
                          <a:ext cx="2209165" cy="753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5A72" w:rsidRPr="00723463" w:rsidRDefault="003A5A72" w:rsidP="00357F2B">
                            <w:pPr>
                              <w:rPr>
                                <w:sz w:val="20"/>
                                <w:szCs w:val="20"/>
                              </w:rPr>
                            </w:pPr>
                            <w:r w:rsidRPr="007B5727">
                              <w:rPr>
                                <w:sz w:val="20"/>
                                <w:szCs w:val="20"/>
                              </w:rPr>
                              <w:t xml:space="preserve">1 094 </w:t>
                            </w:r>
                            <w:proofErr w:type="spellStart"/>
                            <w:r w:rsidRPr="007B5727">
                              <w:rPr>
                                <w:sz w:val="20"/>
                                <w:szCs w:val="20"/>
                              </w:rPr>
                              <w:t>пацієнтів</w:t>
                            </w:r>
                            <w:proofErr w:type="spellEnd"/>
                            <w:r w:rsidRPr="007B5727">
                              <w:rPr>
                                <w:sz w:val="20"/>
                                <w:szCs w:val="20"/>
                              </w:rPr>
                              <w:t xml:space="preserve"> з </w:t>
                            </w:r>
                            <w:proofErr w:type="spellStart"/>
                            <w:r w:rsidRPr="007B5727">
                              <w:rPr>
                                <w:sz w:val="20"/>
                                <w:szCs w:val="20"/>
                              </w:rPr>
                              <w:t>більш</w:t>
                            </w:r>
                            <w:proofErr w:type="spellEnd"/>
                            <w:r w:rsidRPr="007B5727">
                              <w:rPr>
                                <w:sz w:val="20"/>
                                <w:szCs w:val="20"/>
                              </w:rPr>
                              <w:t xml:space="preserve"> </w:t>
                            </w:r>
                            <w:proofErr w:type="spellStart"/>
                            <w:r w:rsidRPr="007B5727">
                              <w:rPr>
                                <w:sz w:val="20"/>
                                <w:szCs w:val="20"/>
                              </w:rPr>
                              <w:t>ніж</w:t>
                            </w:r>
                            <w:proofErr w:type="spellEnd"/>
                            <w:r w:rsidRPr="007B5727">
                              <w:rPr>
                                <w:sz w:val="20"/>
                                <w:szCs w:val="20"/>
                              </w:rPr>
                              <w:t xml:space="preserve"> 2 </w:t>
                            </w:r>
                            <w:proofErr w:type="spellStart"/>
                            <w:r w:rsidRPr="007B5727">
                              <w:rPr>
                                <w:sz w:val="20"/>
                                <w:szCs w:val="20"/>
                              </w:rPr>
                              <w:t>випадками</w:t>
                            </w:r>
                            <w:proofErr w:type="spellEnd"/>
                            <w:r w:rsidRPr="007B5727">
                              <w:rPr>
                                <w:sz w:val="20"/>
                                <w:szCs w:val="20"/>
                              </w:rPr>
                              <w:t xml:space="preserve"> </w:t>
                            </w:r>
                            <w:r w:rsidR="00225F2A">
                              <w:rPr>
                                <w:sz w:val="20"/>
                                <w:szCs w:val="20"/>
                                <w:lang w:val="uk-UA"/>
                              </w:rPr>
                              <w:t>ГП</w:t>
                            </w:r>
                            <w:r w:rsidRPr="007B5727">
                              <w:rPr>
                                <w:sz w:val="20"/>
                                <w:szCs w:val="20"/>
                              </w:rPr>
                              <w:t xml:space="preserve"> з </w:t>
                            </w:r>
                            <w:proofErr w:type="spellStart"/>
                            <w:r w:rsidRPr="007B5727">
                              <w:rPr>
                                <w:sz w:val="20"/>
                                <w:szCs w:val="20"/>
                              </w:rPr>
                              <w:t>даними</w:t>
                            </w:r>
                            <w:proofErr w:type="spellEnd"/>
                            <w:r w:rsidRPr="007B5727">
                              <w:rPr>
                                <w:sz w:val="20"/>
                                <w:szCs w:val="20"/>
                              </w:rPr>
                              <w:t xml:space="preserve"> для оплати </w:t>
                            </w:r>
                            <w:proofErr w:type="spellStart"/>
                            <w:r w:rsidRPr="007B5727">
                              <w:rPr>
                                <w:sz w:val="20"/>
                                <w:szCs w:val="20"/>
                              </w:rPr>
                              <w:t>стаціонарних</w:t>
                            </w:r>
                            <w:proofErr w:type="spellEnd"/>
                            <w:r w:rsidRPr="007B5727">
                              <w:rPr>
                                <w:sz w:val="20"/>
                                <w:szCs w:val="20"/>
                              </w:rPr>
                              <w:t xml:space="preserve"> </w:t>
                            </w:r>
                            <w:proofErr w:type="spellStart"/>
                            <w:r w:rsidRPr="007B5727">
                              <w:rPr>
                                <w:sz w:val="20"/>
                                <w:szCs w:val="20"/>
                              </w:rPr>
                              <w:t>медичних</w:t>
                            </w:r>
                            <w:proofErr w:type="spellEnd"/>
                            <w:r w:rsidRPr="007B5727">
                              <w:rPr>
                                <w:sz w:val="20"/>
                                <w:szCs w:val="20"/>
                              </w:rPr>
                              <w:t xml:space="preserve"> </w:t>
                            </w:r>
                            <w:proofErr w:type="spellStart"/>
                            <w:r w:rsidRPr="007B5727">
                              <w:rPr>
                                <w:sz w:val="20"/>
                                <w:szCs w:val="20"/>
                              </w:rPr>
                              <w:t>послуг</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E003C" id="Поле 30" o:spid="_x0000_s1030" type="#_x0000_t202" style="position:absolute;left:0;text-align:left;margin-left:20.35pt;margin-top:316.25pt;width:173.95pt;height:5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" fillcolor="white [3201]" strokeweight=".5pt">
                <v:textbox>
                  <w:txbxContent>
                    <w:p w:rsidR="003A5A72" w:rsidRPr="00723463" w:rsidRDefault="003A5A72" w:rsidP="00357F2B">
                      <w:pPr>
                        <w:rPr>
                          <w:sz w:val="20"/>
                          <w:szCs w:val="20"/>
                        </w:rPr>
                      </w:pPr>
                      <w:r w:rsidRPr="007B5727">
                        <w:rPr>
                          <w:sz w:val="20"/>
                          <w:szCs w:val="20"/>
                        </w:rPr>
                        <w:t xml:space="preserve">1 094 </w:t>
                      </w:r>
                      <w:proofErr w:type="spellStart"/>
                      <w:r w:rsidRPr="007B5727">
                        <w:rPr>
                          <w:sz w:val="20"/>
                          <w:szCs w:val="20"/>
                        </w:rPr>
                        <w:t>пацієнтів</w:t>
                      </w:r>
                      <w:proofErr w:type="spellEnd"/>
                      <w:r w:rsidRPr="007B5727">
                        <w:rPr>
                          <w:sz w:val="20"/>
                          <w:szCs w:val="20"/>
                        </w:rPr>
                        <w:t xml:space="preserve"> з </w:t>
                      </w:r>
                      <w:proofErr w:type="spellStart"/>
                      <w:r w:rsidRPr="007B5727">
                        <w:rPr>
                          <w:sz w:val="20"/>
                          <w:szCs w:val="20"/>
                        </w:rPr>
                        <w:t>більш</w:t>
                      </w:r>
                      <w:proofErr w:type="spellEnd"/>
                      <w:r w:rsidRPr="007B5727">
                        <w:rPr>
                          <w:sz w:val="20"/>
                          <w:szCs w:val="20"/>
                        </w:rPr>
                        <w:t xml:space="preserve"> </w:t>
                      </w:r>
                      <w:proofErr w:type="spellStart"/>
                      <w:r w:rsidRPr="007B5727">
                        <w:rPr>
                          <w:sz w:val="20"/>
                          <w:szCs w:val="20"/>
                        </w:rPr>
                        <w:t>ніж</w:t>
                      </w:r>
                      <w:proofErr w:type="spellEnd"/>
                      <w:r w:rsidRPr="007B5727">
                        <w:rPr>
                          <w:sz w:val="20"/>
                          <w:szCs w:val="20"/>
                        </w:rPr>
                        <w:t xml:space="preserve"> 2 </w:t>
                      </w:r>
                      <w:proofErr w:type="spellStart"/>
                      <w:r w:rsidRPr="007B5727">
                        <w:rPr>
                          <w:sz w:val="20"/>
                          <w:szCs w:val="20"/>
                        </w:rPr>
                        <w:t>випадками</w:t>
                      </w:r>
                      <w:proofErr w:type="spellEnd"/>
                      <w:r w:rsidRPr="007B5727">
                        <w:rPr>
                          <w:sz w:val="20"/>
                          <w:szCs w:val="20"/>
                        </w:rPr>
                        <w:t xml:space="preserve"> </w:t>
                      </w:r>
                      <w:r w:rsidR="00225F2A">
                        <w:rPr>
                          <w:sz w:val="20"/>
                          <w:szCs w:val="20"/>
                          <w:lang w:val="uk-UA"/>
                        </w:rPr>
                        <w:t>ГП</w:t>
                      </w:r>
                      <w:r w:rsidRPr="007B5727">
                        <w:rPr>
                          <w:sz w:val="20"/>
                          <w:szCs w:val="20"/>
                        </w:rPr>
                        <w:t xml:space="preserve"> з </w:t>
                      </w:r>
                      <w:proofErr w:type="spellStart"/>
                      <w:r w:rsidRPr="007B5727">
                        <w:rPr>
                          <w:sz w:val="20"/>
                          <w:szCs w:val="20"/>
                        </w:rPr>
                        <w:t>даними</w:t>
                      </w:r>
                      <w:proofErr w:type="spellEnd"/>
                      <w:r w:rsidRPr="007B5727">
                        <w:rPr>
                          <w:sz w:val="20"/>
                          <w:szCs w:val="20"/>
                        </w:rPr>
                        <w:t xml:space="preserve"> для оплати </w:t>
                      </w:r>
                      <w:proofErr w:type="spellStart"/>
                      <w:r w:rsidRPr="007B5727">
                        <w:rPr>
                          <w:sz w:val="20"/>
                          <w:szCs w:val="20"/>
                        </w:rPr>
                        <w:t>стаціонарних</w:t>
                      </w:r>
                      <w:proofErr w:type="spellEnd"/>
                      <w:r w:rsidRPr="007B5727">
                        <w:rPr>
                          <w:sz w:val="20"/>
                          <w:szCs w:val="20"/>
                        </w:rPr>
                        <w:t xml:space="preserve"> </w:t>
                      </w:r>
                      <w:proofErr w:type="spellStart"/>
                      <w:r w:rsidRPr="007B5727">
                        <w:rPr>
                          <w:sz w:val="20"/>
                          <w:szCs w:val="20"/>
                        </w:rPr>
                        <w:t>медичних</w:t>
                      </w:r>
                      <w:proofErr w:type="spellEnd"/>
                      <w:r w:rsidRPr="007B5727">
                        <w:rPr>
                          <w:sz w:val="20"/>
                          <w:szCs w:val="20"/>
                        </w:rPr>
                        <w:t xml:space="preserve"> </w:t>
                      </w:r>
                      <w:proofErr w:type="spellStart"/>
                      <w:r w:rsidRPr="007B5727">
                        <w:rPr>
                          <w:sz w:val="20"/>
                          <w:szCs w:val="20"/>
                        </w:rPr>
                        <w:t>послуг</w:t>
                      </w:r>
                      <w:proofErr w:type="spellEnd"/>
                    </w:p>
                  </w:txbxContent>
                </v:textbox>
              </v:shape>
            </w:pict>
          </mc:Fallback>
        </mc:AlternateContent>
      </w:r>
      <w:r w:rsidRPr="00BC641F">
        <w:rPr>
          <w:noProof/>
          <w:lang w:eastAsia="zh-CN"/>
        </w:rPr>
        <mc:AlternateContent>
          <mc:Choice Requires="wps">
            <w:drawing>
              <wp:anchor distT="0" distB="0" distL="114300" distR="114300" simplePos="0" relativeHeight="251663360" behindDoc="0" locked="0" layoutInCell="1" allowOverlap="1" wp14:anchorId="2ACBE17F" wp14:editId="6A969AB4">
                <wp:simplePos x="0" y="0"/>
                <wp:positionH relativeFrom="column">
                  <wp:posOffset>4953813</wp:posOffset>
                </wp:positionH>
                <wp:positionV relativeFrom="paragraph">
                  <wp:posOffset>3841090</wp:posOffset>
                </wp:positionV>
                <wp:extent cx="1016" cy="175260"/>
                <wp:effectExtent l="0" t="0" r="37465" b="15240"/>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1016" cy="175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94EAD1" id="Прямая соединительная линия 3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90.05pt,302.45pt" to="390.15pt,3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" strokecolor="black [3040]"/>
            </w:pict>
          </mc:Fallback>
        </mc:AlternateContent>
      </w:r>
      <w:r w:rsidRPr="00BC641F">
        <w:rPr>
          <w:noProof/>
          <w:lang w:eastAsia="zh-CN"/>
        </w:rPr>
        <mc:AlternateContent>
          <mc:Choice Requires="wps">
            <w:drawing>
              <wp:anchor distT="0" distB="0" distL="114300" distR="114300" simplePos="0" relativeHeight="251661312" behindDoc="0" locked="0" layoutInCell="1" allowOverlap="1" wp14:anchorId="2A4E5D66" wp14:editId="1B61CAEE">
                <wp:simplePos x="0" y="0"/>
                <wp:positionH relativeFrom="column">
                  <wp:posOffset>521894</wp:posOffset>
                </wp:positionH>
                <wp:positionV relativeFrom="paragraph">
                  <wp:posOffset>3841217</wp:posOffset>
                </wp:positionV>
                <wp:extent cx="0" cy="175437"/>
                <wp:effectExtent l="0" t="0" r="19050" b="15240"/>
                <wp:wrapNone/>
                <wp:docPr id="288" name="Прямая соединительная линия 288"/>
                <wp:cNvGraphicFramePr/>
                <a:graphic xmlns:a="http://schemas.openxmlformats.org/drawingml/2006/main">
                  <a:graphicData uri="http://schemas.microsoft.com/office/word/2010/wordprocessingShape">
                    <wps:wsp>
                      <wps:cNvCnPr/>
                      <wps:spPr>
                        <a:xfrm>
                          <a:off x="0" y="0"/>
                          <a:ext cx="0" cy="17543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3D7094" id="Прямая соединительная линия 28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1.1pt,302.45pt" to="41.1pt,3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" strokecolor="black [3040]"/>
            </w:pict>
          </mc:Fallback>
        </mc:AlternateContent>
      </w:r>
      <w:r w:rsidRPr="00BC641F">
        <w:rPr>
          <w:noProof/>
          <w:lang w:eastAsia="zh-CN"/>
        </w:rPr>
        <mc:AlternateContent>
          <mc:Choice Requires="wps">
            <w:drawing>
              <wp:anchor distT="0" distB="0" distL="114300" distR="114300" simplePos="0" relativeHeight="251659264" behindDoc="0" locked="0" layoutInCell="1" allowOverlap="1" wp14:anchorId="10B3D4C9" wp14:editId="5DF6E5DB">
                <wp:simplePos x="0" y="0"/>
                <wp:positionH relativeFrom="column">
                  <wp:posOffset>520548</wp:posOffset>
                </wp:positionH>
                <wp:positionV relativeFrom="paragraph">
                  <wp:posOffset>3841115</wp:posOffset>
                </wp:positionV>
                <wp:extent cx="4433011" cy="0"/>
                <wp:effectExtent l="0" t="0" r="24765" b="19050"/>
                <wp:wrapNone/>
                <wp:docPr id="289" name="Прямая соединительная линия 289"/>
                <wp:cNvGraphicFramePr/>
                <a:graphic xmlns:a="http://schemas.openxmlformats.org/drawingml/2006/main">
                  <a:graphicData uri="http://schemas.microsoft.com/office/word/2010/wordprocessingShape">
                    <wps:wsp>
                      <wps:cNvCnPr/>
                      <wps:spPr>
                        <a:xfrm>
                          <a:off x="0" y="0"/>
                          <a:ext cx="4433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4E01EB" id="Прямая соединительная линия 28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pt,302.45pt" to="390.05pt,3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" strokecolor="black [3040]"/>
            </w:pict>
          </mc:Fallback>
        </mc:AlternateContent>
      </w:r>
      <w:r w:rsidRPr="00BC641F">
        <w:rPr>
          <w:noProof/>
          <w:lang w:eastAsia="zh-CN"/>
        </w:rPr>
        <mc:AlternateContent>
          <mc:Choice Requires="wps">
            <w:drawing>
              <wp:anchor distT="0" distB="0" distL="114300" distR="114300" simplePos="0" relativeHeight="251657216" behindDoc="0" locked="0" layoutInCell="1" allowOverlap="1" wp14:anchorId="2B22852D" wp14:editId="665BDDA5">
                <wp:simplePos x="0" y="0"/>
                <wp:positionH relativeFrom="column">
                  <wp:posOffset>2716454</wp:posOffset>
                </wp:positionH>
                <wp:positionV relativeFrom="paragraph">
                  <wp:posOffset>3548177</wp:posOffset>
                </wp:positionV>
                <wp:extent cx="0" cy="292913"/>
                <wp:effectExtent l="0" t="0" r="19050" b="12065"/>
                <wp:wrapNone/>
                <wp:docPr id="290" name="Прямая соединительная линия 290"/>
                <wp:cNvGraphicFramePr/>
                <a:graphic xmlns:a="http://schemas.openxmlformats.org/drawingml/2006/main">
                  <a:graphicData uri="http://schemas.microsoft.com/office/word/2010/wordprocessingShape">
                    <wps:wsp>
                      <wps:cNvCnPr/>
                      <wps:spPr>
                        <a:xfrm>
                          <a:off x="0" y="0"/>
                          <a:ext cx="0" cy="2929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4D2C10" id="Прямая соединительная линия 290"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13.9pt,279.4pt" to="213.9pt,3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" strokecolor="black [3040]"/>
            </w:pict>
          </mc:Fallback>
        </mc:AlternateContent>
      </w:r>
      <w:r w:rsidRPr="00BC641F">
        <w:rPr>
          <w:noProof/>
          <w:lang w:eastAsia="zh-CN"/>
        </w:rPr>
        <mc:AlternateContent>
          <mc:Choice Requires="wps">
            <w:drawing>
              <wp:anchor distT="0" distB="0" distL="114300" distR="114300" simplePos="0" relativeHeight="251653120" behindDoc="0" locked="0" layoutInCell="1" allowOverlap="1" wp14:anchorId="43A5CF6D" wp14:editId="4B135B8B">
                <wp:simplePos x="0" y="0"/>
                <wp:positionH relativeFrom="column">
                  <wp:posOffset>2716454</wp:posOffset>
                </wp:positionH>
                <wp:positionV relativeFrom="paragraph">
                  <wp:posOffset>2019605</wp:posOffset>
                </wp:positionV>
                <wp:extent cx="321869" cy="0"/>
                <wp:effectExtent l="0" t="0" r="21590" b="19050"/>
                <wp:wrapNone/>
                <wp:docPr id="292" name="Прямая соединительная линия 292"/>
                <wp:cNvGraphicFramePr/>
                <a:graphic xmlns:a="http://schemas.openxmlformats.org/drawingml/2006/main">
                  <a:graphicData uri="http://schemas.microsoft.com/office/word/2010/wordprocessingShape">
                    <wps:wsp>
                      <wps:cNvCnPr/>
                      <wps:spPr>
                        <a:xfrm>
                          <a:off x="0" y="0"/>
                          <a:ext cx="3218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9C9434" id="Прямая соединительная линия 292"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213.9pt,159pt" to="239.2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" strokecolor="black [3040]"/>
            </w:pict>
          </mc:Fallback>
        </mc:AlternateContent>
      </w:r>
      <w:r w:rsidRPr="00BC641F">
        <w:rPr>
          <w:noProof/>
          <w:lang w:eastAsia="zh-CN"/>
        </w:rPr>
        <mc:AlternateContent>
          <mc:Choice Requires="wps">
            <w:drawing>
              <wp:anchor distT="0" distB="0" distL="114300" distR="114300" simplePos="0" relativeHeight="251651072" behindDoc="0" locked="0" layoutInCell="1" allowOverlap="1" wp14:anchorId="17FB78E0" wp14:editId="2558D523">
                <wp:simplePos x="0" y="0"/>
                <wp:positionH relativeFrom="column">
                  <wp:posOffset>2716454</wp:posOffset>
                </wp:positionH>
                <wp:positionV relativeFrom="paragraph">
                  <wp:posOffset>1236878</wp:posOffset>
                </wp:positionV>
                <wp:extent cx="0" cy="1953260"/>
                <wp:effectExtent l="0" t="0" r="19050" b="27940"/>
                <wp:wrapNone/>
                <wp:docPr id="293" name="Прямая соединительная линия 293"/>
                <wp:cNvGraphicFramePr/>
                <a:graphic xmlns:a="http://schemas.openxmlformats.org/drawingml/2006/main">
                  <a:graphicData uri="http://schemas.microsoft.com/office/word/2010/wordprocessingShape">
                    <wps:wsp>
                      <wps:cNvCnPr/>
                      <wps:spPr>
                        <a:xfrm>
                          <a:off x="0" y="0"/>
                          <a:ext cx="0" cy="1953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D95C6D" id="Прямая соединительная линия 293"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213.9pt,97.4pt" to="213.9pt,2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" strokecolor="black [3040]"/>
            </w:pict>
          </mc:Fallback>
        </mc:AlternateContent>
      </w:r>
      <w:r w:rsidRPr="00BC641F">
        <w:rPr>
          <w:noProof/>
          <w:lang w:eastAsia="zh-CN"/>
        </w:rPr>
        <mc:AlternateContent>
          <mc:Choice Requires="wps">
            <w:drawing>
              <wp:anchor distT="0" distB="0" distL="114300" distR="114300" simplePos="0" relativeHeight="251646976" behindDoc="0" locked="0" layoutInCell="1" allowOverlap="1" wp14:anchorId="38B5B733" wp14:editId="2E41E716">
                <wp:simplePos x="0" y="0"/>
                <wp:positionH relativeFrom="column">
                  <wp:posOffset>2716454</wp:posOffset>
                </wp:positionH>
                <wp:positionV relativeFrom="paragraph">
                  <wp:posOffset>614782</wp:posOffset>
                </wp:positionV>
                <wp:extent cx="0" cy="153974"/>
                <wp:effectExtent l="0" t="0" r="19050" b="17780"/>
                <wp:wrapNone/>
                <wp:docPr id="295" name="Прямая соединительная линия 295"/>
                <wp:cNvGraphicFramePr/>
                <a:graphic xmlns:a="http://schemas.openxmlformats.org/drawingml/2006/main">
                  <a:graphicData uri="http://schemas.microsoft.com/office/word/2010/wordprocessingShape">
                    <wps:wsp>
                      <wps:cNvCnPr/>
                      <wps:spPr>
                        <a:xfrm>
                          <a:off x="0" y="0"/>
                          <a:ext cx="0" cy="1539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5B3E78" id="Прямая соединительная линия 295" o:spid="_x0000_s1026" style="position:absolute;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3.9pt,48.4pt" to="213.9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" strokecolor="black [3040]"/>
            </w:pict>
          </mc:Fallback>
        </mc:AlternateContent>
      </w:r>
      <w:r w:rsidRPr="00BC641F">
        <w:rPr>
          <w:noProof/>
          <w:lang w:eastAsia="zh-CN"/>
        </w:rPr>
        <mc:AlternateContent>
          <mc:Choice Requires="wps">
            <w:drawing>
              <wp:anchor distT="0" distB="0" distL="114300" distR="114300" simplePos="0" relativeHeight="251644928" behindDoc="0" locked="0" layoutInCell="1" allowOverlap="1" wp14:anchorId="41945F6E" wp14:editId="741DCB4F">
                <wp:simplePos x="0" y="0"/>
                <wp:positionH relativeFrom="column">
                  <wp:posOffset>485319</wp:posOffset>
                </wp:positionH>
                <wp:positionV relativeFrom="paragraph">
                  <wp:posOffset>768706</wp:posOffset>
                </wp:positionV>
                <wp:extent cx="4468952" cy="468172"/>
                <wp:effectExtent l="0" t="0" r="27305" b="27305"/>
                <wp:wrapNone/>
                <wp:docPr id="296" name="Поле 296"/>
                <wp:cNvGraphicFramePr/>
                <a:graphic xmlns:a="http://schemas.openxmlformats.org/drawingml/2006/main">
                  <a:graphicData uri="http://schemas.microsoft.com/office/word/2010/wordprocessingShape">
                    <wps:wsp>
                      <wps:cNvSpPr txBox="1"/>
                      <wps:spPr>
                        <a:xfrm>
                          <a:off x="0" y="0"/>
                          <a:ext cx="4468952" cy="4681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5A72" w:rsidRPr="00EC25B7" w:rsidRDefault="003A5A72" w:rsidP="00357F2B">
                            <w:pPr>
                              <w:jc w:val="center"/>
                              <w:rPr>
                                <w:sz w:val="20"/>
                                <w:szCs w:val="20"/>
                                <w:lang w:val="uk-UA"/>
                              </w:rPr>
                            </w:pPr>
                            <w:r w:rsidRPr="00EC25B7">
                              <w:rPr>
                                <w:sz w:val="20"/>
                                <w:szCs w:val="20"/>
                                <w:lang w:val="uk-UA"/>
                              </w:rPr>
                              <w:t xml:space="preserve">5971 пацієнтів </w:t>
                            </w:r>
                            <w:r w:rsidR="004B3DE8">
                              <w:rPr>
                                <w:sz w:val="20"/>
                                <w:szCs w:val="20"/>
                                <w:lang w:val="uk-UA"/>
                              </w:rPr>
                              <w:t>і</w:t>
                            </w:r>
                            <w:r w:rsidRPr="00EC25B7">
                              <w:rPr>
                                <w:sz w:val="20"/>
                                <w:szCs w:val="20"/>
                                <w:lang w:val="uk-UA"/>
                              </w:rPr>
                              <w:t xml:space="preserve">з </w:t>
                            </w:r>
                            <w:proofErr w:type="spellStart"/>
                            <w:r w:rsidRPr="00EC25B7">
                              <w:rPr>
                                <w:sz w:val="20"/>
                                <w:szCs w:val="20"/>
                                <w:lang w:val="uk-UA"/>
                              </w:rPr>
                              <w:t>діагностованим</w:t>
                            </w:r>
                            <w:proofErr w:type="spellEnd"/>
                            <w:r w:rsidRPr="00EC25B7">
                              <w:rPr>
                                <w:sz w:val="20"/>
                                <w:szCs w:val="20"/>
                                <w:lang w:val="uk-UA"/>
                              </w:rPr>
                              <w:t xml:space="preserve"> </w:t>
                            </w:r>
                            <w:r w:rsidR="00225F2A">
                              <w:rPr>
                                <w:sz w:val="20"/>
                                <w:szCs w:val="20"/>
                                <w:lang w:val="uk-UA"/>
                              </w:rPr>
                              <w:t>Г</w:t>
                            </w:r>
                            <w:r w:rsidRPr="00EC25B7">
                              <w:rPr>
                                <w:sz w:val="20"/>
                                <w:szCs w:val="20"/>
                                <w:lang w:val="uk-UA"/>
                              </w:rPr>
                              <w:t>П за даними для оплати стаціонарної медичної допомоги в період з 2000 по 2013 роки.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945F6E" id="Поле 296" o:spid="_x0000_s1031" type="#_x0000_t202" style="position:absolute;left:0;text-align:left;margin-left:38.2pt;margin-top:60.55pt;width:351.9pt;height:36.85pt;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" fillcolor="white [3201]" strokeweight=".5pt">
                <v:textbox>
                  <w:txbxContent>
                    <w:p w:rsidR="003A5A72" w:rsidRPr="00EC25B7" w:rsidRDefault="003A5A72" w:rsidP="00357F2B">
                      <w:pPr>
                        <w:jc w:val="center"/>
                        <w:rPr>
                          <w:sz w:val="20"/>
                          <w:szCs w:val="20"/>
                          <w:lang w:val="uk-UA"/>
                        </w:rPr>
                      </w:pPr>
                      <w:r w:rsidRPr="00EC25B7">
                        <w:rPr>
                          <w:sz w:val="20"/>
                          <w:szCs w:val="20"/>
                          <w:lang w:val="uk-UA"/>
                        </w:rPr>
                        <w:t xml:space="preserve">5971 пацієнтів </w:t>
                      </w:r>
                      <w:r w:rsidR="004B3DE8">
                        <w:rPr>
                          <w:sz w:val="20"/>
                          <w:szCs w:val="20"/>
                          <w:lang w:val="uk-UA"/>
                        </w:rPr>
                        <w:t>і</w:t>
                      </w:r>
                      <w:r w:rsidRPr="00EC25B7">
                        <w:rPr>
                          <w:sz w:val="20"/>
                          <w:szCs w:val="20"/>
                          <w:lang w:val="uk-UA"/>
                        </w:rPr>
                        <w:t xml:space="preserve">з </w:t>
                      </w:r>
                      <w:proofErr w:type="spellStart"/>
                      <w:r w:rsidRPr="00EC25B7">
                        <w:rPr>
                          <w:sz w:val="20"/>
                          <w:szCs w:val="20"/>
                          <w:lang w:val="uk-UA"/>
                        </w:rPr>
                        <w:t>діагностованим</w:t>
                      </w:r>
                      <w:proofErr w:type="spellEnd"/>
                      <w:r w:rsidRPr="00EC25B7">
                        <w:rPr>
                          <w:sz w:val="20"/>
                          <w:szCs w:val="20"/>
                          <w:lang w:val="uk-UA"/>
                        </w:rPr>
                        <w:t xml:space="preserve"> </w:t>
                      </w:r>
                      <w:r w:rsidR="00225F2A">
                        <w:rPr>
                          <w:sz w:val="20"/>
                          <w:szCs w:val="20"/>
                          <w:lang w:val="uk-UA"/>
                        </w:rPr>
                        <w:t>Г</w:t>
                      </w:r>
                      <w:r w:rsidRPr="00EC25B7">
                        <w:rPr>
                          <w:sz w:val="20"/>
                          <w:szCs w:val="20"/>
                          <w:lang w:val="uk-UA"/>
                        </w:rPr>
                        <w:t>П за даними для оплати стаціонарної медичної допомоги в період з 2000 по 2013 роки.</w:t>
                      </w:r>
                    </w:p>
                  </w:txbxContent>
                </v:textbox>
              </v:shape>
            </w:pict>
          </mc:Fallback>
        </mc:AlternateContent>
      </w:r>
      <w:r w:rsidRPr="00BC641F">
        <w:rPr>
          <w:noProof/>
          <w:lang w:eastAsia="zh-CN"/>
        </w:rPr>
        <mc:AlternateContent>
          <mc:Choice Requires="wps">
            <w:drawing>
              <wp:anchor distT="0" distB="0" distL="114300" distR="114300" simplePos="0" relativeHeight="251642880" behindDoc="0" locked="0" layoutInCell="1" allowOverlap="1" wp14:anchorId="48A32BA1" wp14:editId="36CDA877">
                <wp:simplePos x="0" y="0"/>
                <wp:positionH relativeFrom="column">
                  <wp:posOffset>485317</wp:posOffset>
                </wp:positionH>
                <wp:positionV relativeFrom="paragraph">
                  <wp:posOffset>73762</wp:posOffset>
                </wp:positionV>
                <wp:extent cx="4469587" cy="541324"/>
                <wp:effectExtent l="0" t="0" r="26670" b="11430"/>
                <wp:wrapNone/>
                <wp:docPr id="297" name="Поле 297"/>
                <wp:cNvGraphicFramePr/>
                <a:graphic xmlns:a="http://schemas.openxmlformats.org/drawingml/2006/main">
                  <a:graphicData uri="http://schemas.microsoft.com/office/word/2010/wordprocessingShape">
                    <wps:wsp>
                      <wps:cNvSpPr txBox="1"/>
                      <wps:spPr>
                        <a:xfrm>
                          <a:off x="0" y="0"/>
                          <a:ext cx="4469587" cy="5413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5A72" w:rsidRPr="00EC25B7" w:rsidRDefault="003A5A72" w:rsidP="00EC25B7">
                            <w:pPr>
                              <w:jc w:val="center"/>
                              <w:rPr>
                                <w:sz w:val="20"/>
                                <w:szCs w:val="20"/>
                                <w:lang w:val="uk-UA"/>
                              </w:rPr>
                            </w:pPr>
                            <w:r w:rsidRPr="00EC25B7">
                              <w:rPr>
                                <w:sz w:val="20"/>
                                <w:szCs w:val="20"/>
                                <w:lang w:val="uk-UA"/>
                              </w:rPr>
                              <w:t>Когорта</w:t>
                            </w:r>
                            <w:r>
                              <w:rPr>
                                <w:sz w:val="20"/>
                                <w:szCs w:val="20"/>
                                <w:lang w:val="uk-UA"/>
                              </w:rPr>
                              <w:t>,</w:t>
                            </w:r>
                            <w:r w:rsidRPr="00EC25B7">
                              <w:rPr>
                                <w:sz w:val="20"/>
                                <w:szCs w:val="20"/>
                                <w:lang w:val="uk-UA"/>
                              </w:rPr>
                              <w:t xml:space="preserve"> випадковим чином відібраних пацієнтів з Національної програми медичного страхування</w:t>
                            </w:r>
                            <w:r>
                              <w:rPr>
                                <w:sz w:val="20"/>
                                <w:szCs w:val="20"/>
                                <w:lang w:val="uk-UA"/>
                              </w:rPr>
                              <w:t>,</w:t>
                            </w:r>
                          </w:p>
                          <w:p w:rsidR="003A5A72" w:rsidRPr="00EC25B7" w:rsidRDefault="003A5A72" w:rsidP="00EC25B7">
                            <w:pPr>
                              <w:jc w:val="center"/>
                              <w:rPr>
                                <w:sz w:val="20"/>
                                <w:szCs w:val="20"/>
                                <w:lang w:val="uk-UA"/>
                              </w:rPr>
                            </w:pPr>
                            <w:r w:rsidRPr="00EC25B7">
                              <w:rPr>
                                <w:sz w:val="20"/>
                                <w:szCs w:val="20"/>
                                <w:lang w:val="uk-UA"/>
                              </w:rPr>
                              <w:t>n = 1000000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A32BA1" id="Поле 297" o:spid="_x0000_s1032" type="#_x0000_t202" style="position:absolute;left:0;text-align:left;margin-left:38.2pt;margin-top:5.8pt;width:351.95pt;height:42.6p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" fillcolor="white [3201]" strokeweight=".5pt">
                <v:textbox>
                  <w:txbxContent>
                    <w:p w:rsidR="003A5A72" w:rsidRPr="00EC25B7" w:rsidRDefault="003A5A72" w:rsidP="00EC25B7">
                      <w:pPr>
                        <w:jc w:val="center"/>
                        <w:rPr>
                          <w:sz w:val="20"/>
                          <w:szCs w:val="20"/>
                          <w:lang w:val="uk-UA"/>
                        </w:rPr>
                      </w:pPr>
                      <w:r w:rsidRPr="00EC25B7">
                        <w:rPr>
                          <w:sz w:val="20"/>
                          <w:szCs w:val="20"/>
                          <w:lang w:val="uk-UA"/>
                        </w:rPr>
                        <w:t>Когорта</w:t>
                      </w:r>
                      <w:r>
                        <w:rPr>
                          <w:sz w:val="20"/>
                          <w:szCs w:val="20"/>
                          <w:lang w:val="uk-UA"/>
                        </w:rPr>
                        <w:t>,</w:t>
                      </w:r>
                      <w:r w:rsidRPr="00EC25B7">
                        <w:rPr>
                          <w:sz w:val="20"/>
                          <w:szCs w:val="20"/>
                          <w:lang w:val="uk-UA"/>
                        </w:rPr>
                        <w:t xml:space="preserve"> випадковим чином відібраних пацієнтів з Національної програми медичного страхування</w:t>
                      </w:r>
                      <w:r>
                        <w:rPr>
                          <w:sz w:val="20"/>
                          <w:szCs w:val="20"/>
                          <w:lang w:val="uk-UA"/>
                        </w:rPr>
                        <w:t>,</w:t>
                      </w:r>
                    </w:p>
                    <w:p w:rsidR="003A5A72" w:rsidRPr="00EC25B7" w:rsidRDefault="003A5A72" w:rsidP="00EC25B7">
                      <w:pPr>
                        <w:jc w:val="center"/>
                        <w:rPr>
                          <w:sz w:val="20"/>
                          <w:szCs w:val="20"/>
                          <w:lang w:val="uk-UA"/>
                        </w:rPr>
                      </w:pPr>
                      <w:r w:rsidRPr="00EC25B7">
                        <w:rPr>
                          <w:sz w:val="20"/>
                          <w:szCs w:val="20"/>
                          <w:lang w:val="uk-UA"/>
                        </w:rPr>
                        <w:t>n = 1000000</w:t>
                      </w:r>
                    </w:p>
                  </w:txbxContent>
                </v:textbox>
              </v:shape>
            </w:pict>
          </mc:Fallback>
        </mc:AlternateContent>
      </w:r>
    </w:p>
    <w:p w:rsidR="00357F2B" w:rsidRPr="007B5727" w:rsidRDefault="00357F2B" w:rsidP="005170AF">
      <w:pPr>
        <w:autoSpaceDE w:val="0"/>
        <w:autoSpaceDN w:val="0"/>
        <w:adjustRightInd w:val="0"/>
        <w:ind w:firstLine="709"/>
        <w:rPr>
          <w:lang w:val="uk-UA"/>
        </w:rPr>
      </w:pPr>
    </w:p>
    <w:p w:rsidR="00357F2B" w:rsidRPr="007B5727" w:rsidRDefault="00A10334" w:rsidP="005170AF">
      <w:pPr>
        <w:autoSpaceDE w:val="0"/>
        <w:autoSpaceDN w:val="0"/>
        <w:adjustRightInd w:val="0"/>
        <w:ind w:firstLine="709"/>
        <w:rPr>
          <w:lang w:val="uk-UA"/>
        </w:rPr>
      </w:pPr>
      <w:r w:rsidRPr="00BC641F">
        <w:rPr>
          <w:noProof/>
          <w:lang w:eastAsia="zh-CN"/>
        </w:rPr>
        <mc:AlternateContent>
          <mc:Choice Requires="wps">
            <w:drawing>
              <wp:anchor distT="0" distB="0" distL="114300" distR="114300" simplePos="0" relativeHeight="251655168" behindDoc="0" locked="0" layoutInCell="1" allowOverlap="1" wp14:anchorId="6D714FEE" wp14:editId="2F1440BE">
                <wp:simplePos x="0" y="0"/>
                <wp:positionH relativeFrom="column">
                  <wp:posOffset>488361</wp:posOffset>
                </wp:positionH>
                <wp:positionV relativeFrom="paragraph">
                  <wp:posOffset>2840618</wp:posOffset>
                </wp:positionV>
                <wp:extent cx="4411813" cy="400467"/>
                <wp:effectExtent l="0" t="0" r="27305" b="19050"/>
                <wp:wrapNone/>
                <wp:docPr id="291" name="Поле 291"/>
                <wp:cNvGraphicFramePr/>
                <a:graphic xmlns:a="http://schemas.openxmlformats.org/drawingml/2006/main">
                  <a:graphicData uri="http://schemas.microsoft.com/office/word/2010/wordprocessingShape">
                    <wps:wsp>
                      <wps:cNvSpPr txBox="1"/>
                      <wps:spPr>
                        <a:xfrm>
                          <a:off x="0" y="0"/>
                          <a:ext cx="4411813" cy="4004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5A72" w:rsidRPr="007B5727" w:rsidRDefault="003A5A72" w:rsidP="00357F2B">
                            <w:pPr>
                              <w:jc w:val="center"/>
                              <w:rPr>
                                <w:sz w:val="20"/>
                                <w:szCs w:val="20"/>
                              </w:rPr>
                            </w:pPr>
                            <w:r w:rsidRPr="007B5727">
                              <w:rPr>
                                <w:sz w:val="20"/>
                                <w:szCs w:val="20"/>
                              </w:rPr>
                              <w:t xml:space="preserve">3739 </w:t>
                            </w:r>
                            <w:proofErr w:type="spellStart"/>
                            <w:r w:rsidRPr="007B5727">
                              <w:rPr>
                                <w:sz w:val="20"/>
                                <w:szCs w:val="20"/>
                              </w:rPr>
                              <w:t>відповідних</w:t>
                            </w:r>
                            <w:proofErr w:type="spellEnd"/>
                            <w:r w:rsidRPr="007B5727">
                              <w:rPr>
                                <w:sz w:val="20"/>
                                <w:szCs w:val="20"/>
                              </w:rPr>
                              <w:t xml:space="preserve"> </w:t>
                            </w:r>
                            <w:proofErr w:type="spellStart"/>
                            <w:r w:rsidRPr="007B5727">
                              <w:rPr>
                                <w:sz w:val="20"/>
                                <w:szCs w:val="20"/>
                              </w:rPr>
                              <w:t>пацієнтів</w:t>
                            </w:r>
                            <w:proofErr w:type="spellEnd"/>
                            <w:r w:rsidRPr="007B5727">
                              <w:rPr>
                                <w:sz w:val="20"/>
                                <w:szCs w:val="20"/>
                              </w:rPr>
                              <w:t xml:space="preserve"> з </w:t>
                            </w:r>
                            <w:proofErr w:type="spellStart"/>
                            <w:r w:rsidRPr="007B5727">
                              <w:rPr>
                                <w:sz w:val="20"/>
                                <w:szCs w:val="20"/>
                              </w:rPr>
                              <w:t>діагностованим</w:t>
                            </w:r>
                            <w:proofErr w:type="spellEnd"/>
                            <w:r w:rsidRPr="007B5727">
                              <w:rPr>
                                <w:sz w:val="20"/>
                                <w:szCs w:val="20"/>
                              </w:rPr>
                              <w:t xml:space="preserve"> </w:t>
                            </w:r>
                            <w:r w:rsidR="00225F2A">
                              <w:rPr>
                                <w:sz w:val="20"/>
                                <w:szCs w:val="20"/>
                                <w:lang w:val="uk-UA"/>
                              </w:rPr>
                              <w:t>ГП</w:t>
                            </w:r>
                            <w:r w:rsidRPr="007B5727">
                              <w:rPr>
                                <w:sz w:val="20"/>
                                <w:szCs w:val="20"/>
                              </w:rPr>
                              <w:t xml:space="preserve"> в </w:t>
                            </w:r>
                            <w:proofErr w:type="spellStart"/>
                            <w:r w:rsidRPr="007B5727">
                              <w:rPr>
                                <w:sz w:val="20"/>
                                <w:szCs w:val="20"/>
                              </w:rPr>
                              <w:t>період</w:t>
                            </w:r>
                            <w:proofErr w:type="spellEnd"/>
                            <w:r w:rsidRPr="007B5727">
                              <w:rPr>
                                <w:sz w:val="20"/>
                                <w:szCs w:val="20"/>
                              </w:rPr>
                              <w:t xml:space="preserve"> з 2000 по 2013 роки.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14FEE" id="Поле 291" o:spid="_x0000_s1033" type="#_x0000_t202" style="position:absolute;left:0;text-align:left;margin-left:38.45pt;margin-top:223.65pt;width:347.4pt;height:3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" fillcolor="white [3201]" strokeweight=".5pt">
                <v:textbox>
                  <w:txbxContent>
                    <w:p w:rsidR="003A5A72" w:rsidRPr="007B5727" w:rsidRDefault="003A5A72" w:rsidP="00357F2B">
                      <w:pPr>
                        <w:jc w:val="center"/>
                        <w:rPr>
                          <w:sz w:val="20"/>
                          <w:szCs w:val="20"/>
                        </w:rPr>
                      </w:pPr>
                      <w:r w:rsidRPr="007B5727">
                        <w:rPr>
                          <w:sz w:val="20"/>
                          <w:szCs w:val="20"/>
                        </w:rPr>
                        <w:t xml:space="preserve">3739 </w:t>
                      </w:r>
                      <w:proofErr w:type="spellStart"/>
                      <w:r w:rsidRPr="007B5727">
                        <w:rPr>
                          <w:sz w:val="20"/>
                          <w:szCs w:val="20"/>
                        </w:rPr>
                        <w:t>відповідних</w:t>
                      </w:r>
                      <w:proofErr w:type="spellEnd"/>
                      <w:r w:rsidRPr="007B5727">
                        <w:rPr>
                          <w:sz w:val="20"/>
                          <w:szCs w:val="20"/>
                        </w:rPr>
                        <w:t xml:space="preserve"> </w:t>
                      </w:r>
                      <w:proofErr w:type="spellStart"/>
                      <w:r w:rsidRPr="007B5727">
                        <w:rPr>
                          <w:sz w:val="20"/>
                          <w:szCs w:val="20"/>
                        </w:rPr>
                        <w:t>пацієнтів</w:t>
                      </w:r>
                      <w:proofErr w:type="spellEnd"/>
                      <w:r w:rsidRPr="007B5727">
                        <w:rPr>
                          <w:sz w:val="20"/>
                          <w:szCs w:val="20"/>
                        </w:rPr>
                        <w:t xml:space="preserve"> з </w:t>
                      </w:r>
                      <w:proofErr w:type="spellStart"/>
                      <w:r w:rsidRPr="007B5727">
                        <w:rPr>
                          <w:sz w:val="20"/>
                          <w:szCs w:val="20"/>
                        </w:rPr>
                        <w:t>діагностованим</w:t>
                      </w:r>
                      <w:proofErr w:type="spellEnd"/>
                      <w:r w:rsidRPr="007B5727">
                        <w:rPr>
                          <w:sz w:val="20"/>
                          <w:szCs w:val="20"/>
                        </w:rPr>
                        <w:t xml:space="preserve"> </w:t>
                      </w:r>
                      <w:r w:rsidR="00225F2A">
                        <w:rPr>
                          <w:sz w:val="20"/>
                          <w:szCs w:val="20"/>
                          <w:lang w:val="uk-UA"/>
                        </w:rPr>
                        <w:t>ГП</w:t>
                      </w:r>
                      <w:r w:rsidRPr="007B5727">
                        <w:rPr>
                          <w:sz w:val="20"/>
                          <w:szCs w:val="20"/>
                        </w:rPr>
                        <w:t xml:space="preserve"> в </w:t>
                      </w:r>
                      <w:proofErr w:type="spellStart"/>
                      <w:r w:rsidRPr="007B5727">
                        <w:rPr>
                          <w:sz w:val="20"/>
                          <w:szCs w:val="20"/>
                        </w:rPr>
                        <w:t>період</w:t>
                      </w:r>
                      <w:proofErr w:type="spellEnd"/>
                      <w:r w:rsidRPr="007B5727">
                        <w:rPr>
                          <w:sz w:val="20"/>
                          <w:szCs w:val="20"/>
                        </w:rPr>
                        <w:t xml:space="preserve"> з 2000 по 2013 роки.</w:t>
                      </w:r>
                    </w:p>
                  </w:txbxContent>
                </v:textbox>
              </v:shape>
            </w:pict>
          </mc:Fallback>
        </mc:AlternateContent>
      </w:r>
      <w:r w:rsidR="00EC25B7" w:rsidRPr="00BC641F">
        <w:rPr>
          <w:noProof/>
          <w:lang w:eastAsia="zh-CN"/>
        </w:rPr>
        <mc:AlternateContent>
          <mc:Choice Requires="wps">
            <w:drawing>
              <wp:anchor distT="0" distB="0" distL="114300" distR="114300" simplePos="0" relativeHeight="251649024" behindDoc="0" locked="0" layoutInCell="1" allowOverlap="1" wp14:anchorId="37ADEBFF" wp14:editId="26435720">
                <wp:simplePos x="0" y="0"/>
                <wp:positionH relativeFrom="column">
                  <wp:posOffset>3038002</wp:posOffset>
                </wp:positionH>
                <wp:positionV relativeFrom="paragraph">
                  <wp:posOffset>1050276</wp:posOffset>
                </wp:positionV>
                <wp:extent cx="2522855" cy="1288169"/>
                <wp:effectExtent l="0" t="0" r="10795" b="26670"/>
                <wp:wrapNone/>
                <wp:docPr id="294" name="Поле 294"/>
                <wp:cNvGraphicFramePr/>
                <a:graphic xmlns:a="http://schemas.openxmlformats.org/drawingml/2006/main">
                  <a:graphicData uri="http://schemas.microsoft.com/office/word/2010/wordprocessingShape">
                    <wps:wsp>
                      <wps:cNvSpPr txBox="1"/>
                      <wps:spPr>
                        <a:xfrm>
                          <a:off x="0" y="0"/>
                          <a:ext cx="2522855" cy="12881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5A72" w:rsidRPr="00EC25B7" w:rsidRDefault="003A5A72" w:rsidP="00EC25B7">
                            <w:pPr>
                              <w:rPr>
                                <w:sz w:val="20"/>
                                <w:szCs w:val="20"/>
                                <w:lang w:val="uk-UA"/>
                              </w:rPr>
                            </w:pPr>
                            <w:r w:rsidRPr="00EC25B7">
                              <w:rPr>
                                <w:sz w:val="20"/>
                                <w:szCs w:val="20"/>
                                <w:lang w:val="uk-UA"/>
                              </w:rPr>
                              <w:t>Виключені пацієнти:</w:t>
                            </w:r>
                          </w:p>
                          <w:p w:rsidR="003A5A72" w:rsidRPr="00EC25B7" w:rsidRDefault="003A5A72" w:rsidP="00EC25B7">
                            <w:pPr>
                              <w:rPr>
                                <w:sz w:val="20"/>
                                <w:szCs w:val="20"/>
                                <w:lang w:val="uk-UA"/>
                              </w:rPr>
                            </w:pPr>
                            <w:r w:rsidRPr="00EC25B7">
                              <w:rPr>
                                <w:sz w:val="20"/>
                                <w:szCs w:val="20"/>
                                <w:lang w:val="uk-UA"/>
                              </w:rPr>
                              <w:t>64 у віці до 18 років або старше 100 років</w:t>
                            </w:r>
                          </w:p>
                          <w:p w:rsidR="003A5A72" w:rsidRPr="00EC25B7" w:rsidRDefault="003A5A72" w:rsidP="00EC25B7">
                            <w:pPr>
                              <w:rPr>
                                <w:sz w:val="20"/>
                                <w:szCs w:val="20"/>
                                <w:lang w:val="uk-UA"/>
                              </w:rPr>
                            </w:pPr>
                            <w:r w:rsidRPr="00EC25B7">
                              <w:rPr>
                                <w:sz w:val="20"/>
                                <w:szCs w:val="20"/>
                                <w:lang w:val="uk-UA"/>
                              </w:rPr>
                              <w:t>236 мали попередній ХП</w:t>
                            </w:r>
                          </w:p>
                          <w:p w:rsidR="003A5A72" w:rsidRPr="00EC25B7" w:rsidRDefault="003A5A72" w:rsidP="00EC25B7">
                            <w:pPr>
                              <w:rPr>
                                <w:sz w:val="20"/>
                                <w:szCs w:val="20"/>
                                <w:lang w:val="uk-UA"/>
                              </w:rPr>
                            </w:pPr>
                            <w:r w:rsidRPr="00EC25B7">
                              <w:rPr>
                                <w:sz w:val="20"/>
                                <w:szCs w:val="20"/>
                                <w:lang w:val="uk-UA"/>
                              </w:rPr>
                              <w:t xml:space="preserve">993 мали </w:t>
                            </w:r>
                            <w:proofErr w:type="spellStart"/>
                            <w:r w:rsidRPr="00EC25B7">
                              <w:rPr>
                                <w:sz w:val="20"/>
                                <w:szCs w:val="20"/>
                                <w:lang w:val="uk-UA"/>
                              </w:rPr>
                              <w:t>біліарний</w:t>
                            </w:r>
                            <w:proofErr w:type="spellEnd"/>
                            <w:r w:rsidRPr="00EC25B7">
                              <w:rPr>
                                <w:sz w:val="20"/>
                                <w:szCs w:val="20"/>
                                <w:lang w:val="uk-UA"/>
                              </w:rPr>
                              <w:t xml:space="preserve"> панкреатит</w:t>
                            </w:r>
                          </w:p>
                          <w:p w:rsidR="003A5A72" w:rsidRPr="00EC25B7" w:rsidRDefault="003A5A72" w:rsidP="00EC25B7">
                            <w:pPr>
                              <w:rPr>
                                <w:sz w:val="20"/>
                                <w:szCs w:val="20"/>
                                <w:lang w:val="uk-UA"/>
                              </w:rPr>
                            </w:pPr>
                            <w:r w:rsidRPr="00EC25B7">
                              <w:rPr>
                                <w:sz w:val="20"/>
                                <w:szCs w:val="20"/>
                                <w:lang w:val="uk-UA"/>
                              </w:rPr>
                              <w:t>47 мали рак П</w:t>
                            </w:r>
                            <w:r w:rsidR="00225F2A">
                              <w:rPr>
                                <w:sz w:val="20"/>
                                <w:szCs w:val="20"/>
                                <w:lang w:val="uk-UA"/>
                              </w:rPr>
                              <w:t>З</w:t>
                            </w:r>
                          </w:p>
                          <w:p w:rsidR="003A5A72" w:rsidRPr="00EC25B7" w:rsidRDefault="003A5A72" w:rsidP="00EC25B7">
                            <w:pPr>
                              <w:rPr>
                                <w:sz w:val="20"/>
                                <w:szCs w:val="20"/>
                                <w:lang w:val="uk-UA"/>
                              </w:rPr>
                            </w:pPr>
                            <w:r w:rsidRPr="00EC25B7">
                              <w:rPr>
                                <w:sz w:val="20"/>
                                <w:szCs w:val="20"/>
                                <w:lang w:val="uk-UA"/>
                              </w:rPr>
                              <w:t xml:space="preserve">3 мали </w:t>
                            </w:r>
                            <w:proofErr w:type="spellStart"/>
                            <w:r w:rsidRPr="00EC25B7">
                              <w:rPr>
                                <w:sz w:val="20"/>
                                <w:szCs w:val="20"/>
                                <w:lang w:val="uk-UA"/>
                              </w:rPr>
                              <w:t>pancreas</w:t>
                            </w:r>
                            <w:proofErr w:type="spellEnd"/>
                            <w:r w:rsidRPr="00EC25B7">
                              <w:rPr>
                                <w:sz w:val="20"/>
                                <w:szCs w:val="20"/>
                                <w:lang w:val="uk-UA"/>
                              </w:rPr>
                              <w:t xml:space="preserve"> </w:t>
                            </w:r>
                            <w:proofErr w:type="spellStart"/>
                            <w:r w:rsidRPr="00EC25B7">
                              <w:rPr>
                                <w:sz w:val="20"/>
                                <w:szCs w:val="20"/>
                                <w:lang w:val="uk-UA"/>
                              </w:rPr>
                              <w:t>divisum</w:t>
                            </w:r>
                            <w:proofErr w:type="spellEnd"/>
                          </w:p>
                          <w:p w:rsidR="003A5A72" w:rsidRPr="00EC25B7" w:rsidRDefault="00225F2A" w:rsidP="00EC25B7">
                            <w:pPr>
                              <w:rPr>
                                <w:sz w:val="20"/>
                                <w:szCs w:val="20"/>
                                <w:lang w:val="uk-UA"/>
                              </w:rPr>
                            </w:pPr>
                            <w:r>
                              <w:rPr>
                                <w:sz w:val="20"/>
                                <w:szCs w:val="20"/>
                                <w:lang w:val="uk-UA"/>
                              </w:rPr>
                              <w:t xml:space="preserve">у </w:t>
                            </w:r>
                            <w:r w:rsidR="003A5A72" w:rsidRPr="00EC25B7">
                              <w:rPr>
                                <w:sz w:val="20"/>
                                <w:szCs w:val="20"/>
                                <w:lang w:val="uk-UA"/>
                              </w:rPr>
                              <w:t xml:space="preserve">17 виявлена кіста </w:t>
                            </w:r>
                            <w:proofErr w:type="spellStart"/>
                            <w:r w:rsidR="003A5A72" w:rsidRPr="00EC25B7">
                              <w:rPr>
                                <w:sz w:val="20"/>
                                <w:szCs w:val="20"/>
                                <w:lang w:val="uk-UA"/>
                              </w:rPr>
                              <w:t>холедохола</w:t>
                            </w:r>
                            <w:proofErr w:type="spellEnd"/>
                          </w:p>
                          <w:p w:rsidR="003A5A72" w:rsidRPr="00EC25B7" w:rsidRDefault="003A5A72" w:rsidP="00EC25B7">
                            <w:pPr>
                              <w:rPr>
                                <w:sz w:val="20"/>
                                <w:szCs w:val="20"/>
                                <w:lang w:val="uk-UA"/>
                              </w:rPr>
                            </w:pPr>
                            <w:r w:rsidRPr="00EC25B7">
                              <w:rPr>
                                <w:sz w:val="20"/>
                                <w:szCs w:val="20"/>
                                <w:lang w:val="uk-UA"/>
                              </w:rPr>
                              <w:t>872 мали час спостереження менше 1 року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DEBFF" id="Поле 294" o:spid="_x0000_s1034" type="#_x0000_t202" style="position:absolute;left:0;text-align:left;margin-left:239.2pt;margin-top:82.7pt;width:198.65pt;height:101.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" fillcolor="white [3201]" strokeweight=".5pt">
                <v:textbox>
                  <w:txbxContent>
                    <w:p w:rsidR="003A5A72" w:rsidRPr="00EC25B7" w:rsidRDefault="003A5A72" w:rsidP="00EC25B7">
                      <w:pPr>
                        <w:rPr>
                          <w:sz w:val="20"/>
                          <w:szCs w:val="20"/>
                          <w:lang w:val="uk-UA"/>
                        </w:rPr>
                      </w:pPr>
                      <w:r w:rsidRPr="00EC25B7">
                        <w:rPr>
                          <w:sz w:val="20"/>
                          <w:szCs w:val="20"/>
                          <w:lang w:val="uk-UA"/>
                        </w:rPr>
                        <w:t>Виключені пацієнти:</w:t>
                      </w:r>
                    </w:p>
                    <w:p w:rsidR="003A5A72" w:rsidRPr="00EC25B7" w:rsidRDefault="003A5A72" w:rsidP="00EC25B7">
                      <w:pPr>
                        <w:rPr>
                          <w:sz w:val="20"/>
                          <w:szCs w:val="20"/>
                          <w:lang w:val="uk-UA"/>
                        </w:rPr>
                      </w:pPr>
                      <w:r w:rsidRPr="00EC25B7">
                        <w:rPr>
                          <w:sz w:val="20"/>
                          <w:szCs w:val="20"/>
                          <w:lang w:val="uk-UA"/>
                        </w:rPr>
                        <w:t>64 у віці до 18 років або старше 100 років</w:t>
                      </w:r>
                    </w:p>
                    <w:p w:rsidR="003A5A72" w:rsidRPr="00EC25B7" w:rsidRDefault="003A5A72" w:rsidP="00EC25B7">
                      <w:pPr>
                        <w:rPr>
                          <w:sz w:val="20"/>
                          <w:szCs w:val="20"/>
                          <w:lang w:val="uk-UA"/>
                        </w:rPr>
                      </w:pPr>
                      <w:r w:rsidRPr="00EC25B7">
                        <w:rPr>
                          <w:sz w:val="20"/>
                          <w:szCs w:val="20"/>
                          <w:lang w:val="uk-UA"/>
                        </w:rPr>
                        <w:t>236 мали попередній ХП</w:t>
                      </w:r>
                    </w:p>
                    <w:p w:rsidR="003A5A72" w:rsidRPr="00EC25B7" w:rsidRDefault="003A5A72" w:rsidP="00EC25B7">
                      <w:pPr>
                        <w:rPr>
                          <w:sz w:val="20"/>
                          <w:szCs w:val="20"/>
                          <w:lang w:val="uk-UA"/>
                        </w:rPr>
                      </w:pPr>
                      <w:r w:rsidRPr="00EC25B7">
                        <w:rPr>
                          <w:sz w:val="20"/>
                          <w:szCs w:val="20"/>
                          <w:lang w:val="uk-UA"/>
                        </w:rPr>
                        <w:t xml:space="preserve">993 мали </w:t>
                      </w:r>
                      <w:proofErr w:type="spellStart"/>
                      <w:r w:rsidRPr="00EC25B7">
                        <w:rPr>
                          <w:sz w:val="20"/>
                          <w:szCs w:val="20"/>
                          <w:lang w:val="uk-UA"/>
                        </w:rPr>
                        <w:t>біліарний</w:t>
                      </w:r>
                      <w:proofErr w:type="spellEnd"/>
                      <w:r w:rsidRPr="00EC25B7">
                        <w:rPr>
                          <w:sz w:val="20"/>
                          <w:szCs w:val="20"/>
                          <w:lang w:val="uk-UA"/>
                        </w:rPr>
                        <w:t xml:space="preserve"> панкреатит</w:t>
                      </w:r>
                    </w:p>
                    <w:p w:rsidR="003A5A72" w:rsidRPr="00EC25B7" w:rsidRDefault="003A5A72" w:rsidP="00EC25B7">
                      <w:pPr>
                        <w:rPr>
                          <w:sz w:val="20"/>
                          <w:szCs w:val="20"/>
                          <w:lang w:val="uk-UA"/>
                        </w:rPr>
                      </w:pPr>
                      <w:r w:rsidRPr="00EC25B7">
                        <w:rPr>
                          <w:sz w:val="20"/>
                          <w:szCs w:val="20"/>
                          <w:lang w:val="uk-UA"/>
                        </w:rPr>
                        <w:t>47 мали рак П</w:t>
                      </w:r>
                      <w:r w:rsidR="00225F2A">
                        <w:rPr>
                          <w:sz w:val="20"/>
                          <w:szCs w:val="20"/>
                          <w:lang w:val="uk-UA"/>
                        </w:rPr>
                        <w:t>З</w:t>
                      </w:r>
                    </w:p>
                    <w:p w:rsidR="003A5A72" w:rsidRPr="00EC25B7" w:rsidRDefault="003A5A72" w:rsidP="00EC25B7">
                      <w:pPr>
                        <w:rPr>
                          <w:sz w:val="20"/>
                          <w:szCs w:val="20"/>
                          <w:lang w:val="uk-UA"/>
                        </w:rPr>
                      </w:pPr>
                      <w:r w:rsidRPr="00EC25B7">
                        <w:rPr>
                          <w:sz w:val="20"/>
                          <w:szCs w:val="20"/>
                          <w:lang w:val="uk-UA"/>
                        </w:rPr>
                        <w:t xml:space="preserve">3 мали </w:t>
                      </w:r>
                      <w:proofErr w:type="spellStart"/>
                      <w:r w:rsidRPr="00EC25B7">
                        <w:rPr>
                          <w:sz w:val="20"/>
                          <w:szCs w:val="20"/>
                          <w:lang w:val="uk-UA"/>
                        </w:rPr>
                        <w:t>pancreas</w:t>
                      </w:r>
                      <w:proofErr w:type="spellEnd"/>
                      <w:r w:rsidRPr="00EC25B7">
                        <w:rPr>
                          <w:sz w:val="20"/>
                          <w:szCs w:val="20"/>
                          <w:lang w:val="uk-UA"/>
                        </w:rPr>
                        <w:t xml:space="preserve"> </w:t>
                      </w:r>
                      <w:proofErr w:type="spellStart"/>
                      <w:r w:rsidRPr="00EC25B7">
                        <w:rPr>
                          <w:sz w:val="20"/>
                          <w:szCs w:val="20"/>
                          <w:lang w:val="uk-UA"/>
                        </w:rPr>
                        <w:t>divisum</w:t>
                      </w:r>
                      <w:proofErr w:type="spellEnd"/>
                    </w:p>
                    <w:p w:rsidR="003A5A72" w:rsidRPr="00EC25B7" w:rsidRDefault="00225F2A" w:rsidP="00EC25B7">
                      <w:pPr>
                        <w:rPr>
                          <w:sz w:val="20"/>
                          <w:szCs w:val="20"/>
                          <w:lang w:val="uk-UA"/>
                        </w:rPr>
                      </w:pPr>
                      <w:r>
                        <w:rPr>
                          <w:sz w:val="20"/>
                          <w:szCs w:val="20"/>
                          <w:lang w:val="uk-UA"/>
                        </w:rPr>
                        <w:t xml:space="preserve">у </w:t>
                      </w:r>
                      <w:r w:rsidR="003A5A72" w:rsidRPr="00EC25B7">
                        <w:rPr>
                          <w:sz w:val="20"/>
                          <w:szCs w:val="20"/>
                          <w:lang w:val="uk-UA"/>
                        </w:rPr>
                        <w:t xml:space="preserve">17 виявлена кіста </w:t>
                      </w:r>
                      <w:proofErr w:type="spellStart"/>
                      <w:r w:rsidR="003A5A72" w:rsidRPr="00EC25B7">
                        <w:rPr>
                          <w:sz w:val="20"/>
                          <w:szCs w:val="20"/>
                          <w:lang w:val="uk-UA"/>
                        </w:rPr>
                        <w:t>холедохола</w:t>
                      </w:r>
                      <w:proofErr w:type="spellEnd"/>
                    </w:p>
                    <w:p w:rsidR="003A5A72" w:rsidRPr="00EC25B7" w:rsidRDefault="003A5A72" w:rsidP="00EC25B7">
                      <w:pPr>
                        <w:rPr>
                          <w:sz w:val="20"/>
                          <w:szCs w:val="20"/>
                          <w:lang w:val="uk-UA"/>
                        </w:rPr>
                      </w:pPr>
                      <w:r w:rsidRPr="00EC25B7">
                        <w:rPr>
                          <w:sz w:val="20"/>
                          <w:szCs w:val="20"/>
                          <w:lang w:val="uk-UA"/>
                        </w:rPr>
                        <w:t>872 мали час спостереження менше 1 року</w:t>
                      </w:r>
                    </w:p>
                  </w:txbxContent>
                </v:textbox>
              </v:shape>
            </w:pict>
          </mc:Fallback>
        </mc:AlternateContent>
      </w:r>
      <w:r w:rsidR="00357F2B" w:rsidRPr="007B5727">
        <w:rPr>
          <w:lang w:val="uk-UA"/>
        </w:rPr>
        <w:br w:type="page"/>
      </w:r>
    </w:p>
    <w:p w:rsidR="006854A7" w:rsidRPr="007B5727" w:rsidRDefault="006854A7" w:rsidP="005170AF">
      <w:pPr>
        <w:autoSpaceDE w:val="0"/>
        <w:autoSpaceDN w:val="0"/>
        <w:adjustRightInd w:val="0"/>
        <w:ind w:firstLine="709"/>
        <w:rPr>
          <w:lang w:val="uk-UA"/>
        </w:rPr>
      </w:pPr>
    </w:p>
    <w:tbl>
      <w:tblPr>
        <w:tblW w:w="9652" w:type="dxa"/>
        <w:tblLayout w:type="fixed"/>
        <w:tblCellMar>
          <w:left w:w="10" w:type="dxa"/>
          <w:right w:w="10" w:type="dxa"/>
        </w:tblCellMar>
        <w:tblLook w:val="0000" w:firstRow="0" w:lastRow="0" w:firstColumn="0" w:lastColumn="0" w:noHBand="0" w:noVBand="0"/>
      </w:tblPr>
      <w:tblGrid>
        <w:gridCol w:w="2977"/>
        <w:gridCol w:w="1276"/>
        <w:gridCol w:w="1984"/>
        <w:gridCol w:w="1985"/>
        <w:gridCol w:w="1430"/>
      </w:tblGrid>
      <w:tr w:rsidR="006854A7" w:rsidRPr="00BC641F" w:rsidTr="006854A7">
        <w:trPr>
          <w:trHeight w:hRule="exact" w:val="288"/>
        </w:trPr>
        <w:tc>
          <w:tcPr>
            <w:tcW w:w="9652" w:type="dxa"/>
            <w:gridSpan w:val="5"/>
            <w:tcBorders>
              <w:top w:val="single" w:sz="4" w:space="0" w:color="auto"/>
            </w:tcBorders>
            <w:shd w:val="clear" w:color="auto" w:fill="FFFFFF"/>
          </w:tcPr>
          <w:p w:rsidR="006854A7" w:rsidRPr="00EC25B7" w:rsidRDefault="00E20903" w:rsidP="005170AF">
            <w:pPr>
              <w:ind w:firstLine="709"/>
              <w:rPr>
                <w:rStyle w:val="7pt0pt"/>
                <w:rFonts w:ascii="Times New Roman" w:hAnsi="Times New Roman" w:cs="Times New Roman"/>
                <w:b/>
                <w:i w:val="0"/>
                <w:color w:val="auto"/>
                <w:sz w:val="20"/>
                <w:szCs w:val="20"/>
                <w:lang w:val="ru-RU"/>
              </w:rPr>
            </w:pPr>
            <w:r w:rsidRPr="00EC25B7">
              <w:rPr>
                <w:rStyle w:val="7pt0pt"/>
                <w:rFonts w:ascii="Times New Roman" w:hAnsi="Times New Roman" w:cs="Times New Roman"/>
                <w:b/>
                <w:i w:val="0"/>
                <w:color w:val="auto"/>
                <w:sz w:val="20"/>
                <w:szCs w:val="20"/>
                <w:lang w:val="ru-RU"/>
              </w:rPr>
              <w:t>Таблиц</w:t>
            </w:r>
            <w:r w:rsidR="00EC25B7">
              <w:rPr>
                <w:rStyle w:val="7pt0pt"/>
                <w:rFonts w:ascii="Times New Roman" w:hAnsi="Times New Roman" w:cs="Times New Roman"/>
                <w:b/>
                <w:i w:val="0"/>
                <w:color w:val="auto"/>
                <w:sz w:val="20"/>
                <w:szCs w:val="20"/>
                <w:lang w:val="uk-UA"/>
              </w:rPr>
              <w:t>я</w:t>
            </w:r>
            <w:r w:rsidRPr="00EC25B7">
              <w:rPr>
                <w:rStyle w:val="7pt0pt"/>
                <w:rFonts w:ascii="Times New Roman" w:hAnsi="Times New Roman" w:cs="Times New Roman"/>
                <w:b/>
                <w:i w:val="0"/>
                <w:color w:val="auto"/>
                <w:sz w:val="20"/>
                <w:szCs w:val="20"/>
                <w:lang w:val="ru-RU"/>
              </w:rPr>
              <w:t xml:space="preserve"> 1. Д</w:t>
            </w:r>
            <w:r w:rsidR="006854A7" w:rsidRPr="00EC25B7">
              <w:rPr>
                <w:rStyle w:val="7pt0pt"/>
                <w:rFonts w:ascii="Times New Roman" w:hAnsi="Times New Roman" w:cs="Times New Roman"/>
                <w:b/>
                <w:i w:val="0"/>
                <w:color w:val="auto"/>
                <w:sz w:val="20"/>
                <w:szCs w:val="20"/>
                <w:lang w:val="ru-RU"/>
              </w:rPr>
              <w:t>емограф</w:t>
            </w:r>
            <w:proofErr w:type="spellStart"/>
            <w:r w:rsidR="00EC25B7">
              <w:rPr>
                <w:rStyle w:val="7pt0pt"/>
                <w:rFonts w:ascii="Times New Roman" w:hAnsi="Times New Roman" w:cs="Times New Roman"/>
                <w:b/>
                <w:i w:val="0"/>
                <w:color w:val="auto"/>
                <w:sz w:val="20"/>
                <w:szCs w:val="20"/>
                <w:lang w:val="uk-UA"/>
              </w:rPr>
              <w:t>ічні</w:t>
            </w:r>
            <w:proofErr w:type="spellEnd"/>
            <w:r w:rsidR="006854A7" w:rsidRPr="00EC25B7">
              <w:rPr>
                <w:rStyle w:val="7pt0pt"/>
                <w:rFonts w:ascii="Times New Roman" w:hAnsi="Times New Roman" w:cs="Times New Roman"/>
                <w:b/>
                <w:i w:val="0"/>
                <w:color w:val="auto"/>
                <w:sz w:val="20"/>
                <w:szCs w:val="20"/>
                <w:lang w:val="ru-RU"/>
              </w:rPr>
              <w:t xml:space="preserve"> характеристики 3739 </w:t>
            </w:r>
            <w:proofErr w:type="spellStart"/>
            <w:r w:rsidR="006854A7" w:rsidRPr="00EC25B7">
              <w:rPr>
                <w:rStyle w:val="7pt0pt"/>
                <w:rFonts w:ascii="Times New Roman" w:hAnsi="Times New Roman" w:cs="Times New Roman"/>
                <w:b/>
                <w:i w:val="0"/>
                <w:color w:val="auto"/>
                <w:sz w:val="20"/>
                <w:szCs w:val="20"/>
                <w:lang w:val="ru-RU"/>
              </w:rPr>
              <w:t>пац</w:t>
            </w:r>
            <w:r w:rsidR="00EC25B7">
              <w:rPr>
                <w:rStyle w:val="7pt0pt"/>
                <w:rFonts w:ascii="Times New Roman" w:hAnsi="Times New Roman" w:cs="Times New Roman"/>
                <w:b/>
                <w:i w:val="0"/>
                <w:color w:val="auto"/>
                <w:sz w:val="20"/>
                <w:szCs w:val="20"/>
                <w:lang w:val="uk-UA"/>
              </w:rPr>
              <w:t>ієнті</w:t>
            </w:r>
            <w:proofErr w:type="spellEnd"/>
            <w:r w:rsidR="006854A7" w:rsidRPr="00EC25B7">
              <w:rPr>
                <w:rStyle w:val="7pt0pt"/>
                <w:rFonts w:ascii="Times New Roman" w:hAnsi="Times New Roman" w:cs="Times New Roman"/>
                <w:b/>
                <w:i w:val="0"/>
                <w:color w:val="auto"/>
                <w:sz w:val="20"/>
                <w:szCs w:val="20"/>
                <w:lang w:val="ru-RU"/>
              </w:rPr>
              <w:t>в n (%)</w:t>
            </w:r>
          </w:p>
        </w:tc>
      </w:tr>
      <w:tr w:rsidR="006854A7" w:rsidRPr="00BC641F" w:rsidTr="000A5F1C">
        <w:trPr>
          <w:trHeight w:hRule="exact" w:val="288"/>
        </w:trPr>
        <w:tc>
          <w:tcPr>
            <w:tcW w:w="2977" w:type="dxa"/>
            <w:tcBorders>
              <w:top w:val="single" w:sz="4" w:space="0" w:color="auto"/>
            </w:tcBorders>
            <w:shd w:val="clear" w:color="auto" w:fill="FFFFFF"/>
          </w:tcPr>
          <w:p w:rsidR="006854A7" w:rsidRPr="00EC25B7" w:rsidRDefault="006854A7" w:rsidP="005170AF">
            <w:pPr>
              <w:ind w:firstLine="709"/>
              <w:rPr>
                <w:sz w:val="20"/>
                <w:szCs w:val="20"/>
              </w:rPr>
            </w:pPr>
          </w:p>
        </w:tc>
        <w:tc>
          <w:tcPr>
            <w:tcW w:w="1276" w:type="dxa"/>
            <w:tcBorders>
              <w:top w:val="single" w:sz="4" w:space="0" w:color="auto"/>
            </w:tcBorders>
            <w:shd w:val="clear" w:color="auto" w:fill="FFFFFF"/>
          </w:tcPr>
          <w:p w:rsidR="006854A7" w:rsidRPr="00EC25B7" w:rsidRDefault="006854A7" w:rsidP="009F62A8">
            <w:pPr>
              <w:rPr>
                <w:sz w:val="20"/>
                <w:szCs w:val="20"/>
              </w:rPr>
            </w:pPr>
            <w:proofErr w:type="spellStart"/>
            <w:r w:rsidRPr="00EC25B7">
              <w:rPr>
                <w:rStyle w:val="TrebuchetMS6pt0pt"/>
                <w:rFonts w:ascii="Times New Roman" w:hAnsi="Times New Roman" w:cs="Times New Roman"/>
                <w:color w:val="auto"/>
                <w:sz w:val="20"/>
                <w:szCs w:val="20"/>
                <w:lang w:val="ru-RU"/>
              </w:rPr>
              <w:t>Вс</w:t>
            </w:r>
            <w:r w:rsidR="009F62A8">
              <w:rPr>
                <w:rStyle w:val="TrebuchetMS6pt0pt"/>
                <w:rFonts w:ascii="Times New Roman" w:hAnsi="Times New Roman" w:cs="Times New Roman"/>
                <w:color w:val="auto"/>
                <w:sz w:val="20"/>
                <w:szCs w:val="20"/>
                <w:lang w:val="uk-UA"/>
              </w:rPr>
              <w:t>ьо</w:t>
            </w:r>
            <w:r w:rsidRPr="00EC25B7">
              <w:rPr>
                <w:rStyle w:val="TrebuchetMS6pt0pt"/>
                <w:rFonts w:ascii="Times New Roman" w:hAnsi="Times New Roman" w:cs="Times New Roman"/>
                <w:color w:val="auto"/>
                <w:sz w:val="20"/>
                <w:szCs w:val="20"/>
                <w:lang w:val="ru-RU"/>
              </w:rPr>
              <w:t>го</w:t>
            </w:r>
            <w:proofErr w:type="spellEnd"/>
          </w:p>
        </w:tc>
        <w:tc>
          <w:tcPr>
            <w:tcW w:w="1984" w:type="dxa"/>
            <w:tcBorders>
              <w:top w:val="single" w:sz="4" w:space="0" w:color="auto"/>
            </w:tcBorders>
            <w:shd w:val="clear" w:color="auto" w:fill="FFFFFF"/>
          </w:tcPr>
          <w:p w:rsidR="006854A7" w:rsidRPr="00EC25B7" w:rsidRDefault="006854A7" w:rsidP="009F62A8">
            <w:pPr>
              <w:rPr>
                <w:sz w:val="20"/>
                <w:szCs w:val="20"/>
              </w:rPr>
            </w:pPr>
            <w:proofErr w:type="spellStart"/>
            <w:r w:rsidRPr="00EC25B7">
              <w:rPr>
                <w:sz w:val="20"/>
                <w:szCs w:val="20"/>
              </w:rPr>
              <w:t>Деривац</w:t>
            </w:r>
            <w:r w:rsidR="009F62A8">
              <w:rPr>
                <w:sz w:val="20"/>
                <w:szCs w:val="20"/>
                <w:lang w:val="uk-UA"/>
              </w:rPr>
              <w:t>ійна</w:t>
            </w:r>
            <w:proofErr w:type="spellEnd"/>
            <w:r w:rsidR="009F62A8">
              <w:rPr>
                <w:sz w:val="20"/>
                <w:szCs w:val="20"/>
                <w:lang w:val="uk-UA"/>
              </w:rPr>
              <w:t xml:space="preserve"> </w:t>
            </w:r>
            <w:r w:rsidRPr="00EC25B7">
              <w:rPr>
                <w:sz w:val="20"/>
                <w:szCs w:val="20"/>
              </w:rPr>
              <w:t>когорта</w:t>
            </w:r>
          </w:p>
        </w:tc>
        <w:tc>
          <w:tcPr>
            <w:tcW w:w="1985" w:type="dxa"/>
            <w:tcBorders>
              <w:top w:val="single" w:sz="4" w:space="0" w:color="auto"/>
            </w:tcBorders>
            <w:shd w:val="clear" w:color="auto" w:fill="FFFFFF"/>
          </w:tcPr>
          <w:p w:rsidR="006854A7" w:rsidRPr="00EC25B7" w:rsidRDefault="00535331" w:rsidP="009F62A8">
            <w:pPr>
              <w:rPr>
                <w:sz w:val="20"/>
                <w:szCs w:val="20"/>
              </w:rPr>
            </w:pPr>
            <w:r w:rsidRPr="00EC25B7">
              <w:rPr>
                <w:sz w:val="20"/>
                <w:szCs w:val="20"/>
              </w:rPr>
              <w:t>Вал</w:t>
            </w:r>
            <w:proofErr w:type="spellStart"/>
            <w:r w:rsidR="009F62A8">
              <w:rPr>
                <w:sz w:val="20"/>
                <w:szCs w:val="20"/>
                <w:lang w:val="uk-UA"/>
              </w:rPr>
              <w:t>ідаційна</w:t>
            </w:r>
            <w:proofErr w:type="spellEnd"/>
            <w:r w:rsidRPr="00EC25B7">
              <w:rPr>
                <w:sz w:val="20"/>
                <w:szCs w:val="20"/>
              </w:rPr>
              <w:t xml:space="preserve"> когорта</w:t>
            </w:r>
          </w:p>
        </w:tc>
        <w:tc>
          <w:tcPr>
            <w:tcW w:w="1430" w:type="dxa"/>
            <w:tcBorders>
              <w:top w:val="single" w:sz="4" w:space="0" w:color="auto"/>
            </w:tcBorders>
            <w:shd w:val="clear" w:color="auto" w:fill="FFFFFF"/>
          </w:tcPr>
          <w:p w:rsidR="006854A7" w:rsidRPr="00EC25B7" w:rsidRDefault="00E20903" w:rsidP="009F62A8">
            <w:pPr>
              <w:rPr>
                <w:sz w:val="20"/>
                <w:szCs w:val="20"/>
              </w:rPr>
            </w:pPr>
            <w:proofErr w:type="spellStart"/>
            <w:r w:rsidRPr="00EC25B7">
              <w:rPr>
                <w:rStyle w:val="7pt0pt"/>
                <w:rFonts w:ascii="Times New Roman" w:hAnsi="Times New Roman" w:cs="Times New Roman"/>
                <w:i w:val="0"/>
                <w:color w:val="auto"/>
                <w:sz w:val="20"/>
                <w:szCs w:val="20"/>
                <w:lang w:val="ru-RU"/>
              </w:rPr>
              <w:t>Значен</w:t>
            </w:r>
            <w:proofErr w:type="spellEnd"/>
            <w:r w:rsidR="00225F2A">
              <w:rPr>
                <w:rStyle w:val="7pt0pt"/>
                <w:rFonts w:ascii="Times New Roman" w:hAnsi="Times New Roman" w:cs="Times New Roman"/>
                <w:i w:val="0"/>
                <w:color w:val="auto"/>
                <w:sz w:val="20"/>
                <w:szCs w:val="20"/>
                <w:lang w:val="uk-UA"/>
              </w:rPr>
              <w:t>ня</w:t>
            </w:r>
            <w:r w:rsidRPr="00EC25B7">
              <w:rPr>
                <w:rStyle w:val="7pt0pt"/>
                <w:rFonts w:ascii="Times New Roman" w:hAnsi="Times New Roman" w:cs="Times New Roman"/>
                <w:color w:val="auto"/>
                <w:sz w:val="20"/>
                <w:szCs w:val="20"/>
                <w:lang w:val="ru-RU"/>
              </w:rPr>
              <w:t xml:space="preserve"> </w:t>
            </w:r>
            <w:r w:rsidR="006854A7" w:rsidRPr="00225F2A">
              <w:rPr>
                <w:rStyle w:val="7pt0pt"/>
                <w:rFonts w:ascii="Times New Roman" w:hAnsi="Times New Roman" w:cs="Times New Roman"/>
                <w:i w:val="0"/>
                <w:color w:val="auto"/>
                <w:sz w:val="20"/>
                <w:szCs w:val="20"/>
                <w:lang w:val="ru-RU"/>
              </w:rPr>
              <w:t>P</w:t>
            </w:r>
            <w:r w:rsidR="006854A7" w:rsidRPr="00EC25B7">
              <w:rPr>
                <w:rStyle w:val="TimesNewRoman7pt0pt"/>
                <w:rFonts w:eastAsia="Verdana"/>
                <w:color w:val="auto"/>
                <w:sz w:val="20"/>
                <w:szCs w:val="20"/>
                <w:lang w:val="ru-RU"/>
              </w:rPr>
              <w:t xml:space="preserve"> </w:t>
            </w:r>
          </w:p>
        </w:tc>
      </w:tr>
      <w:tr w:rsidR="006854A7" w:rsidRPr="00BC641F" w:rsidTr="000A5F1C">
        <w:trPr>
          <w:trHeight w:hRule="exact" w:val="245"/>
        </w:trPr>
        <w:tc>
          <w:tcPr>
            <w:tcW w:w="2977" w:type="dxa"/>
            <w:tcBorders>
              <w:top w:val="single" w:sz="4" w:space="0" w:color="auto"/>
            </w:tcBorders>
            <w:shd w:val="clear" w:color="auto" w:fill="FFFFFF"/>
          </w:tcPr>
          <w:p w:rsidR="00035A95" w:rsidRPr="00035A95" w:rsidRDefault="00035A95" w:rsidP="00035A95">
            <w:pPr>
              <w:autoSpaceDE w:val="0"/>
              <w:autoSpaceDN w:val="0"/>
              <w:adjustRightInd w:val="0"/>
              <w:rPr>
                <w:sz w:val="20"/>
                <w:szCs w:val="20"/>
                <w:lang w:val="uk-UA"/>
              </w:rPr>
            </w:pPr>
            <w:r w:rsidRPr="00035A95">
              <w:rPr>
                <w:sz w:val="20"/>
                <w:szCs w:val="20"/>
                <w:lang w:val="uk-UA"/>
              </w:rPr>
              <w:t>Розмір вибірки</w:t>
            </w:r>
          </w:p>
          <w:p w:rsidR="006854A7" w:rsidRPr="00EC25B7" w:rsidRDefault="006854A7" w:rsidP="00EC25B7">
            <w:pPr>
              <w:rPr>
                <w:sz w:val="20"/>
                <w:szCs w:val="20"/>
                <w:lang w:val="uk-UA"/>
              </w:rPr>
            </w:pPr>
          </w:p>
        </w:tc>
        <w:tc>
          <w:tcPr>
            <w:tcW w:w="1276" w:type="dxa"/>
            <w:tcBorders>
              <w:top w:val="single" w:sz="4" w:space="0" w:color="auto"/>
            </w:tcBorders>
            <w:shd w:val="clear" w:color="auto" w:fill="FFFFFF"/>
          </w:tcPr>
          <w:p w:rsidR="006854A7" w:rsidRPr="00EC25B7" w:rsidRDefault="006854A7" w:rsidP="009F62A8">
            <w:pPr>
              <w:rPr>
                <w:sz w:val="20"/>
                <w:szCs w:val="20"/>
              </w:rPr>
            </w:pPr>
            <w:r w:rsidRPr="00EC25B7">
              <w:rPr>
                <w:rStyle w:val="TimesNewRoman7pt0pt"/>
                <w:rFonts w:eastAsia="Verdana"/>
                <w:color w:val="auto"/>
                <w:sz w:val="20"/>
                <w:szCs w:val="20"/>
                <w:lang w:val="ru-RU"/>
              </w:rPr>
              <w:t>3739</w:t>
            </w:r>
          </w:p>
        </w:tc>
        <w:tc>
          <w:tcPr>
            <w:tcW w:w="1984" w:type="dxa"/>
            <w:tcBorders>
              <w:top w:val="single" w:sz="4" w:space="0" w:color="auto"/>
            </w:tcBorders>
            <w:shd w:val="clear" w:color="auto" w:fill="FFFFFF"/>
          </w:tcPr>
          <w:p w:rsidR="006854A7" w:rsidRPr="00EC25B7" w:rsidRDefault="006854A7" w:rsidP="009F62A8">
            <w:pPr>
              <w:rPr>
                <w:sz w:val="20"/>
                <w:szCs w:val="20"/>
              </w:rPr>
            </w:pPr>
            <w:r w:rsidRPr="00EC25B7">
              <w:rPr>
                <w:rStyle w:val="TimesNewRoman7pt0pt"/>
                <w:rFonts w:eastAsia="Verdana"/>
                <w:color w:val="auto"/>
                <w:sz w:val="20"/>
                <w:szCs w:val="20"/>
                <w:lang w:val="ru-RU"/>
              </w:rPr>
              <w:t>2493</w:t>
            </w:r>
          </w:p>
        </w:tc>
        <w:tc>
          <w:tcPr>
            <w:tcW w:w="1985" w:type="dxa"/>
            <w:tcBorders>
              <w:top w:val="single" w:sz="4" w:space="0" w:color="auto"/>
            </w:tcBorders>
            <w:shd w:val="clear" w:color="auto" w:fill="FFFFFF"/>
          </w:tcPr>
          <w:p w:rsidR="006854A7" w:rsidRPr="00EC25B7" w:rsidRDefault="006854A7" w:rsidP="009F62A8">
            <w:pPr>
              <w:rPr>
                <w:sz w:val="20"/>
                <w:szCs w:val="20"/>
              </w:rPr>
            </w:pPr>
            <w:r w:rsidRPr="00EC25B7">
              <w:rPr>
                <w:rStyle w:val="TimesNewRoman7pt0pt"/>
                <w:rFonts w:eastAsia="Verdana"/>
                <w:color w:val="auto"/>
                <w:sz w:val="20"/>
                <w:szCs w:val="20"/>
                <w:lang w:val="ru-RU"/>
              </w:rPr>
              <w:t>1246</w:t>
            </w:r>
          </w:p>
        </w:tc>
        <w:tc>
          <w:tcPr>
            <w:tcW w:w="1430" w:type="dxa"/>
            <w:tcBorders>
              <w:top w:val="single" w:sz="4" w:space="0" w:color="auto"/>
            </w:tcBorders>
            <w:shd w:val="clear" w:color="auto" w:fill="FFFFFF"/>
          </w:tcPr>
          <w:p w:rsidR="006854A7" w:rsidRPr="00EC25B7" w:rsidRDefault="006854A7" w:rsidP="009F62A8">
            <w:pPr>
              <w:rPr>
                <w:sz w:val="20"/>
                <w:szCs w:val="20"/>
              </w:rPr>
            </w:pPr>
          </w:p>
        </w:tc>
      </w:tr>
      <w:tr w:rsidR="00535331" w:rsidRPr="00BC641F" w:rsidTr="00297C61">
        <w:trPr>
          <w:trHeight w:hRule="exact" w:val="326"/>
        </w:trPr>
        <w:tc>
          <w:tcPr>
            <w:tcW w:w="2977" w:type="dxa"/>
            <w:shd w:val="clear" w:color="auto" w:fill="FFFFFF"/>
          </w:tcPr>
          <w:p w:rsidR="00535331" w:rsidRPr="00EC25B7" w:rsidRDefault="00035A95" w:rsidP="00035A95">
            <w:pPr>
              <w:autoSpaceDE w:val="0"/>
              <w:autoSpaceDN w:val="0"/>
              <w:adjustRightInd w:val="0"/>
              <w:rPr>
                <w:sz w:val="20"/>
                <w:szCs w:val="20"/>
              </w:rPr>
            </w:pPr>
            <w:r w:rsidRPr="00035A95">
              <w:rPr>
                <w:sz w:val="20"/>
                <w:szCs w:val="20"/>
                <w:lang w:val="uk-UA"/>
              </w:rPr>
              <w:t>Вік, роки</w:t>
            </w:r>
          </w:p>
        </w:tc>
        <w:tc>
          <w:tcPr>
            <w:tcW w:w="1276"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53,04</w:t>
            </w:r>
            <w:r w:rsidR="002C4288" w:rsidRPr="00EC25B7">
              <w:rPr>
                <w:rStyle w:val="TimesNewRoman7pt0pt"/>
                <w:rFonts w:eastAsia="Verdana"/>
                <w:color w:val="auto"/>
                <w:sz w:val="20"/>
                <w:szCs w:val="20"/>
                <w:lang w:val="ru-RU"/>
              </w:rPr>
              <w:t>±</w:t>
            </w:r>
            <w:r w:rsidRPr="00EC25B7">
              <w:rPr>
                <w:rStyle w:val="TimesNewRoman7pt0pt"/>
                <w:rFonts w:eastAsia="Verdana"/>
                <w:color w:val="auto"/>
                <w:sz w:val="20"/>
                <w:szCs w:val="20"/>
                <w:lang w:val="ru-RU"/>
              </w:rPr>
              <w:t>17</w:t>
            </w:r>
          </w:p>
        </w:tc>
        <w:tc>
          <w:tcPr>
            <w:tcW w:w="1984"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52,98</w:t>
            </w:r>
            <w:r w:rsidR="002C4288" w:rsidRPr="00EC25B7">
              <w:rPr>
                <w:rStyle w:val="TimesNewRoman7pt0pt"/>
                <w:rFonts w:eastAsia="Verdana"/>
                <w:color w:val="auto"/>
                <w:sz w:val="20"/>
                <w:szCs w:val="20"/>
                <w:lang w:val="ru-RU"/>
              </w:rPr>
              <w:t>±</w:t>
            </w:r>
            <w:r w:rsidRPr="00EC25B7">
              <w:rPr>
                <w:rStyle w:val="TimesNewRoman7pt0pt"/>
                <w:rFonts w:eastAsia="Verdana"/>
                <w:color w:val="auto"/>
                <w:sz w:val="20"/>
                <w:szCs w:val="20"/>
                <w:lang w:val="ru-RU"/>
              </w:rPr>
              <w:t>17,08</w:t>
            </w:r>
          </w:p>
        </w:tc>
        <w:tc>
          <w:tcPr>
            <w:tcW w:w="1985"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53,18</w:t>
            </w:r>
            <w:r w:rsidR="002C4288" w:rsidRPr="00EC25B7">
              <w:rPr>
                <w:rStyle w:val="TimesNewRoman7pt0pt"/>
                <w:rFonts w:eastAsia="Verdana"/>
                <w:color w:val="auto"/>
                <w:sz w:val="20"/>
                <w:szCs w:val="20"/>
                <w:lang w:val="ru-RU"/>
              </w:rPr>
              <w:t>±</w:t>
            </w:r>
            <w:r w:rsidRPr="00EC25B7">
              <w:rPr>
                <w:rStyle w:val="TimesNewRoman7pt0pt"/>
                <w:rFonts w:eastAsia="Verdana"/>
                <w:color w:val="auto"/>
                <w:sz w:val="20"/>
                <w:szCs w:val="20"/>
                <w:lang w:val="ru-RU"/>
              </w:rPr>
              <w:t>16,84</w:t>
            </w:r>
          </w:p>
        </w:tc>
        <w:tc>
          <w:tcPr>
            <w:tcW w:w="1430"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0,735</w:t>
            </w:r>
          </w:p>
        </w:tc>
      </w:tr>
      <w:tr w:rsidR="00535331" w:rsidRPr="00BC641F" w:rsidTr="000A5F1C">
        <w:trPr>
          <w:trHeight w:hRule="exact" w:val="206"/>
        </w:trPr>
        <w:tc>
          <w:tcPr>
            <w:tcW w:w="2977" w:type="dxa"/>
            <w:shd w:val="clear" w:color="auto" w:fill="FFFFFF"/>
          </w:tcPr>
          <w:p w:rsidR="00035A95" w:rsidRPr="00035A95" w:rsidRDefault="00035A95" w:rsidP="00035A95">
            <w:pPr>
              <w:autoSpaceDE w:val="0"/>
              <w:autoSpaceDN w:val="0"/>
              <w:adjustRightInd w:val="0"/>
              <w:rPr>
                <w:sz w:val="20"/>
                <w:szCs w:val="20"/>
                <w:lang w:val="uk-UA"/>
              </w:rPr>
            </w:pPr>
            <w:r>
              <w:rPr>
                <w:sz w:val="20"/>
                <w:szCs w:val="20"/>
                <w:lang w:val="uk-UA"/>
              </w:rPr>
              <w:t>Стать</w:t>
            </w:r>
            <w:r w:rsidRPr="00035A95">
              <w:rPr>
                <w:sz w:val="20"/>
                <w:szCs w:val="20"/>
                <w:lang w:val="uk-UA"/>
              </w:rPr>
              <w:t>, чоловіч</w:t>
            </w:r>
            <w:r>
              <w:rPr>
                <w:sz w:val="20"/>
                <w:szCs w:val="20"/>
                <w:lang w:val="uk-UA"/>
              </w:rPr>
              <w:t>а</w:t>
            </w:r>
          </w:p>
          <w:p w:rsidR="00535331" w:rsidRPr="00EC25B7" w:rsidRDefault="00535331" w:rsidP="00EC25B7">
            <w:pPr>
              <w:rPr>
                <w:sz w:val="20"/>
                <w:szCs w:val="20"/>
              </w:rPr>
            </w:pPr>
          </w:p>
        </w:tc>
        <w:tc>
          <w:tcPr>
            <w:tcW w:w="1276"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2400 (64,19)</w:t>
            </w:r>
          </w:p>
        </w:tc>
        <w:tc>
          <w:tcPr>
            <w:tcW w:w="1984"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1590 (63,78)</w:t>
            </w:r>
          </w:p>
        </w:tc>
        <w:tc>
          <w:tcPr>
            <w:tcW w:w="1985"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810 (65,01)</w:t>
            </w:r>
          </w:p>
        </w:tc>
        <w:tc>
          <w:tcPr>
            <w:tcW w:w="1430"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0,460</w:t>
            </w:r>
          </w:p>
        </w:tc>
      </w:tr>
      <w:tr w:rsidR="00535331" w:rsidRPr="00BC641F" w:rsidTr="00225F2A">
        <w:trPr>
          <w:trHeight w:hRule="exact" w:val="219"/>
        </w:trPr>
        <w:tc>
          <w:tcPr>
            <w:tcW w:w="2977" w:type="dxa"/>
            <w:shd w:val="clear" w:color="auto" w:fill="FFFFFF"/>
          </w:tcPr>
          <w:p w:rsidR="00035A95" w:rsidRPr="00035A95" w:rsidRDefault="00035A95" w:rsidP="00035A95">
            <w:pPr>
              <w:autoSpaceDE w:val="0"/>
              <w:autoSpaceDN w:val="0"/>
              <w:adjustRightInd w:val="0"/>
              <w:rPr>
                <w:sz w:val="20"/>
                <w:szCs w:val="20"/>
                <w:lang w:val="uk-UA"/>
              </w:rPr>
            </w:pPr>
            <w:r w:rsidRPr="00035A95">
              <w:rPr>
                <w:sz w:val="20"/>
                <w:szCs w:val="20"/>
                <w:lang w:val="uk-UA"/>
              </w:rPr>
              <w:t>Щомісячний дохід, НТД</w:t>
            </w:r>
          </w:p>
          <w:p w:rsidR="00535331" w:rsidRPr="00EC25B7" w:rsidRDefault="00535331" w:rsidP="00EC25B7">
            <w:pPr>
              <w:rPr>
                <w:sz w:val="20"/>
                <w:szCs w:val="20"/>
              </w:rPr>
            </w:pPr>
          </w:p>
        </w:tc>
        <w:tc>
          <w:tcPr>
            <w:tcW w:w="1276"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15423,5</w:t>
            </w:r>
            <w:r w:rsidR="002C4288" w:rsidRPr="00EC25B7">
              <w:rPr>
                <w:rStyle w:val="TimesNewRoman7pt0pt"/>
                <w:rFonts w:eastAsia="Verdana"/>
                <w:color w:val="auto"/>
                <w:sz w:val="20"/>
                <w:szCs w:val="20"/>
                <w:lang w:val="ru-RU"/>
              </w:rPr>
              <w:t>±</w:t>
            </w:r>
            <w:r w:rsidRPr="00EC25B7">
              <w:rPr>
                <w:rStyle w:val="TimesNewRoman7pt0pt"/>
                <w:rFonts w:eastAsia="Verdana"/>
                <w:color w:val="auto"/>
                <w:sz w:val="20"/>
                <w:szCs w:val="20"/>
                <w:lang w:val="ru-RU"/>
              </w:rPr>
              <w:t>13018,5</w:t>
            </w:r>
          </w:p>
        </w:tc>
        <w:tc>
          <w:tcPr>
            <w:tcW w:w="1984"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15405,6</w:t>
            </w:r>
            <w:r w:rsidR="002C4288" w:rsidRPr="00EC25B7">
              <w:rPr>
                <w:rStyle w:val="TimesNewRoman7pt0pt"/>
                <w:rFonts w:eastAsia="Verdana"/>
                <w:color w:val="auto"/>
                <w:sz w:val="20"/>
                <w:szCs w:val="20"/>
                <w:lang w:val="ru-RU"/>
              </w:rPr>
              <w:t>±</w:t>
            </w:r>
            <w:r w:rsidRPr="00EC25B7">
              <w:rPr>
                <w:rStyle w:val="TimesNewRoman7pt0pt"/>
                <w:rFonts w:eastAsia="Verdana"/>
                <w:color w:val="auto"/>
                <w:sz w:val="20"/>
                <w:szCs w:val="20"/>
                <w:lang w:val="ru-RU"/>
              </w:rPr>
              <w:t>13071,9</w:t>
            </w:r>
          </w:p>
        </w:tc>
        <w:tc>
          <w:tcPr>
            <w:tcW w:w="1985"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15459,1</w:t>
            </w:r>
            <w:r w:rsidR="002C4288" w:rsidRPr="00EC25B7">
              <w:rPr>
                <w:rStyle w:val="TimesNewRoman7pt0pt"/>
                <w:rFonts w:eastAsia="Verdana"/>
                <w:color w:val="auto"/>
                <w:sz w:val="20"/>
                <w:szCs w:val="20"/>
                <w:lang w:val="ru-RU"/>
              </w:rPr>
              <w:t>±</w:t>
            </w:r>
            <w:r w:rsidRPr="00EC25B7">
              <w:rPr>
                <w:rStyle w:val="TimesNewRoman7pt0pt"/>
                <w:rFonts w:eastAsia="Verdana"/>
                <w:color w:val="auto"/>
                <w:sz w:val="20"/>
                <w:szCs w:val="20"/>
                <w:lang w:val="ru-RU"/>
              </w:rPr>
              <w:t>12916,2</w:t>
            </w:r>
          </w:p>
        </w:tc>
        <w:tc>
          <w:tcPr>
            <w:tcW w:w="1430"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0,906</w:t>
            </w:r>
          </w:p>
        </w:tc>
      </w:tr>
      <w:tr w:rsidR="00535331" w:rsidRPr="00BC641F" w:rsidTr="000A5F1C">
        <w:trPr>
          <w:trHeight w:hRule="exact" w:val="211"/>
        </w:trPr>
        <w:tc>
          <w:tcPr>
            <w:tcW w:w="2977" w:type="dxa"/>
            <w:shd w:val="clear" w:color="auto" w:fill="FFFFFF"/>
          </w:tcPr>
          <w:p w:rsidR="00035A95" w:rsidRPr="00035A95" w:rsidRDefault="00035A95" w:rsidP="00035A95">
            <w:pPr>
              <w:autoSpaceDE w:val="0"/>
              <w:autoSpaceDN w:val="0"/>
              <w:adjustRightInd w:val="0"/>
              <w:rPr>
                <w:sz w:val="20"/>
                <w:szCs w:val="20"/>
                <w:lang w:val="uk-UA"/>
              </w:rPr>
            </w:pPr>
            <w:r w:rsidRPr="00035A95">
              <w:rPr>
                <w:sz w:val="20"/>
                <w:szCs w:val="20"/>
                <w:lang w:val="uk-UA"/>
              </w:rPr>
              <w:t>Місце проживання</w:t>
            </w:r>
          </w:p>
          <w:p w:rsidR="00535331" w:rsidRPr="00EC25B7" w:rsidRDefault="00535331" w:rsidP="00EC25B7">
            <w:pPr>
              <w:rPr>
                <w:sz w:val="20"/>
                <w:szCs w:val="20"/>
              </w:rPr>
            </w:pPr>
          </w:p>
        </w:tc>
        <w:tc>
          <w:tcPr>
            <w:tcW w:w="1276" w:type="dxa"/>
            <w:shd w:val="clear" w:color="auto" w:fill="FFFFFF"/>
          </w:tcPr>
          <w:p w:rsidR="00535331" w:rsidRPr="00EC25B7" w:rsidRDefault="00535331" w:rsidP="009F62A8">
            <w:pPr>
              <w:rPr>
                <w:sz w:val="20"/>
                <w:szCs w:val="20"/>
              </w:rPr>
            </w:pPr>
          </w:p>
        </w:tc>
        <w:tc>
          <w:tcPr>
            <w:tcW w:w="1984" w:type="dxa"/>
            <w:shd w:val="clear" w:color="auto" w:fill="FFFFFF"/>
          </w:tcPr>
          <w:p w:rsidR="00535331" w:rsidRPr="00EC25B7" w:rsidRDefault="00535331" w:rsidP="009F62A8">
            <w:pPr>
              <w:rPr>
                <w:sz w:val="20"/>
                <w:szCs w:val="20"/>
              </w:rPr>
            </w:pPr>
          </w:p>
        </w:tc>
        <w:tc>
          <w:tcPr>
            <w:tcW w:w="1985" w:type="dxa"/>
            <w:shd w:val="clear" w:color="auto" w:fill="FFFFFF"/>
          </w:tcPr>
          <w:p w:rsidR="00535331" w:rsidRPr="00EC25B7" w:rsidRDefault="00535331" w:rsidP="009F62A8">
            <w:pPr>
              <w:rPr>
                <w:sz w:val="20"/>
                <w:szCs w:val="20"/>
              </w:rPr>
            </w:pPr>
          </w:p>
        </w:tc>
        <w:tc>
          <w:tcPr>
            <w:tcW w:w="1430" w:type="dxa"/>
            <w:shd w:val="clear" w:color="auto" w:fill="FFFFFF"/>
          </w:tcPr>
          <w:p w:rsidR="00535331" w:rsidRPr="00EC25B7" w:rsidRDefault="00535331" w:rsidP="009F62A8">
            <w:pPr>
              <w:rPr>
                <w:sz w:val="20"/>
                <w:szCs w:val="20"/>
              </w:rPr>
            </w:pPr>
          </w:p>
        </w:tc>
      </w:tr>
      <w:tr w:rsidR="00535331" w:rsidRPr="00BC641F" w:rsidTr="000A5F1C">
        <w:trPr>
          <w:trHeight w:hRule="exact" w:val="192"/>
        </w:trPr>
        <w:tc>
          <w:tcPr>
            <w:tcW w:w="2977" w:type="dxa"/>
            <w:shd w:val="clear" w:color="auto" w:fill="FFFFFF"/>
          </w:tcPr>
          <w:p w:rsidR="00035A95" w:rsidRPr="00035A95" w:rsidRDefault="00035A95" w:rsidP="00035A95">
            <w:pPr>
              <w:autoSpaceDE w:val="0"/>
              <w:autoSpaceDN w:val="0"/>
              <w:adjustRightInd w:val="0"/>
              <w:rPr>
                <w:sz w:val="20"/>
                <w:szCs w:val="20"/>
                <w:lang w:val="uk-UA"/>
              </w:rPr>
            </w:pPr>
            <w:r>
              <w:rPr>
                <w:sz w:val="20"/>
                <w:szCs w:val="20"/>
                <w:lang w:val="uk-UA"/>
              </w:rPr>
              <w:t>П</w:t>
            </w:r>
            <w:r w:rsidRPr="00035A95">
              <w:rPr>
                <w:sz w:val="20"/>
                <w:szCs w:val="20"/>
                <w:lang w:val="uk-UA"/>
              </w:rPr>
              <w:t>івнічний Тайвань</w:t>
            </w:r>
          </w:p>
          <w:p w:rsidR="00535331" w:rsidRPr="00EC25B7" w:rsidRDefault="00535331" w:rsidP="00EC25B7">
            <w:pPr>
              <w:rPr>
                <w:sz w:val="20"/>
                <w:szCs w:val="20"/>
              </w:rPr>
            </w:pPr>
          </w:p>
        </w:tc>
        <w:tc>
          <w:tcPr>
            <w:tcW w:w="1276"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1619 (43,3)</w:t>
            </w:r>
          </w:p>
        </w:tc>
        <w:tc>
          <w:tcPr>
            <w:tcW w:w="1984"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1085 (43,52)</w:t>
            </w:r>
          </w:p>
        </w:tc>
        <w:tc>
          <w:tcPr>
            <w:tcW w:w="1985"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534 (42,86)</w:t>
            </w:r>
          </w:p>
        </w:tc>
        <w:tc>
          <w:tcPr>
            <w:tcW w:w="1430"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0,725</w:t>
            </w:r>
          </w:p>
        </w:tc>
      </w:tr>
      <w:tr w:rsidR="00535331" w:rsidRPr="00BC641F" w:rsidTr="000A5F1C">
        <w:trPr>
          <w:trHeight w:hRule="exact" w:val="197"/>
        </w:trPr>
        <w:tc>
          <w:tcPr>
            <w:tcW w:w="2977" w:type="dxa"/>
            <w:shd w:val="clear" w:color="auto" w:fill="FFFFFF"/>
          </w:tcPr>
          <w:p w:rsidR="00535331" w:rsidRPr="00EC25B7" w:rsidRDefault="00035A95" w:rsidP="00EC25B7">
            <w:pPr>
              <w:rPr>
                <w:sz w:val="20"/>
                <w:szCs w:val="20"/>
              </w:rPr>
            </w:pPr>
            <w:r>
              <w:rPr>
                <w:sz w:val="20"/>
                <w:szCs w:val="20"/>
                <w:lang w:val="uk-UA"/>
              </w:rPr>
              <w:t>Ц</w:t>
            </w:r>
            <w:r w:rsidRPr="00035A95">
              <w:rPr>
                <w:sz w:val="20"/>
                <w:szCs w:val="20"/>
                <w:lang w:val="uk-UA"/>
              </w:rPr>
              <w:t>ентральний Тайвань</w:t>
            </w:r>
          </w:p>
        </w:tc>
        <w:tc>
          <w:tcPr>
            <w:tcW w:w="1276"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780 (20,86)</w:t>
            </w:r>
          </w:p>
        </w:tc>
        <w:tc>
          <w:tcPr>
            <w:tcW w:w="1984"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518 (20,78)</w:t>
            </w:r>
          </w:p>
        </w:tc>
        <w:tc>
          <w:tcPr>
            <w:tcW w:w="1985"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262 (21,03)</w:t>
            </w:r>
          </w:p>
        </w:tc>
        <w:tc>
          <w:tcPr>
            <w:tcW w:w="1430"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0,893</w:t>
            </w:r>
          </w:p>
        </w:tc>
      </w:tr>
      <w:tr w:rsidR="00535331" w:rsidRPr="00BC641F" w:rsidTr="000A5F1C">
        <w:trPr>
          <w:trHeight w:hRule="exact" w:val="197"/>
        </w:trPr>
        <w:tc>
          <w:tcPr>
            <w:tcW w:w="2977" w:type="dxa"/>
            <w:shd w:val="clear" w:color="auto" w:fill="FFFFFF"/>
          </w:tcPr>
          <w:p w:rsidR="00035A95" w:rsidRPr="00035A95" w:rsidRDefault="00035A95" w:rsidP="00035A95">
            <w:pPr>
              <w:autoSpaceDE w:val="0"/>
              <w:autoSpaceDN w:val="0"/>
              <w:adjustRightInd w:val="0"/>
              <w:rPr>
                <w:sz w:val="20"/>
                <w:szCs w:val="20"/>
                <w:lang w:val="uk-UA"/>
              </w:rPr>
            </w:pPr>
            <w:r>
              <w:rPr>
                <w:sz w:val="20"/>
                <w:szCs w:val="20"/>
                <w:lang w:val="uk-UA"/>
              </w:rPr>
              <w:t>П</w:t>
            </w:r>
            <w:r w:rsidRPr="00035A95">
              <w:rPr>
                <w:sz w:val="20"/>
                <w:szCs w:val="20"/>
                <w:lang w:val="uk-UA"/>
              </w:rPr>
              <w:t>івденний Тайвань</w:t>
            </w:r>
          </w:p>
          <w:p w:rsidR="00535331" w:rsidRPr="00EC25B7" w:rsidRDefault="00535331" w:rsidP="00EC25B7">
            <w:pPr>
              <w:rPr>
                <w:sz w:val="20"/>
                <w:szCs w:val="20"/>
              </w:rPr>
            </w:pPr>
          </w:p>
        </w:tc>
        <w:tc>
          <w:tcPr>
            <w:tcW w:w="1276"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1183 (31,64)</w:t>
            </w:r>
          </w:p>
        </w:tc>
        <w:tc>
          <w:tcPr>
            <w:tcW w:w="1984"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790 (31,69)</w:t>
            </w:r>
          </w:p>
        </w:tc>
        <w:tc>
          <w:tcPr>
            <w:tcW w:w="1985"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393 (31,54)</w:t>
            </w:r>
          </w:p>
        </w:tc>
        <w:tc>
          <w:tcPr>
            <w:tcW w:w="1430"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0,957</w:t>
            </w:r>
          </w:p>
        </w:tc>
      </w:tr>
      <w:tr w:rsidR="00535331" w:rsidRPr="00BC641F" w:rsidTr="000A5F1C">
        <w:trPr>
          <w:trHeight w:hRule="exact" w:val="192"/>
        </w:trPr>
        <w:tc>
          <w:tcPr>
            <w:tcW w:w="2977" w:type="dxa"/>
            <w:shd w:val="clear" w:color="auto" w:fill="FFFFFF"/>
          </w:tcPr>
          <w:p w:rsidR="00035A95" w:rsidRPr="00035A95" w:rsidRDefault="00035A95" w:rsidP="00035A95">
            <w:pPr>
              <w:autoSpaceDE w:val="0"/>
              <w:autoSpaceDN w:val="0"/>
              <w:adjustRightInd w:val="0"/>
              <w:rPr>
                <w:sz w:val="20"/>
                <w:szCs w:val="20"/>
                <w:lang w:val="uk-UA"/>
              </w:rPr>
            </w:pPr>
            <w:r w:rsidRPr="00035A95">
              <w:rPr>
                <w:sz w:val="20"/>
                <w:szCs w:val="20"/>
                <w:lang w:val="uk-UA"/>
              </w:rPr>
              <w:t>Східний Тайвань і остров</w:t>
            </w:r>
            <w:r>
              <w:rPr>
                <w:sz w:val="20"/>
                <w:szCs w:val="20"/>
                <w:lang w:val="uk-UA"/>
              </w:rPr>
              <w:t>и</w:t>
            </w:r>
          </w:p>
          <w:p w:rsidR="00535331" w:rsidRPr="00EC25B7" w:rsidRDefault="00535331" w:rsidP="00EC25B7">
            <w:pPr>
              <w:rPr>
                <w:sz w:val="20"/>
                <w:szCs w:val="20"/>
              </w:rPr>
            </w:pPr>
          </w:p>
        </w:tc>
        <w:tc>
          <w:tcPr>
            <w:tcW w:w="1276"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157 (4,2)</w:t>
            </w:r>
          </w:p>
        </w:tc>
        <w:tc>
          <w:tcPr>
            <w:tcW w:w="1984"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100 (4,01)</w:t>
            </w:r>
          </w:p>
        </w:tc>
        <w:tc>
          <w:tcPr>
            <w:tcW w:w="1985"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57 (4,57)</w:t>
            </w:r>
          </w:p>
        </w:tc>
        <w:tc>
          <w:tcPr>
            <w:tcW w:w="1430"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0,470</w:t>
            </w:r>
          </w:p>
        </w:tc>
      </w:tr>
      <w:tr w:rsidR="00535331" w:rsidRPr="00BC641F" w:rsidTr="00225F2A">
        <w:trPr>
          <w:trHeight w:hRule="exact" w:val="280"/>
        </w:trPr>
        <w:tc>
          <w:tcPr>
            <w:tcW w:w="2977" w:type="dxa"/>
            <w:shd w:val="clear" w:color="auto" w:fill="FFFFFF"/>
          </w:tcPr>
          <w:p w:rsidR="00535331" w:rsidRPr="00EC25B7" w:rsidRDefault="00035A95" w:rsidP="00EC25B7">
            <w:pPr>
              <w:rPr>
                <w:sz w:val="20"/>
                <w:szCs w:val="20"/>
              </w:rPr>
            </w:pPr>
            <w:r w:rsidRPr="00035A95">
              <w:rPr>
                <w:sz w:val="20"/>
                <w:szCs w:val="20"/>
                <w:lang w:val="uk-UA"/>
              </w:rPr>
              <w:t xml:space="preserve">Індекс </w:t>
            </w:r>
            <w:proofErr w:type="spellStart"/>
            <w:r w:rsidRPr="00035A95">
              <w:rPr>
                <w:sz w:val="20"/>
                <w:szCs w:val="20"/>
                <w:lang w:val="uk-UA"/>
              </w:rPr>
              <w:t>коморб</w:t>
            </w:r>
            <w:r>
              <w:rPr>
                <w:sz w:val="20"/>
                <w:szCs w:val="20"/>
                <w:lang w:val="uk-UA"/>
              </w:rPr>
              <w:t>і</w:t>
            </w:r>
            <w:r w:rsidRPr="00035A95">
              <w:rPr>
                <w:sz w:val="20"/>
                <w:szCs w:val="20"/>
                <w:lang w:val="uk-UA"/>
              </w:rPr>
              <w:t>дност</w:t>
            </w:r>
            <w:r>
              <w:rPr>
                <w:sz w:val="20"/>
                <w:szCs w:val="20"/>
                <w:lang w:val="uk-UA"/>
              </w:rPr>
              <w:t>і</w:t>
            </w:r>
            <w:proofErr w:type="spellEnd"/>
            <w:r w:rsidRPr="00035A95">
              <w:rPr>
                <w:sz w:val="20"/>
                <w:szCs w:val="20"/>
                <w:lang w:val="uk-UA"/>
              </w:rPr>
              <w:t xml:space="preserve"> </w:t>
            </w:r>
            <w:proofErr w:type="spellStart"/>
            <w:r w:rsidRPr="00035A95">
              <w:rPr>
                <w:sz w:val="20"/>
                <w:szCs w:val="20"/>
                <w:lang w:val="uk-UA"/>
              </w:rPr>
              <w:t>Charlson</w:t>
            </w:r>
            <w:proofErr w:type="spellEnd"/>
          </w:p>
        </w:tc>
        <w:tc>
          <w:tcPr>
            <w:tcW w:w="1276"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2,55</w:t>
            </w:r>
            <w:r w:rsidR="002C4288" w:rsidRPr="00EC25B7">
              <w:rPr>
                <w:rStyle w:val="TimesNewRoman7pt0pt"/>
                <w:rFonts w:eastAsia="Verdana"/>
                <w:color w:val="auto"/>
                <w:sz w:val="20"/>
                <w:szCs w:val="20"/>
                <w:lang w:val="ru-RU"/>
              </w:rPr>
              <w:t>±</w:t>
            </w:r>
            <w:r w:rsidRPr="00EC25B7">
              <w:rPr>
                <w:rStyle w:val="TimesNewRoman7pt0pt"/>
                <w:rFonts w:eastAsia="Verdana"/>
                <w:color w:val="auto"/>
                <w:sz w:val="20"/>
                <w:szCs w:val="20"/>
                <w:lang w:val="ru-RU"/>
              </w:rPr>
              <w:t>2,21</w:t>
            </w:r>
          </w:p>
        </w:tc>
        <w:tc>
          <w:tcPr>
            <w:tcW w:w="1984"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2,56</w:t>
            </w:r>
            <w:r w:rsidR="002C4288" w:rsidRPr="00EC25B7">
              <w:rPr>
                <w:rStyle w:val="TimesNewRoman7pt0pt"/>
                <w:rFonts w:eastAsia="Verdana"/>
                <w:color w:val="auto"/>
                <w:sz w:val="20"/>
                <w:szCs w:val="20"/>
                <w:lang w:val="ru-RU"/>
              </w:rPr>
              <w:t>±</w:t>
            </w:r>
            <w:r w:rsidRPr="00EC25B7">
              <w:rPr>
                <w:rStyle w:val="TimesNewRoman7pt0pt"/>
                <w:rFonts w:eastAsia="Verdana"/>
                <w:color w:val="auto"/>
                <w:sz w:val="20"/>
                <w:szCs w:val="20"/>
                <w:lang w:val="ru-RU"/>
              </w:rPr>
              <w:t>2,22</w:t>
            </w:r>
          </w:p>
        </w:tc>
        <w:tc>
          <w:tcPr>
            <w:tcW w:w="1985"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2,52</w:t>
            </w:r>
            <w:r w:rsidR="002C4288" w:rsidRPr="00EC25B7">
              <w:rPr>
                <w:rStyle w:val="TimesNewRoman7pt0pt"/>
                <w:rFonts w:eastAsia="Verdana"/>
                <w:color w:val="auto"/>
                <w:sz w:val="20"/>
                <w:szCs w:val="20"/>
                <w:lang w:val="ru-RU"/>
              </w:rPr>
              <w:t>±</w:t>
            </w:r>
            <w:r w:rsidRPr="00EC25B7">
              <w:rPr>
                <w:rStyle w:val="TimesNewRoman7pt0pt"/>
                <w:rFonts w:eastAsia="Verdana"/>
                <w:color w:val="auto"/>
                <w:sz w:val="20"/>
                <w:szCs w:val="20"/>
                <w:lang w:val="ru-RU"/>
              </w:rPr>
              <w:t>2,19</w:t>
            </w:r>
          </w:p>
        </w:tc>
        <w:tc>
          <w:tcPr>
            <w:tcW w:w="1430"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0,574</w:t>
            </w:r>
          </w:p>
        </w:tc>
      </w:tr>
      <w:tr w:rsidR="00535331" w:rsidRPr="00BC641F" w:rsidTr="00225F2A">
        <w:trPr>
          <w:trHeight w:hRule="exact" w:val="297"/>
        </w:trPr>
        <w:tc>
          <w:tcPr>
            <w:tcW w:w="2977" w:type="dxa"/>
            <w:shd w:val="clear" w:color="auto" w:fill="FFFFFF"/>
          </w:tcPr>
          <w:p w:rsidR="00535331" w:rsidRPr="00035A95" w:rsidRDefault="00035A95" w:rsidP="00EC25B7">
            <w:pPr>
              <w:rPr>
                <w:sz w:val="20"/>
                <w:szCs w:val="20"/>
                <w:lang w:val="uk-UA"/>
              </w:rPr>
            </w:pPr>
            <w:r>
              <w:rPr>
                <w:sz w:val="20"/>
                <w:szCs w:val="20"/>
                <w:lang w:val="uk-UA"/>
              </w:rPr>
              <w:t>Супутні захворювання</w:t>
            </w:r>
            <w:r w:rsidR="00297C61">
              <w:rPr>
                <w:sz w:val="20"/>
                <w:szCs w:val="20"/>
                <w:lang w:val="uk-UA"/>
              </w:rPr>
              <w:t>:</w:t>
            </w:r>
          </w:p>
        </w:tc>
        <w:tc>
          <w:tcPr>
            <w:tcW w:w="1276" w:type="dxa"/>
            <w:shd w:val="clear" w:color="auto" w:fill="FFFFFF"/>
          </w:tcPr>
          <w:p w:rsidR="00535331" w:rsidRPr="00EC25B7" w:rsidRDefault="00535331" w:rsidP="009F62A8">
            <w:pPr>
              <w:rPr>
                <w:sz w:val="20"/>
                <w:szCs w:val="20"/>
              </w:rPr>
            </w:pPr>
          </w:p>
        </w:tc>
        <w:tc>
          <w:tcPr>
            <w:tcW w:w="1984" w:type="dxa"/>
            <w:shd w:val="clear" w:color="auto" w:fill="FFFFFF"/>
          </w:tcPr>
          <w:p w:rsidR="00535331" w:rsidRPr="00EC25B7" w:rsidRDefault="00535331" w:rsidP="009F62A8">
            <w:pPr>
              <w:rPr>
                <w:sz w:val="20"/>
                <w:szCs w:val="20"/>
              </w:rPr>
            </w:pPr>
          </w:p>
        </w:tc>
        <w:tc>
          <w:tcPr>
            <w:tcW w:w="1985" w:type="dxa"/>
            <w:shd w:val="clear" w:color="auto" w:fill="FFFFFF"/>
          </w:tcPr>
          <w:p w:rsidR="00535331" w:rsidRPr="00EC25B7" w:rsidRDefault="00535331" w:rsidP="009F62A8">
            <w:pPr>
              <w:rPr>
                <w:sz w:val="20"/>
                <w:szCs w:val="20"/>
              </w:rPr>
            </w:pPr>
          </w:p>
        </w:tc>
        <w:tc>
          <w:tcPr>
            <w:tcW w:w="1430" w:type="dxa"/>
            <w:shd w:val="clear" w:color="auto" w:fill="FFFFFF"/>
          </w:tcPr>
          <w:p w:rsidR="00535331" w:rsidRPr="00EC25B7" w:rsidRDefault="00535331" w:rsidP="009F62A8">
            <w:pPr>
              <w:rPr>
                <w:sz w:val="20"/>
                <w:szCs w:val="20"/>
              </w:rPr>
            </w:pPr>
          </w:p>
        </w:tc>
      </w:tr>
      <w:tr w:rsidR="00535331" w:rsidRPr="00BC641F" w:rsidTr="000A5F1C">
        <w:trPr>
          <w:trHeight w:hRule="exact" w:val="211"/>
        </w:trPr>
        <w:tc>
          <w:tcPr>
            <w:tcW w:w="2977" w:type="dxa"/>
            <w:shd w:val="clear" w:color="auto" w:fill="FFFFFF"/>
          </w:tcPr>
          <w:p w:rsidR="00535331" w:rsidRPr="00035A95" w:rsidRDefault="00535331" w:rsidP="00EC25B7">
            <w:pPr>
              <w:rPr>
                <w:sz w:val="20"/>
                <w:szCs w:val="20"/>
                <w:lang w:val="uk-UA"/>
              </w:rPr>
            </w:pPr>
            <w:proofErr w:type="spellStart"/>
            <w:r w:rsidRPr="00EC25B7">
              <w:rPr>
                <w:sz w:val="20"/>
                <w:szCs w:val="20"/>
              </w:rPr>
              <w:t>ожир</w:t>
            </w:r>
            <w:r w:rsidR="00035A95">
              <w:rPr>
                <w:sz w:val="20"/>
                <w:szCs w:val="20"/>
                <w:lang w:val="uk-UA"/>
              </w:rPr>
              <w:t>іння</w:t>
            </w:r>
            <w:proofErr w:type="spellEnd"/>
          </w:p>
        </w:tc>
        <w:tc>
          <w:tcPr>
            <w:tcW w:w="1276"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17 (0,45)</w:t>
            </w:r>
          </w:p>
        </w:tc>
        <w:tc>
          <w:tcPr>
            <w:tcW w:w="1984"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11 (0,44)</w:t>
            </w:r>
          </w:p>
        </w:tc>
        <w:tc>
          <w:tcPr>
            <w:tcW w:w="1985"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6 (0,48)</w:t>
            </w:r>
          </w:p>
        </w:tc>
        <w:tc>
          <w:tcPr>
            <w:tcW w:w="1430"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0,863</w:t>
            </w:r>
          </w:p>
        </w:tc>
      </w:tr>
      <w:tr w:rsidR="00535331" w:rsidRPr="00BC641F" w:rsidTr="000A5F1C">
        <w:trPr>
          <w:trHeight w:hRule="exact" w:val="285"/>
        </w:trPr>
        <w:tc>
          <w:tcPr>
            <w:tcW w:w="2977" w:type="dxa"/>
            <w:shd w:val="clear" w:color="auto" w:fill="FFFFFF"/>
          </w:tcPr>
          <w:p w:rsidR="00035A95" w:rsidRPr="00035A95" w:rsidRDefault="00035A95" w:rsidP="00035A95">
            <w:pPr>
              <w:autoSpaceDE w:val="0"/>
              <w:autoSpaceDN w:val="0"/>
              <w:adjustRightInd w:val="0"/>
              <w:rPr>
                <w:sz w:val="20"/>
                <w:szCs w:val="20"/>
                <w:lang w:val="uk-UA"/>
              </w:rPr>
            </w:pPr>
            <w:r w:rsidRPr="00035A95">
              <w:rPr>
                <w:sz w:val="20"/>
                <w:szCs w:val="20"/>
                <w:lang w:val="uk-UA"/>
              </w:rPr>
              <w:t>підвищений артеріальний тиск</w:t>
            </w:r>
          </w:p>
          <w:p w:rsidR="00535331" w:rsidRPr="00EC25B7" w:rsidRDefault="00535331" w:rsidP="00EC25B7">
            <w:pPr>
              <w:rPr>
                <w:sz w:val="20"/>
                <w:szCs w:val="20"/>
              </w:rPr>
            </w:pPr>
          </w:p>
        </w:tc>
        <w:tc>
          <w:tcPr>
            <w:tcW w:w="1276"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1456 (38,94)</w:t>
            </w:r>
          </w:p>
        </w:tc>
        <w:tc>
          <w:tcPr>
            <w:tcW w:w="1984"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984 (39,47)</w:t>
            </w:r>
          </w:p>
        </w:tc>
        <w:tc>
          <w:tcPr>
            <w:tcW w:w="1985"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472 (37,88)</w:t>
            </w:r>
          </w:p>
        </w:tc>
        <w:tc>
          <w:tcPr>
            <w:tcW w:w="1430"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0,348</w:t>
            </w:r>
          </w:p>
        </w:tc>
      </w:tr>
      <w:tr w:rsidR="00535331" w:rsidRPr="00BC641F" w:rsidTr="000A5F1C">
        <w:trPr>
          <w:trHeight w:hRule="exact" w:val="197"/>
        </w:trPr>
        <w:tc>
          <w:tcPr>
            <w:tcW w:w="2977" w:type="dxa"/>
            <w:shd w:val="clear" w:color="auto" w:fill="FFFFFF"/>
          </w:tcPr>
          <w:p w:rsidR="00535331" w:rsidRPr="00EC25B7" w:rsidRDefault="00035A95" w:rsidP="00EC25B7">
            <w:pPr>
              <w:rPr>
                <w:sz w:val="20"/>
                <w:szCs w:val="20"/>
              </w:rPr>
            </w:pPr>
            <w:proofErr w:type="spellStart"/>
            <w:r w:rsidRPr="00035A95">
              <w:rPr>
                <w:sz w:val="20"/>
                <w:szCs w:val="20"/>
                <w:lang w:val="uk-UA"/>
              </w:rPr>
              <w:t>гіперліпідемія</w:t>
            </w:r>
            <w:proofErr w:type="spellEnd"/>
          </w:p>
        </w:tc>
        <w:tc>
          <w:tcPr>
            <w:tcW w:w="1276"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1048 (28,03)</w:t>
            </w:r>
          </w:p>
        </w:tc>
        <w:tc>
          <w:tcPr>
            <w:tcW w:w="1984"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698 (28)</w:t>
            </w:r>
          </w:p>
        </w:tc>
        <w:tc>
          <w:tcPr>
            <w:tcW w:w="1985"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350 (28,09)</w:t>
            </w:r>
          </w:p>
        </w:tc>
        <w:tc>
          <w:tcPr>
            <w:tcW w:w="1430"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0,953</w:t>
            </w:r>
          </w:p>
        </w:tc>
      </w:tr>
      <w:tr w:rsidR="00535331" w:rsidRPr="00BC641F" w:rsidTr="000A5F1C">
        <w:trPr>
          <w:trHeight w:hRule="exact" w:val="192"/>
        </w:trPr>
        <w:tc>
          <w:tcPr>
            <w:tcW w:w="2977" w:type="dxa"/>
            <w:shd w:val="clear" w:color="auto" w:fill="FFFFFF"/>
          </w:tcPr>
          <w:p w:rsidR="00535331" w:rsidRPr="00EC25B7" w:rsidRDefault="00035A95" w:rsidP="00EC25B7">
            <w:pPr>
              <w:rPr>
                <w:sz w:val="20"/>
                <w:szCs w:val="20"/>
              </w:rPr>
            </w:pPr>
            <w:r w:rsidRPr="00035A95">
              <w:rPr>
                <w:sz w:val="20"/>
                <w:szCs w:val="20"/>
                <w:lang w:val="uk-UA"/>
              </w:rPr>
              <w:t>цукровий діабет</w:t>
            </w:r>
          </w:p>
        </w:tc>
        <w:tc>
          <w:tcPr>
            <w:tcW w:w="1276"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994 (26,58)</w:t>
            </w:r>
          </w:p>
        </w:tc>
        <w:tc>
          <w:tcPr>
            <w:tcW w:w="1984"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658 (26,39)</w:t>
            </w:r>
          </w:p>
        </w:tc>
        <w:tc>
          <w:tcPr>
            <w:tcW w:w="1985"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336 (26,97)</w:t>
            </w:r>
          </w:p>
        </w:tc>
        <w:tc>
          <w:tcPr>
            <w:tcW w:w="1430"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0,709</w:t>
            </w:r>
          </w:p>
        </w:tc>
      </w:tr>
      <w:tr w:rsidR="00535331" w:rsidRPr="00BC641F" w:rsidTr="000A5F1C">
        <w:trPr>
          <w:trHeight w:hRule="exact" w:val="197"/>
        </w:trPr>
        <w:tc>
          <w:tcPr>
            <w:tcW w:w="2977" w:type="dxa"/>
            <w:shd w:val="clear" w:color="auto" w:fill="FFFFFF"/>
          </w:tcPr>
          <w:p w:rsidR="00035A95" w:rsidRPr="00035A95" w:rsidRDefault="00035A95" w:rsidP="00035A95">
            <w:pPr>
              <w:autoSpaceDE w:val="0"/>
              <w:autoSpaceDN w:val="0"/>
              <w:adjustRightInd w:val="0"/>
              <w:rPr>
                <w:sz w:val="20"/>
                <w:szCs w:val="20"/>
                <w:lang w:val="uk-UA"/>
              </w:rPr>
            </w:pPr>
            <w:r w:rsidRPr="00035A95">
              <w:rPr>
                <w:sz w:val="20"/>
                <w:szCs w:val="20"/>
                <w:lang w:val="uk-UA"/>
              </w:rPr>
              <w:t>хронічне захворювання нирок</w:t>
            </w:r>
          </w:p>
          <w:p w:rsidR="00535331" w:rsidRPr="00EC25B7" w:rsidRDefault="00535331" w:rsidP="00EC25B7">
            <w:pPr>
              <w:rPr>
                <w:sz w:val="20"/>
                <w:szCs w:val="20"/>
              </w:rPr>
            </w:pPr>
          </w:p>
        </w:tc>
        <w:tc>
          <w:tcPr>
            <w:tcW w:w="1276"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498 (13,32)</w:t>
            </w:r>
          </w:p>
        </w:tc>
        <w:tc>
          <w:tcPr>
            <w:tcW w:w="1984"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332 (13,32)</w:t>
            </w:r>
          </w:p>
        </w:tc>
        <w:tc>
          <w:tcPr>
            <w:tcW w:w="1985"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166 (13,32)</w:t>
            </w:r>
          </w:p>
        </w:tc>
        <w:tc>
          <w:tcPr>
            <w:tcW w:w="1430"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0,996</w:t>
            </w:r>
          </w:p>
        </w:tc>
      </w:tr>
      <w:tr w:rsidR="00535331" w:rsidRPr="00BC641F" w:rsidTr="000A5F1C">
        <w:trPr>
          <w:trHeight w:hRule="exact" w:val="496"/>
        </w:trPr>
        <w:tc>
          <w:tcPr>
            <w:tcW w:w="2977" w:type="dxa"/>
            <w:shd w:val="clear" w:color="auto" w:fill="FFFFFF"/>
          </w:tcPr>
          <w:p w:rsidR="00535331" w:rsidRPr="00EC25B7" w:rsidRDefault="00E22C95" w:rsidP="00035A95">
            <w:pPr>
              <w:jc w:val="left"/>
              <w:rPr>
                <w:sz w:val="20"/>
                <w:szCs w:val="20"/>
              </w:rPr>
            </w:pPr>
            <w:r>
              <w:rPr>
                <w:sz w:val="20"/>
                <w:szCs w:val="20"/>
                <w:lang w:val="uk-UA"/>
              </w:rPr>
              <w:t>К</w:t>
            </w:r>
            <w:r w:rsidR="00035A95" w:rsidRPr="00035A95">
              <w:rPr>
                <w:sz w:val="20"/>
                <w:szCs w:val="20"/>
                <w:lang w:val="uk-UA"/>
              </w:rPr>
              <w:t xml:space="preserve">оди, пов'язані </w:t>
            </w:r>
            <w:r w:rsidR="00035A95">
              <w:rPr>
                <w:sz w:val="20"/>
                <w:szCs w:val="20"/>
                <w:lang w:val="uk-UA"/>
              </w:rPr>
              <w:t>і</w:t>
            </w:r>
            <w:r w:rsidR="00035A95" w:rsidRPr="00035A95">
              <w:rPr>
                <w:sz w:val="20"/>
                <w:szCs w:val="20"/>
                <w:lang w:val="uk-UA"/>
              </w:rPr>
              <w:t>з вживанням алкоголю</w:t>
            </w:r>
          </w:p>
        </w:tc>
        <w:tc>
          <w:tcPr>
            <w:tcW w:w="1276"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806 (21,56)</w:t>
            </w:r>
          </w:p>
        </w:tc>
        <w:tc>
          <w:tcPr>
            <w:tcW w:w="1984"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533 (21,38)</w:t>
            </w:r>
          </w:p>
        </w:tc>
        <w:tc>
          <w:tcPr>
            <w:tcW w:w="1985"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273(21,91)</w:t>
            </w:r>
          </w:p>
        </w:tc>
        <w:tc>
          <w:tcPr>
            <w:tcW w:w="1430"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0,710</w:t>
            </w:r>
          </w:p>
        </w:tc>
      </w:tr>
      <w:tr w:rsidR="00535331" w:rsidRPr="00BC641F" w:rsidTr="000A5F1C">
        <w:trPr>
          <w:trHeight w:hRule="exact" w:val="202"/>
        </w:trPr>
        <w:tc>
          <w:tcPr>
            <w:tcW w:w="2977" w:type="dxa"/>
            <w:shd w:val="clear" w:color="auto" w:fill="FFFFFF"/>
          </w:tcPr>
          <w:p w:rsidR="00035A95" w:rsidRPr="00035A95" w:rsidRDefault="00E22C95" w:rsidP="00035A95">
            <w:pPr>
              <w:autoSpaceDE w:val="0"/>
              <w:autoSpaceDN w:val="0"/>
              <w:adjustRightInd w:val="0"/>
              <w:rPr>
                <w:sz w:val="20"/>
                <w:szCs w:val="20"/>
                <w:lang w:val="uk-UA"/>
              </w:rPr>
            </w:pPr>
            <w:r>
              <w:rPr>
                <w:sz w:val="20"/>
                <w:szCs w:val="20"/>
                <w:lang w:val="uk-UA"/>
              </w:rPr>
              <w:t>К</w:t>
            </w:r>
            <w:r w:rsidR="00035A95" w:rsidRPr="00035A95">
              <w:rPr>
                <w:sz w:val="20"/>
                <w:szCs w:val="20"/>
                <w:lang w:val="uk-UA"/>
              </w:rPr>
              <w:t>оди, пов'язані з курінням</w:t>
            </w:r>
          </w:p>
          <w:p w:rsidR="00535331" w:rsidRPr="00EC25B7" w:rsidRDefault="00535331" w:rsidP="00EC25B7">
            <w:pPr>
              <w:rPr>
                <w:sz w:val="20"/>
                <w:szCs w:val="20"/>
              </w:rPr>
            </w:pPr>
          </w:p>
        </w:tc>
        <w:tc>
          <w:tcPr>
            <w:tcW w:w="1276"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1261 (33,73)</w:t>
            </w:r>
          </w:p>
        </w:tc>
        <w:tc>
          <w:tcPr>
            <w:tcW w:w="1984"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849 (34,06)</w:t>
            </w:r>
          </w:p>
        </w:tc>
        <w:tc>
          <w:tcPr>
            <w:tcW w:w="1985"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412 (33,07)</w:t>
            </w:r>
          </w:p>
        </w:tc>
        <w:tc>
          <w:tcPr>
            <w:tcW w:w="1430"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0,546</w:t>
            </w:r>
          </w:p>
        </w:tc>
      </w:tr>
      <w:tr w:rsidR="00535331" w:rsidRPr="00BC641F" w:rsidTr="000A5F1C">
        <w:trPr>
          <w:trHeight w:hRule="exact" w:val="505"/>
        </w:trPr>
        <w:tc>
          <w:tcPr>
            <w:tcW w:w="2977" w:type="dxa"/>
            <w:shd w:val="clear" w:color="auto" w:fill="FFFFFF"/>
          </w:tcPr>
          <w:p w:rsidR="00035A95" w:rsidRPr="00035A95" w:rsidRDefault="00035A95" w:rsidP="00035A95">
            <w:pPr>
              <w:autoSpaceDE w:val="0"/>
              <w:autoSpaceDN w:val="0"/>
              <w:adjustRightInd w:val="0"/>
              <w:jc w:val="left"/>
              <w:rPr>
                <w:sz w:val="20"/>
                <w:szCs w:val="20"/>
                <w:lang w:val="uk-UA"/>
              </w:rPr>
            </w:pPr>
            <w:r w:rsidRPr="00035A95">
              <w:rPr>
                <w:sz w:val="20"/>
                <w:szCs w:val="20"/>
                <w:lang w:val="uk-UA"/>
              </w:rPr>
              <w:t>Довгострокове застосування лікарських препаратів</w:t>
            </w:r>
            <w:r w:rsidR="00297C61">
              <w:rPr>
                <w:sz w:val="20"/>
                <w:szCs w:val="20"/>
                <w:lang w:val="uk-UA"/>
              </w:rPr>
              <w:t>:</w:t>
            </w:r>
          </w:p>
          <w:p w:rsidR="00535331" w:rsidRPr="00EC25B7" w:rsidRDefault="00535331" w:rsidP="00035A95">
            <w:pPr>
              <w:jc w:val="left"/>
              <w:rPr>
                <w:sz w:val="20"/>
                <w:szCs w:val="20"/>
              </w:rPr>
            </w:pPr>
          </w:p>
        </w:tc>
        <w:tc>
          <w:tcPr>
            <w:tcW w:w="1276" w:type="dxa"/>
            <w:shd w:val="clear" w:color="auto" w:fill="FFFFFF"/>
          </w:tcPr>
          <w:p w:rsidR="00535331" w:rsidRPr="00EC25B7" w:rsidRDefault="00535331" w:rsidP="009F62A8">
            <w:pPr>
              <w:rPr>
                <w:sz w:val="20"/>
                <w:szCs w:val="20"/>
              </w:rPr>
            </w:pPr>
          </w:p>
        </w:tc>
        <w:tc>
          <w:tcPr>
            <w:tcW w:w="1984" w:type="dxa"/>
            <w:shd w:val="clear" w:color="auto" w:fill="FFFFFF"/>
          </w:tcPr>
          <w:p w:rsidR="00535331" w:rsidRPr="00EC25B7" w:rsidRDefault="00535331" w:rsidP="009F62A8">
            <w:pPr>
              <w:rPr>
                <w:sz w:val="20"/>
                <w:szCs w:val="20"/>
              </w:rPr>
            </w:pPr>
          </w:p>
        </w:tc>
        <w:tc>
          <w:tcPr>
            <w:tcW w:w="1985" w:type="dxa"/>
            <w:shd w:val="clear" w:color="auto" w:fill="FFFFFF"/>
          </w:tcPr>
          <w:p w:rsidR="00535331" w:rsidRPr="00EC25B7" w:rsidRDefault="00535331" w:rsidP="009F62A8">
            <w:pPr>
              <w:rPr>
                <w:sz w:val="20"/>
                <w:szCs w:val="20"/>
              </w:rPr>
            </w:pPr>
          </w:p>
        </w:tc>
        <w:tc>
          <w:tcPr>
            <w:tcW w:w="1430" w:type="dxa"/>
            <w:shd w:val="clear" w:color="auto" w:fill="FFFFFF"/>
          </w:tcPr>
          <w:p w:rsidR="00535331" w:rsidRPr="00EC25B7" w:rsidRDefault="00535331" w:rsidP="009F62A8">
            <w:pPr>
              <w:rPr>
                <w:sz w:val="20"/>
                <w:szCs w:val="20"/>
              </w:rPr>
            </w:pPr>
          </w:p>
        </w:tc>
      </w:tr>
      <w:tr w:rsidR="00535331" w:rsidRPr="00BC641F" w:rsidTr="000A5F1C">
        <w:trPr>
          <w:trHeight w:hRule="exact" w:val="211"/>
        </w:trPr>
        <w:tc>
          <w:tcPr>
            <w:tcW w:w="2977" w:type="dxa"/>
            <w:shd w:val="clear" w:color="auto" w:fill="FFFFFF"/>
          </w:tcPr>
          <w:p w:rsidR="00535331" w:rsidRPr="00035A95" w:rsidRDefault="00535331" w:rsidP="00EC25B7">
            <w:pPr>
              <w:rPr>
                <w:sz w:val="20"/>
                <w:szCs w:val="20"/>
                <w:lang w:val="uk-UA"/>
              </w:rPr>
            </w:pPr>
            <w:proofErr w:type="spellStart"/>
            <w:r w:rsidRPr="00EC25B7">
              <w:rPr>
                <w:sz w:val="20"/>
                <w:szCs w:val="20"/>
              </w:rPr>
              <w:t>статин</w:t>
            </w:r>
            <w:proofErr w:type="spellEnd"/>
            <w:r w:rsidR="00035A95">
              <w:rPr>
                <w:sz w:val="20"/>
                <w:szCs w:val="20"/>
                <w:lang w:val="uk-UA"/>
              </w:rPr>
              <w:t>и</w:t>
            </w:r>
          </w:p>
        </w:tc>
        <w:tc>
          <w:tcPr>
            <w:tcW w:w="1276"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569 (15,22)</w:t>
            </w:r>
          </w:p>
        </w:tc>
        <w:tc>
          <w:tcPr>
            <w:tcW w:w="1984"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385 (15,44)</w:t>
            </w:r>
          </w:p>
        </w:tc>
        <w:tc>
          <w:tcPr>
            <w:tcW w:w="1985"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184 (14,77)</w:t>
            </w:r>
          </w:p>
        </w:tc>
        <w:tc>
          <w:tcPr>
            <w:tcW w:w="1430"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0,588</w:t>
            </w:r>
          </w:p>
        </w:tc>
      </w:tr>
      <w:tr w:rsidR="00535331" w:rsidRPr="00BC641F" w:rsidTr="000A5F1C">
        <w:trPr>
          <w:trHeight w:hRule="exact" w:val="501"/>
        </w:trPr>
        <w:tc>
          <w:tcPr>
            <w:tcW w:w="2977" w:type="dxa"/>
            <w:shd w:val="clear" w:color="auto" w:fill="FFFFFF"/>
          </w:tcPr>
          <w:p w:rsidR="00535331" w:rsidRPr="00EC25B7" w:rsidRDefault="007417A6" w:rsidP="006753FD">
            <w:pPr>
              <w:jc w:val="left"/>
              <w:rPr>
                <w:sz w:val="20"/>
                <w:szCs w:val="20"/>
              </w:rPr>
            </w:pPr>
            <w:r w:rsidRPr="00035A95">
              <w:rPr>
                <w:sz w:val="20"/>
                <w:szCs w:val="20"/>
                <w:lang w:val="uk-UA"/>
              </w:rPr>
              <w:t xml:space="preserve">інгібітор </w:t>
            </w:r>
            <w:proofErr w:type="spellStart"/>
            <w:r w:rsidRPr="00035A95">
              <w:rPr>
                <w:sz w:val="20"/>
                <w:szCs w:val="20"/>
                <w:lang w:val="uk-UA"/>
              </w:rPr>
              <w:t>ангіотензинперетво</w:t>
            </w:r>
            <w:r w:rsidR="006753FD">
              <w:rPr>
                <w:sz w:val="20"/>
                <w:szCs w:val="20"/>
                <w:lang w:val="uk-UA"/>
              </w:rPr>
              <w:t>-</w:t>
            </w:r>
            <w:r w:rsidRPr="00035A95">
              <w:rPr>
                <w:sz w:val="20"/>
                <w:szCs w:val="20"/>
                <w:lang w:val="uk-UA"/>
              </w:rPr>
              <w:t>рю</w:t>
            </w:r>
            <w:r>
              <w:rPr>
                <w:sz w:val="20"/>
                <w:szCs w:val="20"/>
                <w:lang w:val="uk-UA"/>
              </w:rPr>
              <w:t>вальн</w:t>
            </w:r>
            <w:r w:rsidRPr="00035A95">
              <w:rPr>
                <w:sz w:val="20"/>
                <w:szCs w:val="20"/>
                <w:lang w:val="uk-UA"/>
              </w:rPr>
              <w:t>ого</w:t>
            </w:r>
            <w:proofErr w:type="spellEnd"/>
            <w:r w:rsidRPr="00035A95">
              <w:rPr>
                <w:sz w:val="20"/>
                <w:szCs w:val="20"/>
                <w:lang w:val="uk-UA"/>
              </w:rPr>
              <w:t xml:space="preserve"> ферменту</w:t>
            </w:r>
          </w:p>
        </w:tc>
        <w:tc>
          <w:tcPr>
            <w:tcW w:w="1276"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472 (12,62)</w:t>
            </w:r>
          </w:p>
        </w:tc>
        <w:tc>
          <w:tcPr>
            <w:tcW w:w="1984"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327 (13,12)</w:t>
            </w:r>
          </w:p>
        </w:tc>
        <w:tc>
          <w:tcPr>
            <w:tcW w:w="1985"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145 (11,64)</w:t>
            </w:r>
          </w:p>
        </w:tc>
        <w:tc>
          <w:tcPr>
            <w:tcW w:w="1430"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0,199</w:t>
            </w:r>
          </w:p>
        </w:tc>
      </w:tr>
      <w:tr w:rsidR="00535331" w:rsidRPr="00BC641F" w:rsidTr="000A5F1C">
        <w:trPr>
          <w:trHeight w:hRule="exact" w:val="192"/>
        </w:trPr>
        <w:tc>
          <w:tcPr>
            <w:tcW w:w="2977" w:type="dxa"/>
            <w:shd w:val="clear" w:color="auto" w:fill="FFFFFF"/>
          </w:tcPr>
          <w:p w:rsidR="00535331" w:rsidRPr="00EC25B7" w:rsidRDefault="00535331" w:rsidP="00EC25B7">
            <w:pPr>
              <w:rPr>
                <w:sz w:val="20"/>
                <w:szCs w:val="20"/>
              </w:rPr>
            </w:pPr>
            <w:proofErr w:type="spellStart"/>
            <w:r w:rsidRPr="00EC25B7">
              <w:rPr>
                <w:sz w:val="20"/>
                <w:szCs w:val="20"/>
              </w:rPr>
              <w:t>предн</w:t>
            </w:r>
            <w:proofErr w:type="spellEnd"/>
            <w:r w:rsidR="007417A6">
              <w:rPr>
                <w:sz w:val="20"/>
                <w:szCs w:val="20"/>
                <w:lang w:val="uk-UA"/>
              </w:rPr>
              <w:t>і</w:t>
            </w:r>
            <w:proofErr w:type="spellStart"/>
            <w:r w:rsidRPr="00EC25B7">
              <w:rPr>
                <w:sz w:val="20"/>
                <w:szCs w:val="20"/>
              </w:rPr>
              <w:t>золон</w:t>
            </w:r>
            <w:proofErr w:type="spellEnd"/>
          </w:p>
        </w:tc>
        <w:tc>
          <w:tcPr>
            <w:tcW w:w="1276"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74 (1,98)</w:t>
            </w:r>
          </w:p>
        </w:tc>
        <w:tc>
          <w:tcPr>
            <w:tcW w:w="1984"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56 (2,25)</w:t>
            </w:r>
          </w:p>
        </w:tc>
        <w:tc>
          <w:tcPr>
            <w:tcW w:w="1985"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18 (1,44)</w:t>
            </w:r>
          </w:p>
        </w:tc>
        <w:tc>
          <w:tcPr>
            <w:tcW w:w="1430"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0,097</w:t>
            </w:r>
          </w:p>
        </w:tc>
      </w:tr>
      <w:tr w:rsidR="00535331" w:rsidRPr="00BC641F" w:rsidTr="000A5F1C">
        <w:trPr>
          <w:trHeight w:hRule="exact" w:val="202"/>
        </w:trPr>
        <w:tc>
          <w:tcPr>
            <w:tcW w:w="2977" w:type="dxa"/>
            <w:shd w:val="clear" w:color="auto" w:fill="FFFFFF"/>
          </w:tcPr>
          <w:p w:rsidR="00535331" w:rsidRPr="00EC25B7" w:rsidRDefault="00535331" w:rsidP="00EC25B7">
            <w:pPr>
              <w:rPr>
                <w:sz w:val="20"/>
                <w:szCs w:val="20"/>
              </w:rPr>
            </w:pPr>
            <w:r w:rsidRPr="00EC25B7">
              <w:rPr>
                <w:sz w:val="20"/>
                <w:szCs w:val="20"/>
              </w:rPr>
              <w:t>г</w:t>
            </w:r>
            <w:r w:rsidR="007417A6">
              <w:rPr>
                <w:sz w:val="20"/>
                <w:szCs w:val="20"/>
                <w:lang w:val="uk-UA"/>
              </w:rPr>
              <w:t>і</w:t>
            </w:r>
            <w:proofErr w:type="spellStart"/>
            <w:r w:rsidRPr="00EC25B7">
              <w:rPr>
                <w:sz w:val="20"/>
                <w:szCs w:val="20"/>
              </w:rPr>
              <w:t>дрохлорот</w:t>
            </w:r>
            <w:proofErr w:type="spellEnd"/>
            <w:r w:rsidR="007417A6">
              <w:rPr>
                <w:sz w:val="20"/>
                <w:szCs w:val="20"/>
                <w:lang w:val="uk-UA"/>
              </w:rPr>
              <w:t>і</w:t>
            </w:r>
            <w:r w:rsidRPr="00EC25B7">
              <w:rPr>
                <w:sz w:val="20"/>
                <w:szCs w:val="20"/>
              </w:rPr>
              <w:t>азид</w:t>
            </w:r>
          </w:p>
        </w:tc>
        <w:tc>
          <w:tcPr>
            <w:tcW w:w="1276"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41 (1,1)</w:t>
            </w:r>
          </w:p>
        </w:tc>
        <w:tc>
          <w:tcPr>
            <w:tcW w:w="1984"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29 (1,16)</w:t>
            </w:r>
          </w:p>
        </w:tc>
        <w:tc>
          <w:tcPr>
            <w:tcW w:w="1985"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12 (0,96)</w:t>
            </w:r>
          </w:p>
        </w:tc>
        <w:tc>
          <w:tcPr>
            <w:tcW w:w="1430"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0,580</w:t>
            </w:r>
          </w:p>
        </w:tc>
      </w:tr>
      <w:tr w:rsidR="00535331" w:rsidRPr="00BC641F" w:rsidTr="000A5F1C">
        <w:trPr>
          <w:trHeight w:hRule="exact" w:val="192"/>
        </w:trPr>
        <w:tc>
          <w:tcPr>
            <w:tcW w:w="2977" w:type="dxa"/>
            <w:shd w:val="clear" w:color="auto" w:fill="FFFFFF"/>
          </w:tcPr>
          <w:p w:rsidR="00535331" w:rsidRPr="00EC25B7" w:rsidRDefault="007417A6" w:rsidP="00EC25B7">
            <w:pPr>
              <w:rPr>
                <w:sz w:val="20"/>
                <w:szCs w:val="20"/>
              </w:rPr>
            </w:pPr>
            <w:r w:rsidRPr="00035A95">
              <w:rPr>
                <w:sz w:val="20"/>
                <w:szCs w:val="20"/>
                <w:lang w:val="uk-UA"/>
              </w:rPr>
              <w:t>статеві гормони</w:t>
            </w:r>
          </w:p>
        </w:tc>
        <w:tc>
          <w:tcPr>
            <w:tcW w:w="1276"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180 (4,81)</w:t>
            </w:r>
          </w:p>
        </w:tc>
        <w:tc>
          <w:tcPr>
            <w:tcW w:w="1984"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129 (5,17)</w:t>
            </w:r>
          </w:p>
        </w:tc>
        <w:tc>
          <w:tcPr>
            <w:tcW w:w="1985"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51 (4,09)</w:t>
            </w:r>
          </w:p>
        </w:tc>
        <w:tc>
          <w:tcPr>
            <w:tcW w:w="1430"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0,145</w:t>
            </w:r>
          </w:p>
        </w:tc>
      </w:tr>
      <w:tr w:rsidR="00535331" w:rsidRPr="00BC641F" w:rsidTr="000A5F1C">
        <w:trPr>
          <w:trHeight w:hRule="exact" w:val="197"/>
        </w:trPr>
        <w:tc>
          <w:tcPr>
            <w:tcW w:w="2977" w:type="dxa"/>
            <w:shd w:val="clear" w:color="auto" w:fill="FFFFFF"/>
          </w:tcPr>
          <w:p w:rsidR="00535331" w:rsidRPr="00EC25B7" w:rsidRDefault="00535331" w:rsidP="00EC25B7">
            <w:pPr>
              <w:rPr>
                <w:sz w:val="20"/>
                <w:szCs w:val="20"/>
              </w:rPr>
            </w:pPr>
            <w:proofErr w:type="spellStart"/>
            <w:r w:rsidRPr="00EC25B7">
              <w:rPr>
                <w:sz w:val="20"/>
                <w:szCs w:val="20"/>
              </w:rPr>
              <w:t>метформ</w:t>
            </w:r>
            <w:proofErr w:type="spellEnd"/>
            <w:r w:rsidR="007417A6">
              <w:rPr>
                <w:sz w:val="20"/>
                <w:szCs w:val="20"/>
                <w:lang w:val="uk-UA"/>
              </w:rPr>
              <w:t>і</w:t>
            </w:r>
            <w:r w:rsidRPr="00EC25B7">
              <w:rPr>
                <w:sz w:val="20"/>
                <w:szCs w:val="20"/>
              </w:rPr>
              <w:t>н</w:t>
            </w:r>
          </w:p>
        </w:tc>
        <w:tc>
          <w:tcPr>
            <w:tcW w:w="1276"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434 (11,61)</w:t>
            </w:r>
          </w:p>
        </w:tc>
        <w:tc>
          <w:tcPr>
            <w:tcW w:w="1984"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290 (11,63)</w:t>
            </w:r>
          </w:p>
        </w:tc>
        <w:tc>
          <w:tcPr>
            <w:tcW w:w="1985"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144 (11,56)</w:t>
            </w:r>
          </w:p>
        </w:tc>
        <w:tc>
          <w:tcPr>
            <w:tcW w:w="1430"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0,946</w:t>
            </w:r>
          </w:p>
        </w:tc>
      </w:tr>
      <w:tr w:rsidR="00535331" w:rsidRPr="00BC641F" w:rsidTr="000A5F1C">
        <w:trPr>
          <w:trHeight w:hRule="exact" w:val="202"/>
        </w:trPr>
        <w:tc>
          <w:tcPr>
            <w:tcW w:w="2977" w:type="dxa"/>
            <w:shd w:val="clear" w:color="auto" w:fill="FFFFFF"/>
          </w:tcPr>
          <w:p w:rsidR="007417A6" w:rsidRPr="00035A95" w:rsidRDefault="007417A6" w:rsidP="007417A6">
            <w:pPr>
              <w:autoSpaceDE w:val="0"/>
              <w:autoSpaceDN w:val="0"/>
              <w:adjustRightInd w:val="0"/>
              <w:rPr>
                <w:sz w:val="20"/>
                <w:szCs w:val="20"/>
                <w:lang w:val="uk-UA"/>
              </w:rPr>
            </w:pPr>
            <w:r w:rsidRPr="00035A95">
              <w:rPr>
                <w:sz w:val="20"/>
                <w:szCs w:val="20"/>
                <w:lang w:val="uk-UA"/>
              </w:rPr>
              <w:t>Число епізодів Р</w:t>
            </w:r>
            <w:r>
              <w:rPr>
                <w:sz w:val="20"/>
                <w:szCs w:val="20"/>
                <w:lang w:val="uk-UA"/>
              </w:rPr>
              <w:t>Г</w:t>
            </w:r>
            <w:r w:rsidRPr="00035A95">
              <w:rPr>
                <w:sz w:val="20"/>
                <w:szCs w:val="20"/>
                <w:lang w:val="uk-UA"/>
              </w:rPr>
              <w:t>П</w:t>
            </w:r>
          </w:p>
          <w:p w:rsidR="00535331" w:rsidRPr="00EC25B7" w:rsidRDefault="00535331" w:rsidP="007417A6">
            <w:pPr>
              <w:jc w:val="left"/>
              <w:rPr>
                <w:sz w:val="20"/>
                <w:szCs w:val="20"/>
              </w:rPr>
            </w:pPr>
          </w:p>
        </w:tc>
        <w:tc>
          <w:tcPr>
            <w:tcW w:w="1276" w:type="dxa"/>
            <w:shd w:val="clear" w:color="auto" w:fill="FFFFFF"/>
          </w:tcPr>
          <w:p w:rsidR="00535331" w:rsidRPr="00EC25B7" w:rsidRDefault="00535331" w:rsidP="009F62A8">
            <w:pPr>
              <w:rPr>
                <w:sz w:val="20"/>
                <w:szCs w:val="20"/>
              </w:rPr>
            </w:pPr>
          </w:p>
        </w:tc>
        <w:tc>
          <w:tcPr>
            <w:tcW w:w="1984" w:type="dxa"/>
            <w:shd w:val="clear" w:color="auto" w:fill="FFFFFF"/>
          </w:tcPr>
          <w:p w:rsidR="00535331" w:rsidRPr="00EC25B7" w:rsidRDefault="00535331" w:rsidP="009F62A8">
            <w:pPr>
              <w:rPr>
                <w:sz w:val="20"/>
                <w:szCs w:val="20"/>
              </w:rPr>
            </w:pPr>
          </w:p>
        </w:tc>
        <w:tc>
          <w:tcPr>
            <w:tcW w:w="1985" w:type="dxa"/>
            <w:shd w:val="clear" w:color="auto" w:fill="FFFFFF"/>
          </w:tcPr>
          <w:p w:rsidR="00535331" w:rsidRPr="00EC25B7" w:rsidRDefault="00535331" w:rsidP="009F62A8">
            <w:pPr>
              <w:rPr>
                <w:sz w:val="20"/>
                <w:szCs w:val="20"/>
              </w:rPr>
            </w:pPr>
          </w:p>
        </w:tc>
        <w:tc>
          <w:tcPr>
            <w:tcW w:w="1430" w:type="dxa"/>
            <w:shd w:val="clear" w:color="auto" w:fill="FFFFFF"/>
          </w:tcPr>
          <w:p w:rsidR="00535331" w:rsidRPr="00EC25B7" w:rsidRDefault="00535331" w:rsidP="009F62A8">
            <w:pPr>
              <w:rPr>
                <w:sz w:val="20"/>
                <w:szCs w:val="20"/>
              </w:rPr>
            </w:pPr>
          </w:p>
        </w:tc>
      </w:tr>
      <w:tr w:rsidR="00535331" w:rsidRPr="00BC641F" w:rsidTr="000A5F1C">
        <w:trPr>
          <w:trHeight w:hRule="exact" w:val="192"/>
        </w:trPr>
        <w:tc>
          <w:tcPr>
            <w:tcW w:w="2977" w:type="dxa"/>
            <w:shd w:val="clear" w:color="auto" w:fill="FFFFFF"/>
          </w:tcPr>
          <w:p w:rsidR="00535331" w:rsidRPr="00EC25B7" w:rsidRDefault="00535331" w:rsidP="00EC25B7">
            <w:pPr>
              <w:rPr>
                <w:sz w:val="20"/>
                <w:szCs w:val="20"/>
              </w:rPr>
            </w:pPr>
            <w:r w:rsidRPr="00EC25B7">
              <w:rPr>
                <w:sz w:val="20"/>
                <w:szCs w:val="20"/>
              </w:rPr>
              <w:t>1</w:t>
            </w:r>
          </w:p>
        </w:tc>
        <w:tc>
          <w:tcPr>
            <w:tcW w:w="1276"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2645 (70,74)</w:t>
            </w:r>
          </w:p>
        </w:tc>
        <w:tc>
          <w:tcPr>
            <w:tcW w:w="1984"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1769 (70,96)</w:t>
            </w:r>
          </w:p>
        </w:tc>
        <w:tc>
          <w:tcPr>
            <w:tcW w:w="1985"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876 (70,3)</w:t>
            </w:r>
          </w:p>
        </w:tc>
        <w:tc>
          <w:tcPr>
            <w:tcW w:w="1430"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0,707</w:t>
            </w:r>
          </w:p>
        </w:tc>
      </w:tr>
      <w:tr w:rsidR="00535331" w:rsidRPr="00BC641F" w:rsidTr="000A5F1C">
        <w:trPr>
          <w:trHeight w:hRule="exact" w:val="197"/>
        </w:trPr>
        <w:tc>
          <w:tcPr>
            <w:tcW w:w="2977" w:type="dxa"/>
            <w:shd w:val="clear" w:color="auto" w:fill="FFFFFF"/>
          </w:tcPr>
          <w:p w:rsidR="00535331" w:rsidRPr="00EC25B7" w:rsidRDefault="00535331" w:rsidP="00EC25B7">
            <w:pPr>
              <w:rPr>
                <w:sz w:val="20"/>
                <w:szCs w:val="20"/>
              </w:rPr>
            </w:pPr>
            <w:r w:rsidRPr="00EC25B7">
              <w:rPr>
                <w:sz w:val="20"/>
                <w:szCs w:val="20"/>
              </w:rPr>
              <w:t>2</w:t>
            </w:r>
          </w:p>
        </w:tc>
        <w:tc>
          <w:tcPr>
            <w:tcW w:w="1276"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599 (16,02)</w:t>
            </w:r>
          </w:p>
        </w:tc>
        <w:tc>
          <w:tcPr>
            <w:tcW w:w="1984"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403 (16,17)</w:t>
            </w:r>
          </w:p>
        </w:tc>
        <w:tc>
          <w:tcPr>
            <w:tcW w:w="1985"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196 (15,73)</w:t>
            </w:r>
          </w:p>
        </w:tc>
        <w:tc>
          <w:tcPr>
            <w:tcW w:w="1430"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0,768</w:t>
            </w:r>
          </w:p>
        </w:tc>
      </w:tr>
      <w:tr w:rsidR="00535331" w:rsidRPr="00BC641F" w:rsidTr="000A5F1C">
        <w:trPr>
          <w:trHeight w:hRule="exact" w:val="197"/>
        </w:trPr>
        <w:tc>
          <w:tcPr>
            <w:tcW w:w="2977" w:type="dxa"/>
            <w:shd w:val="clear" w:color="auto" w:fill="FFFFFF"/>
          </w:tcPr>
          <w:p w:rsidR="00535331" w:rsidRPr="00EC25B7" w:rsidRDefault="00535331" w:rsidP="00EC25B7">
            <w:pPr>
              <w:rPr>
                <w:sz w:val="20"/>
                <w:szCs w:val="20"/>
              </w:rPr>
            </w:pPr>
            <w:r w:rsidRPr="00EC25B7">
              <w:rPr>
                <w:sz w:val="20"/>
                <w:szCs w:val="20"/>
              </w:rPr>
              <w:t>3</w:t>
            </w:r>
          </w:p>
        </w:tc>
        <w:tc>
          <w:tcPr>
            <w:tcW w:w="1276"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234 (6,26)</w:t>
            </w:r>
          </w:p>
        </w:tc>
        <w:tc>
          <w:tcPr>
            <w:tcW w:w="1984"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153 (6,14)</w:t>
            </w:r>
          </w:p>
        </w:tc>
        <w:tc>
          <w:tcPr>
            <w:tcW w:w="1985"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81 (6,5)</w:t>
            </w:r>
          </w:p>
        </w:tc>
        <w:tc>
          <w:tcPr>
            <w:tcW w:w="1430"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0,718</w:t>
            </w:r>
          </w:p>
        </w:tc>
      </w:tr>
      <w:tr w:rsidR="00535331" w:rsidRPr="00BC641F" w:rsidTr="000A5F1C">
        <w:trPr>
          <w:trHeight w:hRule="exact" w:val="202"/>
        </w:trPr>
        <w:tc>
          <w:tcPr>
            <w:tcW w:w="2977" w:type="dxa"/>
            <w:shd w:val="clear" w:color="auto" w:fill="FFFFFF"/>
          </w:tcPr>
          <w:p w:rsidR="00535331" w:rsidRPr="00EC25B7" w:rsidRDefault="003130D2" w:rsidP="00EC25B7">
            <w:pPr>
              <w:rPr>
                <w:sz w:val="20"/>
                <w:szCs w:val="20"/>
              </w:rPr>
            </w:pPr>
            <w:r w:rsidRPr="00EC25B7">
              <w:rPr>
                <w:sz w:val="20"/>
                <w:szCs w:val="20"/>
              </w:rPr>
              <w:t>≥</w:t>
            </w:r>
            <w:r w:rsidR="00535331" w:rsidRPr="00EC25B7">
              <w:rPr>
                <w:sz w:val="20"/>
                <w:szCs w:val="20"/>
              </w:rPr>
              <w:t xml:space="preserve"> 4</w:t>
            </w:r>
          </w:p>
        </w:tc>
        <w:tc>
          <w:tcPr>
            <w:tcW w:w="1276"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261 (6,98)</w:t>
            </w:r>
          </w:p>
        </w:tc>
        <w:tc>
          <w:tcPr>
            <w:tcW w:w="1984"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168 (6,74)</w:t>
            </w:r>
          </w:p>
        </w:tc>
        <w:tc>
          <w:tcPr>
            <w:tcW w:w="1985"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93 (7,46)</w:t>
            </w:r>
          </w:p>
        </w:tc>
        <w:tc>
          <w:tcPr>
            <w:tcW w:w="1430"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0,452</w:t>
            </w:r>
          </w:p>
        </w:tc>
      </w:tr>
      <w:tr w:rsidR="00535331" w:rsidRPr="00BC641F" w:rsidTr="000A5F1C">
        <w:trPr>
          <w:trHeight w:hRule="exact" w:val="182"/>
        </w:trPr>
        <w:tc>
          <w:tcPr>
            <w:tcW w:w="2977" w:type="dxa"/>
            <w:shd w:val="clear" w:color="auto" w:fill="FFFFFF"/>
          </w:tcPr>
          <w:p w:rsidR="00535331" w:rsidRPr="007417A6" w:rsidRDefault="007417A6" w:rsidP="00EC25B7">
            <w:pPr>
              <w:rPr>
                <w:sz w:val="20"/>
                <w:szCs w:val="20"/>
                <w:lang w:val="uk-UA"/>
              </w:rPr>
            </w:pPr>
            <w:r>
              <w:rPr>
                <w:sz w:val="20"/>
                <w:szCs w:val="20"/>
                <w:lang w:val="uk-UA"/>
              </w:rPr>
              <w:t>Результати</w:t>
            </w:r>
          </w:p>
        </w:tc>
        <w:tc>
          <w:tcPr>
            <w:tcW w:w="1276" w:type="dxa"/>
            <w:shd w:val="clear" w:color="auto" w:fill="FFFFFF"/>
          </w:tcPr>
          <w:p w:rsidR="00535331" w:rsidRPr="00EC25B7" w:rsidRDefault="00535331" w:rsidP="009F62A8">
            <w:pPr>
              <w:rPr>
                <w:sz w:val="20"/>
                <w:szCs w:val="20"/>
              </w:rPr>
            </w:pPr>
          </w:p>
        </w:tc>
        <w:tc>
          <w:tcPr>
            <w:tcW w:w="1984" w:type="dxa"/>
            <w:shd w:val="clear" w:color="auto" w:fill="FFFFFF"/>
          </w:tcPr>
          <w:p w:rsidR="00535331" w:rsidRPr="00EC25B7" w:rsidRDefault="00535331" w:rsidP="009F62A8">
            <w:pPr>
              <w:rPr>
                <w:sz w:val="20"/>
                <w:szCs w:val="20"/>
              </w:rPr>
            </w:pPr>
          </w:p>
        </w:tc>
        <w:tc>
          <w:tcPr>
            <w:tcW w:w="1985" w:type="dxa"/>
            <w:shd w:val="clear" w:color="auto" w:fill="FFFFFF"/>
          </w:tcPr>
          <w:p w:rsidR="00535331" w:rsidRPr="00EC25B7" w:rsidRDefault="00535331" w:rsidP="009F62A8">
            <w:pPr>
              <w:rPr>
                <w:sz w:val="20"/>
                <w:szCs w:val="20"/>
              </w:rPr>
            </w:pPr>
          </w:p>
        </w:tc>
        <w:tc>
          <w:tcPr>
            <w:tcW w:w="1430" w:type="dxa"/>
            <w:shd w:val="clear" w:color="auto" w:fill="FFFFFF"/>
          </w:tcPr>
          <w:p w:rsidR="00535331" w:rsidRPr="00EC25B7" w:rsidRDefault="00535331" w:rsidP="009F62A8">
            <w:pPr>
              <w:rPr>
                <w:sz w:val="20"/>
                <w:szCs w:val="20"/>
              </w:rPr>
            </w:pPr>
          </w:p>
        </w:tc>
      </w:tr>
      <w:tr w:rsidR="00535331" w:rsidRPr="00BC641F" w:rsidTr="000A5F1C">
        <w:trPr>
          <w:trHeight w:hRule="exact" w:val="211"/>
        </w:trPr>
        <w:tc>
          <w:tcPr>
            <w:tcW w:w="2977" w:type="dxa"/>
            <w:shd w:val="clear" w:color="auto" w:fill="FFFFFF"/>
          </w:tcPr>
          <w:p w:rsidR="00535331" w:rsidRPr="00EC25B7" w:rsidRDefault="00E20903" w:rsidP="00EC25B7">
            <w:pPr>
              <w:rPr>
                <w:sz w:val="20"/>
                <w:szCs w:val="20"/>
              </w:rPr>
            </w:pPr>
            <w:r w:rsidRPr="00EC25B7">
              <w:rPr>
                <w:sz w:val="20"/>
                <w:szCs w:val="20"/>
              </w:rPr>
              <w:t>ХП</w:t>
            </w:r>
          </w:p>
        </w:tc>
        <w:tc>
          <w:tcPr>
            <w:tcW w:w="1276"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174 (4,65)</w:t>
            </w:r>
          </w:p>
        </w:tc>
        <w:tc>
          <w:tcPr>
            <w:tcW w:w="1984"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113 (4,53)</w:t>
            </w:r>
          </w:p>
        </w:tc>
        <w:tc>
          <w:tcPr>
            <w:tcW w:w="1985"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61 (4,90)</w:t>
            </w:r>
          </w:p>
        </w:tc>
        <w:tc>
          <w:tcPr>
            <w:tcW w:w="1430" w:type="dxa"/>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0,619</w:t>
            </w:r>
          </w:p>
        </w:tc>
      </w:tr>
      <w:tr w:rsidR="00535331" w:rsidRPr="00BC641F" w:rsidTr="000A5F1C">
        <w:trPr>
          <w:trHeight w:hRule="exact" w:val="300"/>
        </w:trPr>
        <w:tc>
          <w:tcPr>
            <w:tcW w:w="2977" w:type="dxa"/>
            <w:tcBorders>
              <w:bottom w:val="single" w:sz="4" w:space="0" w:color="auto"/>
            </w:tcBorders>
            <w:shd w:val="clear" w:color="auto" w:fill="FFFFFF"/>
          </w:tcPr>
          <w:p w:rsidR="00535331" w:rsidRPr="00EC25B7" w:rsidRDefault="007417A6" w:rsidP="007417A6">
            <w:pPr>
              <w:jc w:val="left"/>
              <w:rPr>
                <w:sz w:val="20"/>
                <w:szCs w:val="20"/>
              </w:rPr>
            </w:pPr>
            <w:r>
              <w:rPr>
                <w:sz w:val="20"/>
                <w:szCs w:val="20"/>
                <w:lang w:val="uk-UA"/>
              </w:rPr>
              <w:t>Тривалість спостереження, роки</w:t>
            </w:r>
            <w:r w:rsidR="00535331" w:rsidRPr="00EC25B7">
              <w:rPr>
                <w:sz w:val="20"/>
                <w:szCs w:val="20"/>
              </w:rPr>
              <w:t xml:space="preserve"> </w:t>
            </w:r>
          </w:p>
        </w:tc>
        <w:tc>
          <w:tcPr>
            <w:tcW w:w="1276" w:type="dxa"/>
            <w:tcBorders>
              <w:bottom w:val="single" w:sz="4" w:space="0" w:color="auto"/>
            </w:tcBorders>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6,13</w:t>
            </w:r>
            <w:r w:rsidR="002C4288" w:rsidRPr="00EC25B7">
              <w:rPr>
                <w:rStyle w:val="TimesNewRoman7pt0pt"/>
                <w:rFonts w:eastAsia="Verdana"/>
                <w:color w:val="auto"/>
                <w:sz w:val="20"/>
                <w:szCs w:val="20"/>
                <w:lang w:val="ru-RU"/>
              </w:rPr>
              <w:t>±</w:t>
            </w:r>
            <w:r w:rsidRPr="00EC25B7">
              <w:rPr>
                <w:rStyle w:val="TimesNewRoman7pt0pt"/>
                <w:rFonts w:eastAsia="Verdana"/>
                <w:color w:val="auto"/>
                <w:sz w:val="20"/>
                <w:szCs w:val="20"/>
                <w:lang w:val="ru-RU"/>
              </w:rPr>
              <w:t>3,53</w:t>
            </w:r>
          </w:p>
        </w:tc>
        <w:tc>
          <w:tcPr>
            <w:tcW w:w="1984" w:type="dxa"/>
            <w:tcBorders>
              <w:bottom w:val="single" w:sz="4" w:space="0" w:color="auto"/>
            </w:tcBorders>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6,12</w:t>
            </w:r>
            <w:r w:rsidR="002C4288" w:rsidRPr="00EC25B7">
              <w:rPr>
                <w:rStyle w:val="TimesNewRoman7pt0pt"/>
                <w:rFonts w:eastAsia="Verdana"/>
                <w:color w:val="auto"/>
                <w:sz w:val="20"/>
                <w:szCs w:val="20"/>
                <w:lang w:val="ru-RU"/>
              </w:rPr>
              <w:t>±</w:t>
            </w:r>
            <w:r w:rsidRPr="00EC25B7">
              <w:rPr>
                <w:rStyle w:val="TimesNewRoman7pt0pt"/>
                <w:rFonts w:eastAsia="Verdana"/>
                <w:color w:val="auto"/>
                <w:sz w:val="20"/>
                <w:szCs w:val="20"/>
                <w:lang w:val="ru-RU"/>
              </w:rPr>
              <w:t>3,52</w:t>
            </w:r>
          </w:p>
        </w:tc>
        <w:tc>
          <w:tcPr>
            <w:tcW w:w="1985" w:type="dxa"/>
            <w:tcBorders>
              <w:bottom w:val="single" w:sz="4" w:space="0" w:color="auto"/>
            </w:tcBorders>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6,17</w:t>
            </w:r>
            <w:r w:rsidR="002C4288" w:rsidRPr="00EC25B7">
              <w:rPr>
                <w:rStyle w:val="TimesNewRoman7pt0pt"/>
                <w:rFonts w:eastAsia="Verdana"/>
                <w:color w:val="auto"/>
                <w:sz w:val="20"/>
                <w:szCs w:val="20"/>
                <w:lang w:val="ru-RU"/>
              </w:rPr>
              <w:t>±</w:t>
            </w:r>
            <w:r w:rsidRPr="00EC25B7">
              <w:rPr>
                <w:rStyle w:val="TimesNewRoman7pt0pt"/>
                <w:rFonts w:eastAsia="Verdana"/>
                <w:color w:val="auto"/>
                <w:sz w:val="20"/>
                <w:szCs w:val="20"/>
                <w:lang w:val="ru-RU"/>
              </w:rPr>
              <w:t>3,57</w:t>
            </w:r>
          </w:p>
        </w:tc>
        <w:tc>
          <w:tcPr>
            <w:tcW w:w="1430" w:type="dxa"/>
            <w:tcBorders>
              <w:bottom w:val="single" w:sz="4" w:space="0" w:color="auto"/>
            </w:tcBorders>
            <w:shd w:val="clear" w:color="auto" w:fill="FFFFFF"/>
          </w:tcPr>
          <w:p w:rsidR="00535331" w:rsidRPr="00EC25B7" w:rsidRDefault="00535331" w:rsidP="009F62A8">
            <w:pPr>
              <w:rPr>
                <w:sz w:val="20"/>
                <w:szCs w:val="20"/>
              </w:rPr>
            </w:pPr>
            <w:r w:rsidRPr="00EC25B7">
              <w:rPr>
                <w:rStyle w:val="TimesNewRoman7pt0pt"/>
                <w:rFonts w:eastAsia="Verdana"/>
                <w:color w:val="auto"/>
                <w:sz w:val="20"/>
                <w:szCs w:val="20"/>
                <w:lang w:val="ru-RU"/>
              </w:rPr>
              <w:t>0,685</w:t>
            </w:r>
          </w:p>
        </w:tc>
      </w:tr>
    </w:tbl>
    <w:p w:rsidR="006854A7" w:rsidRPr="00B37F2A" w:rsidRDefault="009C6ED2" w:rsidP="006753FD">
      <w:pPr>
        <w:autoSpaceDE w:val="0"/>
        <w:autoSpaceDN w:val="0"/>
        <w:adjustRightInd w:val="0"/>
        <w:rPr>
          <w:sz w:val="20"/>
          <w:szCs w:val="20"/>
        </w:rPr>
      </w:pPr>
      <w:r w:rsidRPr="00B37F2A">
        <w:rPr>
          <w:sz w:val="20"/>
          <w:szCs w:val="20"/>
        </w:rPr>
        <w:t>НТД</w:t>
      </w:r>
      <w:r w:rsidR="00E52426" w:rsidRPr="00B37F2A">
        <w:rPr>
          <w:sz w:val="20"/>
          <w:szCs w:val="20"/>
        </w:rPr>
        <w:t xml:space="preserve"> — </w:t>
      </w:r>
      <w:r w:rsidRPr="00B37F2A">
        <w:rPr>
          <w:sz w:val="20"/>
          <w:szCs w:val="20"/>
        </w:rPr>
        <w:t>нов</w:t>
      </w:r>
      <w:r w:rsidR="006753FD" w:rsidRPr="00B37F2A">
        <w:rPr>
          <w:sz w:val="20"/>
          <w:szCs w:val="20"/>
          <w:lang w:val="uk-UA"/>
        </w:rPr>
        <w:t>и</w:t>
      </w:r>
      <w:r w:rsidRPr="00B37F2A">
        <w:rPr>
          <w:sz w:val="20"/>
          <w:szCs w:val="20"/>
        </w:rPr>
        <w:t xml:space="preserve">й </w:t>
      </w:r>
      <w:proofErr w:type="spellStart"/>
      <w:r w:rsidRPr="00B37F2A">
        <w:rPr>
          <w:sz w:val="20"/>
          <w:szCs w:val="20"/>
        </w:rPr>
        <w:t>тайванс</w:t>
      </w:r>
      <w:proofErr w:type="spellEnd"/>
      <w:r w:rsidR="006753FD" w:rsidRPr="00B37F2A">
        <w:rPr>
          <w:sz w:val="20"/>
          <w:szCs w:val="20"/>
          <w:lang w:val="uk-UA"/>
        </w:rPr>
        <w:t>ь</w:t>
      </w:r>
      <w:r w:rsidRPr="00B37F2A">
        <w:rPr>
          <w:sz w:val="20"/>
          <w:szCs w:val="20"/>
        </w:rPr>
        <w:t xml:space="preserve">кий </w:t>
      </w:r>
      <w:proofErr w:type="spellStart"/>
      <w:r w:rsidRPr="00B37F2A">
        <w:rPr>
          <w:sz w:val="20"/>
          <w:szCs w:val="20"/>
        </w:rPr>
        <w:t>долар</w:t>
      </w:r>
      <w:proofErr w:type="spellEnd"/>
      <w:r w:rsidRPr="00B37F2A">
        <w:rPr>
          <w:sz w:val="20"/>
          <w:szCs w:val="20"/>
        </w:rPr>
        <w:t>.</w:t>
      </w:r>
    </w:p>
    <w:p w:rsidR="001F5C1D" w:rsidRPr="00B37F2A" w:rsidRDefault="001F5C1D" w:rsidP="001F5C1D">
      <w:pPr>
        <w:autoSpaceDE w:val="0"/>
        <w:autoSpaceDN w:val="0"/>
        <w:adjustRightInd w:val="0"/>
        <w:rPr>
          <w:sz w:val="20"/>
          <w:szCs w:val="20"/>
        </w:rPr>
      </w:pPr>
    </w:p>
    <w:p w:rsidR="001F5C1D" w:rsidRPr="001F5C1D" w:rsidRDefault="001F5C1D" w:rsidP="001F5C1D">
      <w:pPr>
        <w:autoSpaceDE w:val="0"/>
        <w:autoSpaceDN w:val="0"/>
        <w:adjustRightInd w:val="0"/>
        <w:ind w:firstLine="709"/>
        <w:rPr>
          <w:b/>
          <w:lang w:val="uk-UA"/>
        </w:rPr>
      </w:pPr>
      <w:r w:rsidRPr="001F5C1D">
        <w:rPr>
          <w:b/>
          <w:lang w:val="uk-UA"/>
        </w:rPr>
        <w:t>Побудова шкали оцінки ризику для прогнозування ХП</w:t>
      </w:r>
    </w:p>
    <w:p w:rsidR="001F5C1D" w:rsidRPr="001F5C1D" w:rsidRDefault="001F5C1D" w:rsidP="001F5C1D">
      <w:pPr>
        <w:autoSpaceDE w:val="0"/>
        <w:autoSpaceDN w:val="0"/>
        <w:adjustRightInd w:val="0"/>
        <w:ind w:firstLine="709"/>
        <w:rPr>
          <w:lang w:val="uk-UA"/>
        </w:rPr>
      </w:pPr>
      <w:r w:rsidRPr="001F5C1D">
        <w:rPr>
          <w:lang w:val="uk-UA"/>
        </w:rPr>
        <w:t xml:space="preserve">У таблиці 2 наведені результати багатовимірного аналізу ризиків </w:t>
      </w:r>
      <w:proofErr w:type="spellStart"/>
      <w:r w:rsidRPr="001F5C1D">
        <w:rPr>
          <w:lang w:val="uk-UA"/>
        </w:rPr>
        <w:t>Cox</w:t>
      </w:r>
      <w:proofErr w:type="spellEnd"/>
      <w:r w:rsidRPr="001F5C1D">
        <w:rPr>
          <w:lang w:val="uk-UA"/>
        </w:rPr>
        <w:t xml:space="preserve">. Відповідно до моделі </w:t>
      </w:r>
      <w:proofErr w:type="spellStart"/>
      <w:r w:rsidRPr="001F5C1D">
        <w:rPr>
          <w:lang w:val="uk-UA"/>
        </w:rPr>
        <w:t>Cox</w:t>
      </w:r>
      <w:proofErr w:type="spellEnd"/>
      <w:r w:rsidRPr="001F5C1D">
        <w:rPr>
          <w:lang w:val="uk-UA"/>
        </w:rPr>
        <w:t>, 4 змінні, включ</w:t>
      </w:r>
      <w:r>
        <w:rPr>
          <w:lang w:val="uk-UA"/>
        </w:rPr>
        <w:t>но</w:t>
      </w:r>
      <w:r w:rsidRPr="001F5C1D">
        <w:rPr>
          <w:lang w:val="uk-UA"/>
        </w:rPr>
        <w:t xml:space="preserve"> куріння, вік &lt;</w:t>
      </w:r>
      <w:r>
        <w:rPr>
          <w:lang w:val="uk-UA"/>
        </w:rPr>
        <w:t xml:space="preserve"> </w:t>
      </w:r>
      <w:r w:rsidRPr="001F5C1D">
        <w:rPr>
          <w:lang w:val="uk-UA"/>
        </w:rPr>
        <w:t>55 років, споживання алкоголю і Р</w:t>
      </w:r>
      <w:r w:rsidR="00AB753B">
        <w:rPr>
          <w:lang w:val="uk-UA"/>
        </w:rPr>
        <w:t xml:space="preserve">ГП </w:t>
      </w:r>
      <w:r w:rsidRPr="001F5C1D">
        <w:rPr>
          <w:lang w:val="uk-UA"/>
        </w:rPr>
        <w:t xml:space="preserve">/ кількість епізодів </w:t>
      </w:r>
      <w:r w:rsidR="00865038">
        <w:rPr>
          <w:lang w:val="uk-UA"/>
        </w:rPr>
        <w:t>ГП,</w:t>
      </w:r>
      <w:r w:rsidR="001E1FD2">
        <w:rPr>
          <w:lang w:val="uk-UA"/>
        </w:rPr>
        <w:t xml:space="preserve"> </w:t>
      </w:r>
      <w:r w:rsidRPr="001F5C1D">
        <w:rPr>
          <w:lang w:val="uk-UA"/>
        </w:rPr>
        <w:t>були пов'язані з ризиками ХП (всі Р &lt;0,05). Супутні захворювання та історія застосування лікарських препаратів, внаслідок відсутності достовірності, були виключені з остаточної моделі після виконання процедури покрокового виключення. Оцінка ризику була побудована, як показано в таблиці 3. Дві системи оцінки, а саме оцінка ризику 1 і оцінка ризику 2, були розроблені окремо на основі наявності або відсутності Р</w:t>
      </w:r>
      <w:r w:rsidR="00AB753B">
        <w:rPr>
          <w:lang w:val="uk-UA"/>
        </w:rPr>
        <w:t xml:space="preserve">ГП </w:t>
      </w:r>
      <w:r w:rsidRPr="001F5C1D">
        <w:rPr>
          <w:lang w:val="uk-UA"/>
        </w:rPr>
        <w:t>(пункт 5, при наявності Р</w:t>
      </w:r>
      <w:r w:rsidR="00E22C95">
        <w:rPr>
          <w:lang w:val="uk-UA"/>
        </w:rPr>
        <w:t>Г</w:t>
      </w:r>
      <w:r w:rsidRPr="001F5C1D">
        <w:rPr>
          <w:lang w:val="uk-UA"/>
        </w:rPr>
        <w:t xml:space="preserve">П) або числа епізодів </w:t>
      </w:r>
      <w:r w:rsidR="00AB753B">
        <w:rPr>
          <w:lang w:val="uk-UA"/>
        </w:rPr>
        <w:t xml:space="preserve">ГП </w:t>
      </w:r>
      <w:r w:rsidRPr="001F5C1D">
        <w:rPr>
          <w:lang w:val="uk-UA"/>
        </w:rPr>
        <w:t>(пункт 4 для двох епізодів, пункт 5 для трьох епізодів і пункт 7 для більш</w:t>
      </w:r>
      <w:r w:rsidR="00E22C95">
        <w:rPr>
          <w:lang w:val="uk-UA"/>
        </w:rPr>
        <w:t>е</w:t>
      </w:r>
      <w:r w:rsidRPr="001F5C1D">
        <w:rPr>
          <w:lang w:val="uk-UA"/>
        </w:rPr>
        <w:t>, ніж трьох епізодів), а також кодів, пов'язаних з вживанням алкоголю (пункт 3), віку &lt;</w:t>
      </w:r>
      <w:r w:rsidR="00E22C95">
        <w:rPr>
          <w:lang w:val="uk-UA"/>
        </w:rPr>
        <w:t xml:space="preserve"> </w:t>
      </w:r>
      <w:r w:rsidRPr="001F5C1D">
        <w:rPr>
          <w:lang w:val="uk-UA"/>
        </w:rPr>
        <w:t>55 років (пункт 2) та кодів, пов'язаних з курінням (пункт 1) .</w:t>
      </w:r>
    </w:p>
    <w:p w:rsidR="001F5C1D" w:rsidRPr="00E22C95" w:rsidRDefault="001F5C1D" w:rsidP="001F5C1D">
      <w:pPr>
        <w:autoSpaceDE w:val="0"/>
        <w:autoSpaceDN w:val="0"/>
        <w:adjustRightInd w:val="0"/>
        <w:ind w:firstLine="709"/>
        <w:rPr>
          <w:b/>
          <w:lang w:val="uk-UA"/>
        </w:rPr>
      </w:pPr>
      <w:r w:rsidRPr="00E22C95">
        <w:rPr>
          <w:b/>
          <w:lang w:val="uk-UA"/>
        </w:rPr>
        <w:t>Персоналізоване прогнозування ризику</w:t>
      </w:r>
    </w:p>
    <w:p w:rsidR="001F5C1D" w:rsidRPr="001F5C1D" w:rsidRDefault="001F5C1D" w:rsidP="001F5C1D">
      <w:pPr>
        <w:autoSpaceDE w:val="0"/>
        <w:autoSpaceDN w:val="0"/>
        <w:adjustRightInd w:val="0"/>
        <w:ind w:firstLine="709"/>
        <w:rPr>
          <w:lang w:val="uk-UA"/>
        </w:rPr>
      </w:pPr>
      <w:r w:rsidRPr="001F5C1D">
        <w:rPr>
          <w:lang w:val="uk-UA"/>
        </w:rPr>
        <w:t xml:space="preserve">Загальна оцінка для конкретного пацієнта розраховувалася шляхом підсумовування кожної оцінки </w:t>
      </w:r>
      <w:proofErr w:type="spellStart"/>
      <w:r w:rsidRPr="001F5C1D">
        <w:rPr>
          <w:lang w:val="uk-UA"/>
        </w:rPr>
        <w:t>фактора</w:t>
      </w:r>
      <w:proofErr w:type="spellEnd"/>
      <w:r w:rsidRPr="001F5C1D">
        <w:rPr>
          <w:lang w:val="uk-UA"/>
        </w:rPr>
        <w:t xml:space="preserve"> ризику. Оцінки ризику 1 і 2 варіювали між 0-11 і 0-13, відповідно (таблиця 3). На </w:t>
      </w:r>
      <w:r w:rsidR="00AD6571">
        <w:rPr>
          <w:lang w:val="uk-UA"/>
        </w:rPr>
        <w:t>рис.</w:t>
      </w:r>
      <w:r w:rsidRPr="001F5C1D">
        <w:rPr>
          <w:lang w:val="uk-UA"/>
        </w:rPr>
        <w:t xml:space="preserve"> 2 показана залежна від часу ROC-крива, яка оцінює дискримінацію для прогнозування ХП з використанням показника ризик в різні кінцеві точки часу. Оцінка ризику 1 мала різну дискримінацію для прогнозування частоти ХП через 3 роки, 5 років і </w:t>
      </w:r>
      <w:r w:rsidRPr="001F5C1D">
        <w:rPr>
          <w:lang w:val="uk-UA"/>
        </w:rPr>
        <w:lastRenderedPageBreak/>
        <w:t>загальної частоти ХП, з площею під ROC-криво</w:t>
      </w:r>
      <w:r w:rsidR="00E22C95">
        <w:rPr>
          <w:lang w:val="uk-UA"/>
        </w:rPr>
        <w:t>ю</w:t>
      </w:r>
      <w:r w:rsidRPr="001F5C1D">
        <w:rPr>
          <w:lang w:val="uk-UA"/>
        </w:rPr>
        <w:t xml:space="preserve"> 0,84, 0,84 і 0,79 відповідно. 95% ДІ, отримані в результаті </w:t>
      </w:r>
      <w:proofErr w:type="spellStart"/>
      <w:r w:rsidRPr="001F5C1D">
        <w:rPr>
          <w:lang w:val="uk-UA"/>
        </w:rPr>
        <w:t>валідації</w:t>
      </w:r>
      <w:proofErr w:type="spellEnd"/>
      <w:r w:rsidRPr="001F5C1D">
        <w:rPr>
          <w:lang w:val="uk-UA"/>
        </w:rPr>
        <w:t xml:space="preserve"> 1000 початкових моделювань, склали 0,80-0,88, 0,81-0,87 і 0,75-0,83 відповідно (рис. 2А-С, суцільна лінія). Оцінка ризику 2 також мала різну дискримінацію для прогнозування частоти ХП через 3 роки, 5 років і загальної частоти ХП, з площею під ROC-криво</w:t>
      </w:r>
      <w:r w:rsidR="00E22C95">
        <w:rPr>
          <w:lang w:val="uk-UA"/>
        </w:rPr>
        <w:t>ю</w:t>
      </w:r>
      <w:r w:rsidRPr="001F5C1D">
        <w:rPr>
          <w:lang w:val="uk-UA"/>
        </w:rPr>
        <w:t xml:space="preserve"> 0,85, 0,85 і 0,80 відповідно. 95% ДІ, отримані в результаті </w:t>
      </w:r>
      <w:proofErr w:type="spellStart"/>
      <w:r w:rsidRPr="001F5C1D">
        <w:rPr>
          <w:lang w:val="uk-UA"/>
        </w:rPr>
        <w:t>валідації</w:t>
      </w:r>
      <w:proofErr w:type="spellEnd"/>
      <w:r w:rsidRPr="001F5C1D">
        <w:rPr>
          <w:lang w:val="uk-UA"/>
        </w:rPr>
        <w:t xml:space="preserve"> 1000 початкових моделювань, склали 0,81-0,89, 0,82-0,88 і 0,75-0,84 відповідно (рис. 2А-С, пунктирна лінія).</w:t>
      </w:r>
    </w:p>
    <w:p w:rsidR="00EC25B7" w:rsidRPr="001F5C1D" w:rsidRDefault="00EC25B7" w:rsidP="001F5C1D">
      <w:pPr>
        <w:autoSpaceDE w:val="0"/>
        <w:autoSpaceDN w:val="0"/>
        <w:adjustRightInd w:val="0"/>
        <w:ind w:firstLine="709"/>
        <w:rPr>
          <w:sz w:val="20"/>
          <w:szCs w:val="20"/>
          <w:lang w:val="uk-UA"/>
        </w:rPr>
      </w:pPr>
    </w:p>
    <w:tbl>
      <w:tblPr>
        <w:tblW w:w="9654" w:type="dxa"/>
        <w:tblLayout w:type="fixed"/>
        <w:tblCellMar>
          <w:left w:w="10" w:type="dxa"/>
          <w:right w:w="10" w:type="dxa"/>
        </w:tblCellMar>
        <w:tblLook w:val="0000" w:firstRow="0" w:lastRow="0" w:firstColumn="0" w:lastColumn="0" w:noHBand="0" w:noVBand="0"/>
      </w:tblPr>
      <w:tblGrid>
        <w:gridCol w:w="2694"/>
        <w:gridCol w:w="1473"/>
        <w:gridCol w:w="874"/>
        <w:gridCol w:w="1344"/>
        <w:gridCol w:w="854"/>
        <w:gridCol w:w="1493"/>
        <w:gridCol w:w="922"/>
      </w:tblGrid>
      <w:tr w:rsidR="0085788A" w:rsidRPr="003A5A72" w:rsidTr="00E22C95">
        <w:trPr>
          <w:trHeight w:hRule="exact" w:val="557"/>
        </w:trPr>
        <w:tc>
          <w:tcPr>
            <w:tcW w:w="9654" w:type="dxa"/>
            <w:gridSpan w:val="7"/>
            <w:tcBorders>
              <w:top w:val="single" w:sz="4" w:space="0" w:color="auto"/>
            </w:tcBorders>
            <w:shd w:val="clear" w:color="auto" w:fill="FFFFFF"/>
          </w:tcPr>
          <w:p w:rsidR="0085788A" w:rsidRPr="00297C61" w:rsidRDefault="00297C61" w:rsidP="00E22C95">
            <w:pPr>
              <w:pStyle w:val="1"/>
              <w:shd w:val="clear" w:color="auto" w:fill="auto"/>
              <w:spacing w:before="0" w:line="240" w:lineRule="auto"/>
              <w:rPr>
                <w:rStyle w:val="TimesNewRoman7pt0pt"/>
                <w:rFonts w:eastAsia="Verdana"/>
                <w:b/>
                <w:color w:val="auto"/>
                <w:sz w:val="20"/>
                <w:szCs w:val="20"/>
                <w:lang w:val="uk-UA"/>
              </w:rPr>
            </w:pPr>
            <w:r w:rsidRPr="00297C61">
              <w:rPr>
                <w:rStyle w:val="TimesNewRoman7pt0pt"/>
                <w:rFonts w:eastAsia="Verdana"/>
                <w:b/>
                <w:color w:val="auto"/>
                <w:sz w:val="20"/>
                <w:szCs w:val="20"/>
                <w:lang w:val="uk-UA"/>
              </w:rPr>
              <w:t>Таблиця 2. Скориговані відно</w:t>
            </w:r>
            <w:r>
              <w:rPr>
                <w:rStyle w:val="TimesNewRoman7pt0pt"/>
                <w:rFonts w:eastAsia="Verdana"/>
                <w:b/>
                <w:color w:val="auto"/>
                <w:sz w:val="20"/>
                <w:szCs w:val="20"/>
                <w:lang w:val="uk-UA"/>
              </w:rPr>
              <w:t>шення</w:t>
            </w:r>
            <w:r w:rsidRPr="00297C61">
              <w:rPr>
                <w:rStyle w:val="TimesNewRoman7pt0pt"/>
                <w:rFonts w:eastAsia="Verdana"/>
                <w:b/>
                <w:color w:val="auto"/>
                <w:sz w:val="20"/>
                <w:szCs w:val="20"/>
                <w:lang w:val="uk-UA"/>
              </w:rPr>
              <w:t xml:space="preserve"> ризиків і 95% ДІ для ХП, пов'язаного з Р</w:t>
            </w:r>
            <w:r>
              <w:rPr>
                <w:rStyle w:val="TimesNewRoman7pt0pt"/>
                <w:rFonts w:eastAsia="Verdana"/>
                <w:b/>
                <w:color w:val="auto"/>
                <w:sz w:val="20"/>
                <w:szCs w:val="20"/>
                <w:lang w:val="uk-UA"/>
              </w:rPr>
              <w:t>Г</w:t>
            </w:r>
            <w:r w:rsidRPr="00297C61">
              <w:rPr>
                <w:rStyle w:val="TimesNewRoman7pt0pt"/>
                <w:rFonts w:eastAsia="Verdana"/>
                <w:b/>
                <w:color w:val="auto"/>
                <w:sz w:val="20"/>
                <w:szCs w:val="20"/>
                <w:lang w:val="uk-UA"/>
              </w:rPr>
              <w:t>П, курінням, супутніми захворюваннями і застосуванням лікарських препаратів</w:t>
            </w:r>
          </w:p>
        </w:tc>
      </w:tr>
      <w:tr w:rsidR="005A17AA" w:rsidRPr="00BC641F" w:rsidTr="00013FD6">
        <w:trPr>
          <w:trHeight w:hRule="exact" w:val="1248"/>
        </w:trPr>
        <w:tc>
          <w:tcPr>
            <w:tcW w:w="2694" w:type="dxa"/>
            <w:tcBorders>
              <w:top w:val="single" w:sz="4" w:space="0" w:color="auto"/>
            </w:tcBorders>
            <w:shd w:val="clear" w:color="auto" w:fill="FFFFFF"/>
          </w:tcPr>
          <w:p w:rsidR="005A17AA" w:rsidRPr="00297C61" w:rsidRDefault="005A17AA" w:rsidP="00E22C95">
            <w:pPr>
              <w:pStyle w:val="1"/>
              <w:shd w:val="clear" w:color="auto" w:fill="auto"/>
              <w:spacing w:before="0" w:line="240" w:lineRule="auto"/>
              <w:rPr>
                <w:rStyle w:val="TimesNewRoman7pt0pt"/>
                <w:rFonts w:eastAsia="Verdana"/>
                <w:color w:val="auto"/>
                <w:sz w:val="20"/>
                <w:szCs w:val="20"/>
                <w:lang w:val="uk-UA"/>
              </w:rPr>
            </w:pPr>
          </w:p>
        </w:tc>
        <w:tc>
          <w:tcPr>
            <w:tcW w:w="1473" w:type="dxa"/>
            <w:tcBorders>
              <w:top w:val="single" w:sz="4" w:space="0" w:color="auto"/>
            </w:tcBorders>
            <w:shd w:val="clear" w:color="auto" w:fill="FFFFFF"/>
          </w:tcPr>
          <w:p w:rsidR="005A17AA" w:rsidRPr="00E22C95" w:rsidRDefault="005A17AA" w:rsidP="00E22C95">
            <w:pPr>
              <w:pStyle w:val="1"/>
              <w:shd w:val="clear" w:color="auto" w:fill="auto"/>
              <w:spacing w:before="0" w:line="240" w:lineRule="auto"/>
              <w:rPr>
                <w:rStyle w:val="TimesNewRoman7pt0pt"/>
                <w:rFonts w:eastAsia="Verdana"/>
                <w:color w:val="auto"/>
                <w:sz w:val="20"/>
                <w:szCs w:val="20"/>
                <w:vertAlign w:val="superscript"/>
                <w:lang w:val="ru-RU"/>
              </w:rPr>
            </w:pPr>
            <w:r w:rsidRPr="00E22C95">
              <w:rPr>
                <w:rStyle w:val="TimesNewRoman7pt0pt"/>
                <w:rFonts w:eastAsia="Verdana"/>
                <w:color w:val="auto"/>
                <w:sz w:val="20"/>
                <w:szCs w:val="20"/>
                <w:lang w:val="ru-RU"/>
              </w:rPr>
              <w:t>Скор</w:t>
            </w:r>
            <w:proofErr w:type="spellStart"/>
            <w:r w:rsidR="00297C61">
              <w:rPr>
                <w:rStyle w:val="TimesNewRoman7pt0pt"/>
                <w:rFonts w:eastAsia="Verdana"/>
                <w:color w:val="auto"/>
                <w:sz w:val="20"/>
                <w:szCs w:val="20"/>
                <w:lang w:val="uk-UA"/>
              </w:rPr>
              <w:t>игован</w:t>
            </w:r>
            <w:proofErr w:type="spellEnd"/>
            <w:r w:rsidRPr="00E22C95">
              <w:rPr>
                <w:rStyle w:val="TimesNewRoman7pt0pt"/>
                <w:rFonts w:eastAsia="Verdana"/>
                <w:color w:val="auto"/>
                <w:sz w:val="20"/>
                <w:szCs w:val="20"/>
                <w:lang w:val="ru-RU"/>
              </w:rPr>
              <w:t xml:space="preserve">е </w:t>
            </w:r>
            <w:r w:rsidR="00297C61">
              <w:rPr>
                <w:rStyle w:val="TimesNewRoman7pt0pt"/>
                <w:rFonts w:eastAsia="Verdana"/>
                <w:color w:val="auto"/>
                <w:sz w:val="20"/>
                <w:szCs w:val="20"/>
                <w:lang w:val="uk-UA"/>
              </w:rPr>
              <w:t>В</w:t>
            </w:r>
            <w:proofErr w:type="spellStart"/>
            <w:r w:rsidRPr="00E22C95">
              <w:rPr>
                <w:rStyle w:val="TimesNewRoman7pt0pt"/>
                <w:rFonts w:eastAsia="Verdana"/>
                <w:color w:val="auto"/>
                <w:sz w:val="20"/>
                <w:szCs w:val="20"/>
                <w:lang w:val="ru-RU"/>
              </w:rPr>
              <w:t>Р</w:t>
            </w:r>
            <w:r w:rsidRPr="00E22C95">
              <w:rPr>
                <w:rStyle w:val="TimesNewRoman7pt0pt"/>
                <w:rFonts w:eastAsia="Verdana"/>
                <w:color w:val="auto"/>
                <w:sz w:val="20"/>
                <w:szCs w:val="20"/>
                <w:vertAlign w:val="superscript"/>
                <w:lang w:val="ru-RU"/>
              </w:rPr>
              <w:t>по</w:t>
            </w:r>
            <w:r w:rsidR="00297C61">
              <w:rPr>
                <w:rStyle w:val="TimesNewRoman7pt0pt"/>
                <w:rFonts w:eastAsia="Verdana"/>
                <w:color w:val="auto"/>
                <w:sz w:val="20"/>
                <w:szCs w:val="20"/>
                <w:vertAlign w:val="superscript"/>
                <w:lang w:val="uk-UA"/>
              </w:rPr>
              <w:t>вна</w:t>
            </w:r>
            <w:proofErr w:type="spellEnd"/>
            <w:r w:rsidRPr="00E22C95">
              <w:rPr>
                <w:rStyle w:val="TimesNewRoman7pt0pt"/>
                <w:rFonts w:eastAsia="Verdana"/>
                <w:color w:val="auto"/>
                <w:sz w:val="20"/>
                <w:szCs w:val="20"/>
                <w:vertAlign w:val="superscript"/>
                <w:lang w:val="ru-RU"/>
              </w:rPr>
              <w:t xml:space="preserve"> модель</w:t>
            </w:r>
          </w:p>
          <w:p w:rsidR="005A17AA" w:rsidRPr="00E22C95" w:rsidRDefault="005A17AA" w:rsidP="00E22C95">
            <w:pPr>
              <w:pStyle w:val="1"/>
              <w:shd w:val="clear" w:color="auto" w:fill="auto"/>
              <w:spacing w:before="0" w:line="240" w:lineRule="auto"/>
              <w:rPr>
                <w:rStyle w:val="TimesNewRoman7pt0pt"/>
                <w:rFonts w:eastAsia="Verdana"/>
                <w:color w:val="auto"/>
                <w:sz w:val="20"/>
                <w:szCs w:val="20"/>
                <w:lang w:val="ru-RU"/>
              </w:rPr>
            </w:pPr>
            <w:r w:rsidRPr="00E22C95">
              <w:rPr>
                <w:rStyle w:val="TimesNewRoman7pt0pt"/>
                <w:rFonts w:eastAsia="Verdana"/>
                <w:color w:val="auto"/>
                <w:sz w:val="20"/>
                <w:szCs w:val="20"/>
                <w:lang w:val="ru-RU"/>
              </w:rPr>
              <w:t>(95% Д</w:t>
            </w:r>
            <w:r w:rsidR="00297C61">
              <w:rPr>
                <w:rStyle w:val="TimesNewRoman7pt0pt"/>
                <w:rFonts w:eastAsia="Verdana"/>
                <w:color w:val="auto"/>
                <w:sz w:val="20"/>
                <w:szCs w:val="20"/>
                <w:lang w:val="uk-UA"/>
              </w:rPr>
              <w:t>І</w:t>
            </w:r>
            <w:r w:rsidRPr="00E22C95">
              <w:rPr>
                <w:rStyle w:val="TimesNewRoman7pt0pt"/>
                <w:rFonts w:eastAsia="Verdana"/>
                <w:color w:val="auto"/>
                <w:sz w:val="20"/>
                <w:szCs w:val="20"/>
                <w:lang w:val="ru-RU"/>
              </w:rPr>
              <w:t>)</w:t>
            </w:r>
          </w:p>
        </w:tc>
        <w:tc>
          <w:tcPr>
            <w:tcW w:w="874" w:type="dxa"/>
            <w:tcBorders>
              <w:top w:val="single" w:sz="4" w:space="0" w:color="auto"/>
            </w:tcBorders>
            <w:shd w:val="clear" w:color="auto" w:fill="FFFFFF"/>
          </w:tcPr>
          <w:p w:rsidR="005A17AA" w:rsidRPr="00E22C95" w:rsidRDefault="00AE4B78" w:rsidP="00E22C95">
            <w:pPr>
              <w:pStyle w:val="1"/>
              <w:shd w:val="clear" w:color="auto" w:fill="auto"/>
              <w:spacing w:before="0" w:line="240" w:lineRule="auto"/>
              <w:jc w:val="center"/>
              <w:rPr>
                <w:rStyle w:val="TimesNewRoman7pt0pt"/>
                <w:rFonts w:eastAsia="Verdana"/>
                <w:color w:val="auto"/>
                <w:sz w:val="20"/>
                <w:szCs w:val="20"/>
                <w:lang w:val="ru-RU"/>
              </w:rPr>
            </w:pPr>
            <w:proofErr w:type="spellStart"/>
            <w:r w:rsidRPr="00E22C95">
              <w:rPr>
                <w:rStyle w:val="TimesNewRoman7pt0pt"/>
                <w:rFonts w:eastAsia="Verdana"/>
                <w:color w:val="auto"/>
                <w:sz w:val="20"/>
                <w:szCs w:val="20"/>
                <w:lang w:val="ru-RU"/>
              </w:rPr>
              <w:t>Значен</w:t>
            </w:r>
            <w:proofErr w:type="spellEnd"/>
            <w:r w:rsidR="00297C61">
              <w:rPr>
                <w:rStyle w:val="TimesNewRoman7pt0pt"/>
                <w:rFonts w:eastAsia="Verdana"/>
                <w:color w:val="auto"/>
                <w:sz w:val="20"/>
                <w:szCs w:val="20"/>
                <w:lang w:val="uk-UA"/>
              </w:rPr>
              <w:t>ня</w:t>
            </w:r>
            <w:r w:rsidRPr="00E22C95">
              <w:rPr>
                <w:rStyle w:val="TimesNewRoman7pt0pt"/>
                <w:rFonts w:eastAsia="Verdana"/>
                <w:color w:val="auto"/>
                <w:sz w:val="20"/>
                <w:szCs w:val="20"/>
                <w:lang w:val="ru-RU"/>
              </w:rPr>
              <w:t xml:space="preserve"> </w:t>
            </w:r>
            <w:r w:rsidR="005A17AA" w:rsidRPr="00E22C95">
              <w:rPr>
                <w:rStyle w:val="TimesNewRoman7pt0pt"/>
                <w:rFonts w:eastAsia="Verdana"/>
                <w:color w:val="auto"/>
                <w:sz w:val="20"/>
                <w:szCs w:val="20"/>
                <w:lang w:val="ru-RU"/>
              </w:rPr>
              <w:t xml:space="preserve">Р </w:t>
            </w:r>
          </w:p>
        </w:tc>
        <w:tc>
          <w:tcPr>
            <w:tcW w:w="1344" w:type="dxa"/>
            <w:tcBorders>
              <w:top w:val="single" w:sz="4" w:space="0" w:color="auto"/>
            </w:tcBorders>
            <w:shd w:val="clear" w:color="auto" w:fill="FFFFFF"/>
          </w:tcPr>
          <w:p w:rsidR="00297C61" w:rsidRPr="00E22C95" w:rsidRDefault="00297C61" w:rsidP="00297C61">
            <w:pPr>
              <w:pStyle w:val="1"/>
              <w:shd w:val="clear" w:color="auto" w:fill="auto"/>
              <w:spacing w:before="0" w:line="240" w:lineRule="auto"/>
              <w:rPr>
                <w:rStyle w:val="TimesNewRoman7pt0pt"/>
                <w:rFonts w:eastAsia="Verdana"/>
                <w:color w:val="auto"/>
                <w:sz w:val="20"/>
                <w:szCs w:val="20"/>
                <w:vertAlign w:val="superscript"/>
                <w:lang w:val="ru-RU"/>
              </w:rPr>
            </w:pPr>
            <w:r w:rsidRPr="00E22C95">
              <w:rPr>
                <w:rStyle w:val="TimesNewRoman7pt0pt"/>
                <w:rFonts w:eastAsia="Verdana"/>
                <w:color w:val="auto"/>
                <w:sz w:val="20"/>
                <w:szCs w:val="20"/>
                <w:lang w:val="ru-RU"/>
              </w:rPr>
              <w:t>Скор</w:t>
            </w:r>
            <w:proofErr w:type="spellStart"/>
            <w:r>
              <w:rPr>
                <w:rStyle w:val="TimesNewRoman7pt0pt"/>
                <w:rFonts w:eastAsia="Verdana"/>
                <w:color w:val="auto"/>
                <w:sz w:val="20"/>
                <w:szCs w:val="20"/>
                <w:lang w:val="uk-UA"/>
              </w:rPr>
              <w:t>игован</w:t>
            </w:r>
            <w:proofErr w:type="spellEnd"/>
            <w:r w:rsidRPr="00E22C95">
              <w:rPr>
                <w:rStyle w:val="TimesNewRoman7pt0pt"/>
                <w:rFonts w:eastAsia="Verdana"/>
                <w:color w:val="auto"/>
                <w:sz w:val="20"/>
                <w:szCs w:val="20"/>
                <w:lang w:val="ru-RU"/>
              </w:rPr>
              <w:t xml:space="preserve">е </w:t>
            </w:r>
            <w:r>
              <w:rPr>
                <w:rStyle w:val="TimesNewRoman7pt0pt"/>
                <w:rFonts w:eastAsia="Verdana"/>
                <w:color w:val="auto"/>
                <w:sz w:val="20"/>
                <w:szCs w:val="20"/>
                <w:lang w:val="uk-UA"/>
              </w:rPr>
              <w:t>В</w:t>
            </w:r>
            <w:proofErr w:type="spellStart"/>
            <w:r w:rsidRPr="00E22C95">
              <w:rPr>
                <w:rStyle w:val="TimesNewRoman7pt0pt"/>
                <w:rFonts w:eastAsia="Verdana"/>
                <w:color w:val="auto"/>
                <w:sz w:val="20"/>
                <w:szCs w:val="20"/>
                <w:lang w:val="ru-RU"/>
              </w:rPr>
              <w:t>Р</w:t>
            </w:r>
            <w:r w:rsidRPr="00E22C95">
              <w:rPr>
                <w:rStyle w:val="TimesNewRoman7pt0pt"/>
                <w:rFonts w:eastAsia="Verdana"/>
                <w:color w:val="auto"/>
                <w:sz w:val="20"/>
                <w:szCs w:val="20"/>
                <w:vertAlign w:val="superscript"/>
                <w:lang w:val="ru-RU"/>
              </w:rPr>
              <w:t>по</w:t>
            </w:r>
            <w:r>
              <w:rPr>
                <w:rStyle w:val="TimesNewRoman7pt0pt"/>
                <w:rFonts w:eastAsia="Verdana"/>
                <w:color w:val="auto"/>
                <w:sz w:val="20"/>
                <w:szCs w:val="20"/>
                <w:vertAlign w:val="superscript"/>
                <w:lang w:val="uk-UA"/>
              </w:rPr>
              <w:t>вна</w:t>
            </w:r>
            <w:proofErr w:type="spellEnd"/>
            <w:r w:rsidRPr="00E22C95">
              <w:rPr>
                <w:rStyle w:val="TimesNewRoman7pt0pt"/>
                <w:rFonts w:eastAsia="Verdana"/>
                <w:color w:val="auto"/>
                <w:sz w:val="20"/>
                <w:szCs w:val="20"/>
                <w:vertAlign w:val="superscript"/>
                <w:lang w:val="ru-RU"/>
              </w:rPr>
              <w:t xml:space="preserve"> модель</w:t>
            </w:r>
          </w:p>
          <w:p w:rsidR="005A17AA" w:rsidRPr="00013FD6" w:rsidRDefault="00013FD6" w:rsidP="00E22C95">
            <w:pPr>
              <w:pStyle w:val="1"/>
              <w:shd w:val="clear" w:color="auto" w:fill="auto"/>
              <w:spacing w:before="0" w:line="240" w:lineRule="auto"/>
              <w:rPr>
                <w:rStyle w:val="TimesNewRoman7pt0pt"/>
                <w:rFonts w:eastAsia="Verdana"/>
                <w:color w:val="auto"/>
                <w:sz w:val="20"/>
                <w:szCs w:val="20"/>
                <w:vertAlign w:val="superscript"/>
                <w:lang w:val="uk-UA"/>
              </w:rPr>
            </w:pPr>
            <w:r>
              <w:rPr>
                <w:rStyle w:val="TimesNewRoman7pt0pt"/>
                <w:rFonts w:eastAsia="Verdana"/>
                <w:color w:val="auto"/>
                <w:sz w:val="20"/>
                <w:szCs w:val="20"/>
                <w:vertAlign w:val="superscript"/>
                <w:lang w:val="uk-UA"/>
              </w:rPr>
              <w:t>покрокового виключення</w:t>
            </w:r>
          </w:p>
          <w:p w:rsidR="005A17AA" w:rsidRPr="00E22C95" w:rsidRDefault="005A17AA" w:rsidP="00E22C95">
            <w:pPr>
              <w:pStyle w:val="1"/>
              <w:shd w:val="clear" w:color="auto" w:fill="auto"/>
              <w:spacing w:before="0" w:line="240" w:lineRule="auto"/>
              <w:jc w:val="center"/>
              <w:rPr>
                <w:rStyle w:val="TimesNewRoman7pt0pt"/>
                <w:rFonts w:eastAsia="Verdana"/>
                <w:color w:val="auto"/>
                <w:sz w:val="20"/>
                <w:szCs w:val="20"/>
                <w:lang w:val="ru-RU"/>
              </w:rPr>
            </w:pPr>
            <w:r w:rsidRPr="00E22C95">
              <w:rPr>
                <w:rStyle w:val="TimesNewRoman7pt0pt"/>
                <w:rFonts w:eastAsia="Verdana"/>
                <w:color w:val="auto"/>
                <w:sz w:val="20"/>
                <w:szCs w:val="20"/>
                <w:lang w:val="ru-RU"/>
              </w:rPr>
              <w:t>(95% Д</w:t>
            </w:r>
            <w:r w:rsidR="00013FD6">
              <w:rPr>
                <w:rStyle w:val="TimesNewRoman7pt0pt"/>
                <w:rFonts w:eastAsia="Verdana"/>
                <w:color w:val="auto"/>
                <w:sz w:val="20"/>
                <w:szCs w:val="20"/>
                <w:lang w:val="uk-UA"/>
              </w:rPr>
              <w:t>І</w:t>
            </w:r>
            <w:r w:rsidRPr="00E22C95">
              <w:rPr>
                <w:rStyle w:val="TimesNewRoman7pt0pt"/>
                <w:rFonts w:eastAsia="Verdana"/>
                <w:color w:val="auto"/>
                <w:sz w:val="20"/>
                <w:szCs w:val="20"/>
                <w:lang w:val="ru-RU"/>
              </w:rPr>
              <w:t>)</w:t>
            </w:r>
          </w:p>
        </w:tc>
        <w:tc>
          <w:tcPr>
            <w:tcW w:w="854" w:type="dxa"/>
            <w:tcBorders>
              <w:top w:val="single" w:sz="4" w:space="0" w:color="auto"/>
            </w:tcBorders>
            <w:shd w:val="clear" w:color="auto" w:fill="FFFFFF"/>
          </w:tcPr>
          <w:p w:rsidR="005A17AA" w:rsidRPr="00E22C95" w:rsidRDefault="00AE4B78" w:rsidP="00E22C95">
            <w:pPr>
              <w:pStyle w:val="1"/>
              <w:shd w:val="clear" w:color="auto" w:fill="auto"/>
              <w:spacing w:before="0" w:line="240" w:lineRule="auto"/>
              <w:jc w:val="center"/>
              <w:rPr>
                <w:rStyle w:val="TimesNewRoman7pt0pt"/>
                <w:rFonts w:eastAsia="Verdana"/>
                <w:color w:val="auto"/>
                <w:sz w:val="20"/>
                <w:szCs w:val="20"/>
                <w:lang w:val="ru-RU"/>
              </w:rPr>
            </w:pPr>
            <w:proofErr w:type="spellStart"/>
            <w:r w:rsidRPr="00E22C95">
              <w:rPr>
                <w:rStyle w:val="TimesNewRoman7pt0pt"/>
                <w:rFonts w:eastAsia="Verdana"/>
                <w:color w:val="auto"/>
                <w:sz w:val="20"/>
                <w:szCs w:val="20"/>
                <w:lang w:val="ru-RU"/>
              </w:rPr>
              <w:t>Значен</w:t>
            </w:r>
            <w:proofErr w:type="spellEnd"/>
            <w:r w:rsidR="00013FD6">
              <w:rPr>
                <w:rStyle w:val="TimesNewRoman7pt0pt"/>
                <w:rFonts w:eastAsia="Verdana"/>
                <w:color w:val="auto"/>
                <w:sz w:val="20"/>
                <w:szCs w:val="20"/>
                <w:lang w:val="uk-UA"/>
              </w:rPr>
              <w:t>ня</w:t>
            </w:r>
            <w:r w:rsidRPr="00E22C95">
              <w:rPr>
                <w:rStyle w:val="TimesNewRoman7pt0pt"/>
                <w:rFonts w:eastAsia="Verdana"/>
                <w:color w:val="auto"/>
                <w:sz w:val="20"/>
                <w:szCs w:val="20"/>
                <w:lang w:val="ru-RU"/>
              </w:rPr>
              <w:t xml:space="preserve"> </w:t>
            </w:r>
            <w:r w:rsidR="005A17AA" w:rsidRPr="00E22C95">
              <w:rPr>
                <w:rStyle w:val="TimesNewRoman7pt0pt"/>
                <w:rFonts w:eastAsia="Verdana"/>
                <w:color w:val="auto"/>
                <w:sz w:val="20"/>
                <w:szCs w:val="20"/>
                <w:lang w:val="ru-RU"/>
              </w:rPr>
              <w:t xml:space="preserve">Р </w:t>
            </w:r>
          </w:p>
        </w:tc>
        <w:tc>
          <w:tcPr>
            <w:tcW w:w="1493" w:type="dxa"/>
            <w:tcBorders>
              <w:top w:val="single" w:sz="4" w:space="0" w:color="auto"/>
            </w:tcBorders>
            <w:shd w:val="clear" w:color="auto" w:fill="FFFFFF"/>
          </w:tcPr>
          <w:p w:rsidR="00013FD6" w:rsidRPr="00E22C95" w:rsidRDefault="00013FD6" w:rsidP="00013FD6">
            <w:pPr>
              <w:pStyle w:val="1"/>
              <w:shd w:val="clear" w:color="auto" w:fill="auto"/>
              <w:spacing w:before="0" w:line="240" w:lineRule="auto"/>
              <w:rPr>
                <w:rStyle w:val="TimesNewRoman7pt0pt"/>
                <w:rFonts w:eastAsia="Verdana"/>
                <w:color w:val="auto"/>
                <w:sz w:val="20"/>
                <w:szCs w:val="20"/>
                <w:vertAlign w:val="superscript"/>
                <w:lang w:val="ru-RU"/>
              </w:rPr>
            </w:pPr>
            <w:r w:rsidRPr="00E22C95">
              <w:rPr>
                <w:rStyle w:val="TimesNewRoman7pt0pt"/>
                <w:rFonts w:eastAsia="Verdana"/>
                <w:color w:val="auto"/>
                <w:sz w:val="20"/>
                <w:szCs w:val="20"/>
                <w:lang w:val="ru-RU"/>
              </w:rPr>
              <w:t>Скор</w:t>
            </w:r>
            <w:proofErr w:type="spellStart"/>
            <w:r>
              <w:rPr>
                <w:rStyle w:val="TimesNewRoman7pt0pt"/>
                <w:rFonts w:eastAsia="Verdana"/>
                <w:color w:val="auto"/>
                <w:sz w:val="20"/>
                <w:szCs w:val="20"/>
                <w:lang w:val="uk-UA"/>
              </w:rPr>
              <w:t>игован</w:t>
            </w:r>
            <w:proofErr w:type="spellEnd"/>
            <w:r w:rsidRPr="00E22C95">
              <w:rPr>
                <w:rStyle w:val="TimesNewRoman7pt0pt"/>
                <w:rFonts w:eastAsia="Verdana"/>
                <w:color w:val="auto"/>
                <w:sz w:val="20"/>
                <w:szCs w:val="20"/>
                <w:lang w:val="ru-RU"/>
              </w:rPr>
              <w:t xml:space="preserve">е </w:t>
            </w:r>
            <w:r>
              <w:rPr>
                <w:rStyle w:val="TimesNewRoman7pt0pt"/>
                <w:rFonts w:eastAsia="Verdana"/>
                <w:color w:val="auto"/>
                <w:sz w:val="20"/>
                <w:szCs w:val="20"/>
                <w:lang w:val="uk-UA"/>
              </w:rPr>
              <w:t>В</w:t>
            </w:r>
            <w:proofErr w:type="spellStart"/>
            <w:r w:rsidRPr="00E22C95">
              <w:rPr>
                <w:rStyle w:val="TimesNewRoman7pt0pt"/>
                <w:rFonts w:eastAsia="Verdana"/>
                <w:color w:val="auto"/>
                <w:sz w:val="20"/>
                <w:szCs w:val="20"/>
                <w:lang w:val="ru-RU"/>
              </w:rPr>
              <w:t>Р</w:t>
            </w:r>
            <w:r w:rsidRPr="00E22C95">
              <w:rPr>
                <w:rStyle w:val="TimesNewRoman7pt0pt"/>
                <w:rFonts w:eastAsia="Verdana"/>
                <w:color w:val="auto"/>
                <w:sz w:val="20"/>
                <w:szCs w:val="20"/>
                <w:vertAlign w:val="superscript"/>
                <w:lang w:val="ru-RU"/>
              </w:rPr>
              <w:t>по</w:t>
            </w:r>
            <w:r>
              <w:rPr>
                <w:rStyle w:val="TimesNewRoman7pt0pt"/>
                <w:rFonts w:eastAsia="Verdana"/>
                <w:color w:val="auto"/>
                <w:sz w:val="20"/>
                <w:szCs w:val="20"/>
                <w:vertAlign w:val="superscript"/>
                <w:lang w:val="uk-UA"/>
              </w:rPr>
              <w:t>вна</w:t>
            </w:r>
            <w:proofErr w:type="spellEnd"/>
            <w:r w:rsidRPr="00E22C95">
              <w:rPr>
                <w:rStyle w:val="TimesNewRoman7pt0pt"/>
                <w:rFonts w:eastAsia="Verdana"/>
                <w:color w:val="auto"/>
                <w:sz w:val="20"/>
                <w:szCs w:val="20"/>
                <w:vertAlign w:val="superscript"/>
                <w:lang w:val="ru-RU"/>
              </w:rPr>
              <w:t xml:space="preserve"> модель</w:t>
            </w:r>
          </w:p>
          <w:p w:rsidR="00013FD6" w:rsidRPr="00013FD6" w:rsidRDefault="00013FD6" w:rsidP="00013FD6">
            <w:pPr>
              <w:pStyle w:val="1"/>
              <w:shd w:val="clear" w:color="auto" w:fill="auto"/>
              <w:spacing w:before="0" w:line="240" w:lineRule="auto"/>
              <w:rPr>
                <w:rStyle w:val="TimesNewRoman7pt0pt"/>
                <w:rFonts w:eastAsia="Verdana"/>
                <w:color w:val="auto"/>
                <w:sz w:val="20"/>
                <w:szCs w:val="20"/>
                <w:vertAlign w:val="superscript"/>
                <w:lang w:val="uk-UA"/>
              </w:rPr>
            </w:pPr>
            <w:r>
              <w:rPr>
                <w:rStyle w:val="TimesNewRoman7pt0pt"/>
                <w:rFonts w:eastAsia="Verdana"/>
                <w:color w:val="auto"/>
                <w:sz w:val="20"/>
                <w:szCs w:val="20"/>
                <w:vertAlign w:val="superscript"/>
                <w:lang w:val="uk-UA"/>
              </w:rPr>
              <w:t>покрокового виключення</w:t>
            </w:r>
          </w:p>
          <w:p w:rsidR="005A17AA" w:rsidRPr="00E22C95" w:rsidRDefault="00013FD6" w:rsidP="00013FD6">
            <w:pPr>
              <w:pStyle w:val="1"/>
              <w:shd w:val="clear" w:color="auto" w:fill="auto"/>
              <w:spacing w:before="0" w:line="240" w:lineRule="auto"/>
              <w:jc w:val="center"/>
              <w:rPr>
                <w:rStyle w:val="TimesNewRoman7pt0pt"/>
                <w:rFonts w:eastAsia="Verdana"/>
                <w:color w:val="auto"/>
                <w:sz w:val="20"/>
                <w:szCs w:val="20"/>
                <w:lang w:val="ru-RU"/>
              </w:rPr>
            </w:pPr>
            <w:r w:rsidRPr="00E22C95">
              <w:rPr>
                <w:rStyle w:val="TimesNewRoman7pt0pt"/>
                <w:rFonts w:eastAsia="Verdana"/>
                <w:color w:val="auto"/>
                <w:sz w:val="20"/>
                <w:szCs w:val="20"/>
                <w:lang w:val="ru-RU"/>
              </w:rPr>
              <w:t>(95% Д</w:t>
            </w:r>
            <w:r>
              <w:rPr>
                <w:rStyle w:val="TimesNewRoman7pt0pt"/>
                <w:rFonts w:eastAsia="Verdana"/>
                <w:color w:val="auto"/>
                <w:sz w:val="20"/>
                <w:szCs w:val="20"/>
                <w:lang w:val="uk-UA"/>
              </w:rPr>
              <w:t>І</w:t>
            </w:r>
            <w:r w:rsidRPr="00E22C95">
              <w:rPr>
                <w:rStyle w:val="TimesNewRoman7pt0pt"/>
                <w:rFonts w:eastAsia="Verdana"/>
                <w:color w:val="auto"/>
                <w:sz w:val="20"/>
                <w:szCs w:val="20"/>
                <w:lang w:val="ru-RU"/>
              </w:rPr>
              <w:t>)</w:t>
            </w:r>
          </w:p>
        </w:tc>
        <w:tc>
          <w:tcPr>
            <w:tcW w:w="922" w:type="dxa"/>
            <w:tcBorders>
              <w:top w:val="single" w:sz="4" w:space="0" w:color="auto"/>
            </w:tcBorders>
            <w:shd w:val="clear" w:color="auto" w:fill="FFFFFF"/>
          </w:tcPr>
          <w:p w:rsidR="005A17AA" w:rsidRPr="00E22C95" w:rsidRDefault="00AE4B78" w:rsidP="00E22C95">
            <w:pPr>
              <w:pStyle w:val="1"/>
              <w:shd w:val="clear" w:color="auto" w:fill="auto"/>
              <w:spacing w:before="0" w:line="240" w:lineRule="auto"/>
              <w:jc w:val="center"/>
              <w:rPr>
                <w:rStyle w:val="TimesNewRoman7pt0pt"/>
                <w:rFonts w:eastAsia="Verdana"/>
                <w:color w:val="auto"/>
                <w:sz w:val="20"/>
                <w:szCs w:val="20"/>
                <w:lang w:val="ru-RU"/>
              </w:rPr>
            </w:pPr>
            <w:proofErr w:type="spellStart"/>
            <w:r w:rsidRPr="00E22C95">
              <w:rPr>
                <w:rStyle w:val="TimesNewRoman7pt0pt"/>
                <w:rFonts w:eastAsia="Verdana"/>
                <w:color w:val="auto"/>
                <w:sz w:val="20"/>
                <w:szCs w:val="20"/>
                <w:lang w:val="ru-RU"/>
              </w:rPr>
              <w:t>Значен</w:t>
            </w:r>
            <w:proofErr w:type="spellEnd"/>
            <w:r w:rsidR="00013FD6">
              <w:rPr>
                <w:rStyle w:val="TimesNewRoman7pt0pt"/>
                <w:rFonts w:eastAsia="Verdana"/>
                <w:color w:val="auto"/>
                <w:sz w:val="20"/>
                <w:szCs w:val="20"/>
                <w:lang w:val="uk-UA"/>
              </w:rPr>
              <w:t>ня</w:t>
            </w:r>
            <w:r w:rsidRPr="00E22C95">
              <w:rPr>
                <w:rStyle w:val="TimesNewRoman7pt0pt"/>
                <w:rFonts w:eastAsia="Verdana"/>
                <w:color w:val="auto"/>
                <w:sz w:val="20"/>
                <w:szCs w:val="20"/>
                <w:lang w:val="ru-RU"/>
              </w:rPr>
              <w:t xml:space="preserve"> </w:t>
            </w:r>
            <w:r w:rsidR="005A17AA" w:rsidRPr="00E22C95">
              <w:rPr>
                <w:rStyle w:val="TimesNewRoman7pt0pt"/>
                <w:rFonts w:eastAsia="Verdana"/>
                <w:color w:val="auto"/>
                <w:sz w:val="20"/>
                <w:szCs w:val="20"/>
                <w:lang w:val="ru-RU"/>
              </w:rPr>
              <w:t xml:space="preserve">Р </w:t>
            </w:r>
          </w:p>
        </w:tc>
      </w:tr>
      <w:tr w:rsidR="005A17AA" w:rsidRPr="00BC641F" w:rsidTr="00013FD6">
        <w:trPr>
          <w:trHeight w:hRule="exact" w:val="492"/>
        </w:trPr>
        <w:tc>
          <w:tcPr>
            <w:tcW w:w="2694" w:type="dxa"/>
            <w:tcBorders>
              <w:top w:val="single" w:sz="4" w:space="0" w:color="auto"/>
            </w:tcBorders>
            <w:shd w:val="clear" w:color="auto" w:fill="FFFFFF"/>
          </w:tcPr>
          <w:p w:rsidR="00A10334" w:rsidRPr="00035A95" w:rsidRDefault="00A10334" w:rsidP="00A10334">
            <w:pPr>
              <w:autoSpaceDE w:val="0"/>
              <w:autoSpaceDN w:val="0"/>
              <w:adjustRightInd w:val="0"/>
              <w:rPr>
                <w:sz w:val="20"/>
                <w:szCs w:val="20"/>
                <w:lang w:val="uk-UA"/>
              </w:rPr>
            </w:pPr>
            <w:r>
              <w:rPr>
                <w:sz w:val="20"/>
                <w:szCs w:val="20"/>
                <w:lang w:val="uk-UA"/>
              </w:rPr>
              <w:t>К</w:t>
            </w:r>
            <w:r w:rsidRPr="00035A95">
              <w:rPr>
                <w:sz w:val="20"/>
                <w:szCs w:val="20"/>
                <w:lang w:val="uk-UA"/>
              </w:rPr>
              <w:t>оди, пов'язані з курінням</w:t>
            </w:r>
          </w:p>
          <w:p w:rsidR="005A17AA" w:rsidRPr="00E22C95" w:rsidRDefault="005A17AA" w:rsidP="00E22C95">
            <w:pPr>
              <w:pStyle w:val="1"/>
              <w:shd w:val="clear" w:color="auto" w:fill="auto"/>
              <w:spacing w:before="0" w:line="240" w:lineRule="auto"/>
              <w:rPr>
                <w:rFonts w:ascii="Times New Roman" w:hAnsi="Times New Roman" w:cs="Times New Roman"/>
                <w:sz w:val="20"/>
                <w:szCs w:val="20"/>
              </w:rPr>
            </w:pPr>
          </w:p>
        </w:tc>
        <w:tc>
          <w:tcPr>
            <w:tcW w:w="1473" w:type="dxa"/>
            <w:tcBorders>
              <w:top w:val="single" w:sz="4" w:space="0" w:color="auto"/>
            </w:tcBorders>
            <w:shd w:val="clear" w:color="auto" w:fill="FFFFFF"/>
          </w:tcPr>
          <w:p w:rsidR="005A17AA" w:rsidRPr="00E22C95" w:rsidRDefault="005A17AA" w:rsidP="00E22C95">
            <w:pPr>
              <w:pStyle w:val="1"/>
              <w:shd w:val="clear" w:color="auto" w:fill="auto"/>
              <w:spacing w:before="0" w:line="240" w:lineRule="auto"/>
              <w:rPr>
                <w:rFonts w:ascii="Times New Roman" w:hAnsi="Times New Roman" w:cs="Times New Roman"/>
                <w:sz w:val="20"/>
                <w:szCs w:val="20"/>
              </w:rPr>
            </w:pPr>
            <w:r w:rsidRPr="00E22C95">
              <w:rPr>
                <w:rStyle w:val="TimesNewRoman7pt0pt"/>
                <w:rFonts w:eastAsia="Verdana"/>
                <w:color w:val="auto"/>
                <w:sz w:val="20"/>
                <w:szCs w:val="20"/>
              </w:rPr>
              <w:t>1,57 (1,07, 2,32)</w:t>
            </w:r>
          </w:p>
        </w:tc>
        <w:tc>
          <w:tcPr>
            <w:tcW w:w="874" w:type="dxa"/>
            <w:tcBorders>
              <w:top w:val="single" w:sz="4" w:space="0" w:color="auto"/>
            </w:tcBorders>
            <w:shd w:val="clear" w:color="auto" w:fill="FFFFFF"/>
          </w:tcPr>
          <w:p w:rsidR="005A17AA" w:rsidRPr="00E22C95" w:rsidRDefault="005A17AA"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0,022</w:t>
            </w:r>
          </w:p>
        </w:tc>
        <w:tc>
          <w:tcPr>
            <w:tcW w:w="1344" w:type="dxa"/>
            <w:tcBorders>
              <w:top w:val="single" w:sz="4" w:space="0" w:color="auto"/>
            </w:tcBorders>
            <w:shd w:val="clear" w:color="auto" w:fill="FFFFFF"/>
          </w:tcPr>
          <w:p w:rsidR="005A17AA" w:rsidRPr="00E22C95" w:rsidRDefault="005A17AA"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1,53 (1,04, 2,25)</w:t>
            </w:r>
          </w:p>
        </w:tc>
        <w:tc>
          <w:tcPr>
            <w:tcW w:w="854" w:type="dxa"/>
            <w:tcBorders>
              <w:top w:val="single" w:sz="4" w:space="0" w:color="auto"/>
            </w:tcBorders>
            <w:shd w:val="clear" w:color="auto" w:fill="FFFFFF"/>
          </w:tcPr>
          <w:p w:rsidR="005A17AA" w:rsidRPr="00E22C95" w:rsidRDefault="005A17AA"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0,029</w:t>
            </w:r>
          </w:p>
        </w:tc>
        <w:tc>
          <w:tcPr>
            <w:tcW w:w="1493" w:type="dxa"/>
            <w:tcBorders>
              <w:top w:val="single" w:sz="4" w:space="0" w:color="auto"/>
            </w:tcBorders>
            <w:shd w:val="clear" w:color="auto" w:fill="FFFFFF"/>
          </w:tcPr>
          <w:p w:rsidR="005A17AA" w:rsidRPr="00E22C95" w:rsidRDefault="005A17AA"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1,48 (1,01, 2,17)</w:t>
            </w:r>
          </w:p>
        </w:tc>
        <w:tc>
          <w:tcPr>
            <w:tcW w:w="922" w:type="dxa"/>
            <w:tcBorders>
              <w:top w:val="single" w:sz="4" w:space="0" w:color="auto"/>
            </w:tcBorders>
            <w:shd w:val="clear" w:color="auto" w:fill="FFFFFF"/>
          </w:tcPr>
          <w:p w:rsidR="005A17AA" w:rsidRPr="00E22C95" w:rsidRDefault="005A17AA"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0,047</w:t>
            </w:r>
          </w:p>
        </w:tc>
      </w:tr>
      <w:tr w:rsidR="005A17AA" w:rsidRPr="00BC641F" w:rsidTr="00013FD6">
        <w:trPr>
          <w:trHeight w:hRule="exact" w:val="527"/>
        </w:trPr>
        <w:tc>
          <w:tcPr>
            <w:tcW w:w="2694" w:type="dxa"/>
            <w:shd w:val="clear" w:color="auto" w:fill="FFFFFF"/>
          </w:tcPr>
          <w:p w:rsidR="005A17AA" w:rsidRPr="00E22C95" w:rsidRDefault="005A17AA" w:rsidP="00E22C95">
            <w:pPr>
              <w:pStyle w:val="1"/>
              <w:shd w:val="clear" w:color="auto" w:fill="auto"/>
              <w:spacing w:before="0" w:line="240" w:lineRule="auto"/>
              <w:rPr>
                <w:rFonts w:ascii="Times New Roman" w:hAnsi="Times New Roman" w:cs="Times New Roman"/>
                <w:sz w:val="20"/>
                <w:szCs w:val="20"/>
              </w:rPr>
            </w:pPr>
            <w:r w:rsidRPr="00E22C95">
              <w:rPr>
                <w:rStyle w:val="TimesNewRoman7pt0pt"/>
                <w:rFonts w:eastAsia="Verdana"/>
                <w:color w:val="auto"/>
                <w:sz w:val="20"/>
                <w:szCs w:val="20"/>
                <w:lang w:val="ru-RU"/>
              </w:rPr>
              <w:t>Р</w:t>
            </w:r>
            <w:r w:rsidR="00E22C95">
              <w:rPr>
                <w:rStyle w:val="TimesNewRoman7pt0pt"/>
                <w:rFonts w:eastAsia="Verdana"/>
                <w:color w:val="auto"/>
                <w:sz w:val="20"/>
                <w:szCs w:val="20"/>
                <w:lang w:val="uk-UA"/>
              </w:rPr>
              <w:t>Г</w:t>
            </w:r>
            <w:r w:rsidRPr="00E22C95">
              <w:rPr>
                <w:rStyle w:val="TimesNewRoman7pt0pt"/>
                <w:rFonts w:eastAsia="Verdana"/>
                <w:color w:val="auto"/>
                <w:sz w:val="20"/>
                <w:szCs w:val="20"/>
                <w:lang w:val="ru-RU"/>
              </w:rPr>
              <w:t>П</w:t>
            </w:r>
          </w:p>
        </w:tc>
        <w:tc>
          <w:tcPr>
            <w:tcW w:w="1473" w:type="dxa"/>
            <w:shd w:val="clear" w:color="auto" w:fill="FFFFFF"/>
          </w:tcPr>
          <w:p w:rsidR="005A17AA" w:rsidRPr="00E22C95" w:rsidRDefault="005A17AA" w:rsidP="00E22C95">
            <w:pPr>
              <w:pStyle w:val="1"/>
              <w:shd w:val="clear" w:color="auto" w:fill="auto"/>
              <w:spacing w:before="0" w:line="240" w:lineRule="auto"/>
              <w:rPr>
                <w:rFonts w:ascii="Times New Roman" w:hAnsi="Times New Roman" w:cs="Times New Roman"/>
                <w:sz w:val="20"/>
                <w:szCs w:val="20"/>
              </w:rPr>
            </w:pPr>
            <w:r w:rsidRPr="00E22C95">
              <w:rPr>
                <w:rStyle w:val="TimesNewRoman7pt0pt"/>
                <w:rFonts w:eastAsia="Verdana"/>
                <w:color w:val="auto"/>
                <w:sz w:val="20"/>
                <w:szCs w:val="20"/>
              </w:rPr>
              <w:t>8,96 (5,37, 14,93)</w:t>
            </w:r>
          </w:p>
        </w:tc>
        <w:tc>
          <w:tcPr>
            <w:tcW w:w="874" w:type="dxa"/>
            <w:shd w:val="clear" w:color="auto" w:fill="FFFFFF"/>
          </w:tcPr>
          <w:p w:rsidR="005A17AA" w:rsidRPr="00E22C95" w:rsidRDefault="005A17AA"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&lt; 0,001</w:t>
            </w:r>
          </w:p>
        </w:tc>
        <w:tc>
          <w:tcPr>
            <w:tcW w:w="1344" w:type="dxa"/>
            <w:shd w:val="clear" w:color="auto" w:fill="FFFFFF"/>
          </w:tcPr>
          <w:p w:rsidR="005A17AA" w:rsidRPr="00E22C95" w:rsidRDefault="005A17AA"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8,65 (5,2, 14,38)</w:t>
            </w:r>
          </w:p>
        </w:tc>
        <w:tc>
          <w:tcPr>
            <w:tcW w:w="854" w:type="dxa"/>
            <w:shd w:val="clear" w:color="auto" w:fill="FFFFFF"/>
          </w:tcPr>
          <w:p w:rsidR="005A17AA" w:rsidRPr="00E22C95" w:rsidRDefault="005A17AA"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&lt; 0,001</w:t>
            </w:r>
          </w:p>
        </w:tc>
        <w:tc>
          <w:tcPr>
            <w:tcW w:w="1493" w:type="dxa"/>
            <w:shd w:val="clear" w:color="auto" w:fill="FFFFFF"/>
          </w:tcPr>
          <w:p w:rsidR="005A17AA" w:rsidRPr="00E22C95" w:rsidRDefault="005A17AA" w:rsidP="00E22C95">
            <w:pPr>
              <w:rPr>
                <w:sz w:val="20"/>
                <w:szCs w:val="20"/>
              </w:rPr>
            </w:pPr>
          </w:p>
        </w:tc>
        <w:tc>
          <w:tcPr>
            <w:tcW w:w="922" w:type="dxa"/>
            <w:shd w:val="clear" w:color="auto" w:fill="FFFFFF"/>
          </w:tcPr>
          <w:p w:rsidR="005A17AA" w:rsidRPr="00E22C95" w:rsidRDefault="005A17AA" w:rsidP="00E22C95">
            <w:pPr>
              <w:rPr>
                <w:sz w:val="20"/>
                <w:szCs w:val="20"/>
              </w:rPr>
            </w:pPr>
          </w:p>
        </w:tc>
      </w:tr>
      <w:tr w:rsidR="00A724A2" w:rsidRPr="00BC641F" w:rsidTr="00013FD6">
        <w:trPr>
          <w:trHeight w:hRule="exact" w:val="206"/>
        </w:trPr>
        <w:tc>
          <w:tcPr>
            <w:tcW w:w="2694" w:type="dxa"/>
            <w:shd w:val="clear" w:color="auto" w:fill="FFFFFF"/>
          </w:tcPr>
          <w:p w:rsidR="00A724A2" w:rsidRPr="00E22C95" w:rsidRDefault="00A724A2" w:rsidP="00E22C95">
            <w:pPr>
              <w:jc w:val="left"/>
              <w:rPr>
                <w:sz w:val="20"/>
                <w:szCs w:val="20"/>
              </w:rPr>
            </w:pPr>
            <w:r w:rsidRPr="00E22C95">
              <w:rPr>
                <w:sz w:val="20"/>
                <w:szCs w:val="20"/>
              </w:rPr>
              <w:t xml:space="preserve">1 </w:t>
            </w:r>
            <w:r w:rsidR="00E22C95">
              <w:rPr>
                <w:sz w:val="20"/>
                <w:szCs w:val="20"/>
                <w:lang w:val="uk-UA"/>
              </w:rPr>
              <w:t>е</w:t>
            </w:r>
            <w:r w:rsidRPr="00E22C95">
              <w:rPr>
                <w:sz w:val="20"/>
                <w:szCs w:val="20"/>
              </w:rPr>
              <w:t>п</w:t>
            </w:r>
            <w:r w:rsidR="00E22C95">
              <w:rPr>
                <w:sz w:val="20"/>
                <w:szCs w:val="20"/>
                <w:lang w:val="uk-UA"/>
              </w:rPr>
              <w:t>і</w:t>
            </w:r>
            <w:proofErr w:type="spellStart"/>
            <w:r w:rsidRPr="00E22C95">
              <w:rPr>
                <w:sz w:val="20"/>
                <w:szCs w:val="20"/>
              </w:rPr>
              <w:t>зод</w:t>
            </w:r>
            <w:proofErr w:type="spellEnd"/>
          </w:p>
        </w:tc>
        <w:tc>
          <w:tcPr>
            <w:tcW w:w="1473" w:type="dxa"/>
            <w:shd w:val="clear" w:color="auto" w:fill="FFFFFF"/>
          </w:tcPr>
          <w:p w:rsidR="00A724A2" w:rsidRPr="00E22C95" w:rsidRDefault="00A724A2" w:rsidP="00E22C95">
            <w:pPr>
              <w:rPr>
                <w:sz w:val="20"/>
                <w:szCs w:val="20"/>
              </w:rPr>
            </w:pPr>
          </w:p>
        </w:tc>
        <w:tc>
          <w:tcPr>
            <w:tcW w:w="874" w:type="dxa"/>
            <w:shd w:val="clear" w:color="auto" w:fill="FFFFFF"/>
          </w:tcPr>
          <w:p w:rsidR="00A724A2" w:rsidRPr="00E22C95" w:rsidRDefault="00A724A2" w:rsidP="00E22C95">
            <w:pPr>
              <w:rPr>
                <w:sz w:val="20"/>
                <w:szCs w:val="20"/>
              </w:rPr>
            </w:pPr>
          </w:p>
        </w:tc>
        <w:tc>
          <w:tcPr>
            <w:tcW w:w="1344" w:type="dxa"/>
            <w:shd w:val="clear" w:color="auto" w:fill="FFFFFF"/>
          </w:tcPr>
          <w:p w:rsidR="00A724A2" w:rsidRPr="00E22C95" w:rsidRDefault="00A724A2" w:rsidP="00E22C95">
            <w:pPr>
              <w:rPr>
                <w:sz w:val="20"/>
                <w:szCs w:val="20"/>
              </w:rPr>
            </w:pPr>
          </w:p>
        </w:tc>
        <w:tc>
          <w:tcPr>
            <w:tcW w:w="854" w:type="dxa"/>
            <w:shd w:val="clear" w:color="auto" w:fill="FFFFFF"/>
          </w:tcPr>
          <w:p w:rsidR="00A724A2" w:rsidRPr="00E22C95" w:rsidRDefault="00A724A2" w:rsidP="00E22C95">
            <w:pPr>
              <w:rPr>
                <w:sz w:val="20"/>
                <w:szCs w:val="20"/>
              </w:rPr>
            </w:pPr>
          </w:p>
        </w:tc>
        <w:tc>
          <w:tcPr>
            <w:tcW w:w="1493" w:type="dxa"/>
            <w:shd w:val="clear" w:color="auto" w:fill="FFFFFF"/>
          </w:tcPr>
          <w:p w:rsidR="00A724A2" w:rsidRPr="00E22C95" w:rsidRDefault="00A724A2"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1</w:t>
            </w:r>
          </w:p>
        </w:tc>
        <w:tc>
          <w:tcPr>
            <w:tcW w:w="922" w:type="dxa"/>
            <w:shd w:val="clear" w:color="auto" w:fill="FFFFFF"/>
          </w:tcPr>
          <w:p w:rsidR="00A724A2" w:rsidRPr="00E22C95" w:rsidRDefault="00A724A2" w:rsidP="00E22C95">
            <w:pPr>
              <w:rPr>
                <w:sz w:val="20"/>
                <w:szCs w:val="20"/>
              </w:rPr>
            </w:pPr>
          </w:p>
        </w:tc>
      </w:tr>
      <w:tr w:rsidR="00A724A2" w:rsidRPr="00BC641F" w:rsidTr="00013FD6">
        <w:trPr>
          <w:trHeight w:hRule="exact" w:val="197"/>
        </w:trPr>
        <w:tc>
          <w:tcPr>
            <w:tcW w:w="2694" w:type="dxa"/>
            <w:shd w:val="clear" w:color="auto" w:fill="FFFFFF"/>
          </w:tcPr>
          <w:p w:rsidR="00A724A2" w:rsidRPr="00E22C95" w:rsidRDefault="00A724A2" w:rsidP="00E22C95">
            <w:pPr>
              <w:jc w:val="left"/>
              <w:rPr>
                <w:sz w:val="20"/>
                <w:szCs w:val="20"/>
                <w:lang w:val="uk-UA"/>
              </w:rPr>
            </w:pPr>
            <w:r w:rsidRPr="00E22C95">
              <w:rPr>
                <w:sz w:val="20"/>
                <w:szCs w:val="20"/>
              </w:rPr>
              <w:t xml:space="preserve">2 </w:t>
            </w:r>
            <w:r w:rsidR="00E22C95">
              <w:rPr>
                <w:sz w:val="20"/>
                <w:szCs w:val="20"/>
                <w:lang w:val="uk-UA"/>
              </w:rPr>
              <w:t>е</w:t>
            </w:r>
            <w:r w:rsidR="00E22C95" w:rsidRPr="00E22C95">
              <w:rPr>
                <w:sz w:val="20"/>
                <w:szCs w:val="20"/>
              </w:rPr>
              <w:t>п</w:t>
            </w:r>
            <w:r w:rsidR="00E22C95">
              <w:rPr>
                <w:sz w:val="20"/>
                <w:szCs w:val="20"/>
                <w:lang w:val="uk-UA"/>
              </w:rPr>
              <w:t>і</w:t>
            </w:r>
            <w:proofErr w:type="spellStart"/>
            <w:r w:rsidR="00E22C95" w:rsidRPr="00E22C95">
              <w:rPr>
                <w:sz w:val="20"/>
                <w:szCs w:val="20"/>
              </w:rPr>
              <w:t>зод</w:t>
            </w:r>
            <w:proofErr w:type="spellEnd"/>
            <w:r w:rsidR="00E22C95">
              <w:rPr>
                <w:sz w:val="20"/>
                <w:szCs w:val="20"/>
                <w:lang w:val="uk-UA"/>
              </w:rPr>
              <w:t>и</w:t>
            </w:r>
          </w:p>
        </w:tc>
        <w:tc>
          <w:tcPr>
            <w:tcW w:w="1473" w:type="dxa"/>
            <w:shd w:val="clear" w:color="auto" w:fill="FFFFFF"/>
          </w:tcPr>
          <w:p w:rsidR="00A724A2" w:rsidRPr="00E22C95" w:rsidRDefault="00A724A2" w:rsidP="00E22C95">
            <w:pPr>
              <w:rPr>
                <w:sz w:val="20"/>
                <w:szCs w:val="20"/>
              </w:rPr>
            </w:pPr>
          </w:p>
        </w:tc>
        <w:tc>
          <w:tcPr>
            <w:tcW w:w="874" w:type="dxa"/>
            <w:shd w:val="clear" w:color="auto" w:fill="FFFFFF"/>
          </w:tcPr>
          <w:p w:rsidR="00A724A2" w:rsidRPr="00E22C95" w:rsidRDefault="00A724A2" w:rsidP="00E22C95">
            <w:pPr>
              <w:rPr>
                <w:sz w:val="20"/>
                <w:szCs w:val="20"/>
              </w:rPr>
            </w:pPr>
          </w:p>
        </w:tc>
        <w:tc>
          <w:tcPr>
            <w:tcW w:w="1344" w:type="dxa"/>
            <w:shd w:val="clear" w:color="auto" w:fill="FFFFFF"/>
          </w:tcPr>
          <w:p w:rsidR="00A724A2" w:rsidRPr="00E22C95" w:rsidRDefault="00A724A2" w:rsidP="00E22C95">
            <w:pPr>
              <w:rPr>
                <w:sz w:val="20"/>
                <w:szCs w:val="20"/>
              </w:rPr>
            </w:pPr>
          </w:p>
        </w:tc>
        <w:tc>
          <w:tcPr>
            <w:tcW w:w="854" w:type="dxa"/>
            <w:shd w:val="clear" w:color="auto" w:fill="FFFFFF"/>
          </w:tcPr>
          <w:p w:rsidR="00A724A2" w:rsidRPr="00E22C95" w:rsidRDefault="00A724A2" w:rsidP="00E22C95">
            <w:pPr>
              <w:rPr>
                <w:sz w:val="20"/>
                <w:szCs w:val="20"/>
              </w:rPr>
            </w:pPr>
          </w:p>
        </w:tc>
        <w:tc>
          <w:tcPr>
            <w:tcW w:w="1493" w:type="dxa"/>
            <w:shd w:val="clear" w:color="auto" w:fill="FFFFFF"/>
          </w:tcPr>
          <w:p w:rsidR="00A724A2" w:rsidRPr="00E22C95" w:rsidRDefault="00A724A2"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5,03 (2,75, 9,22)</w:t>
            </w:r>
          </w:p>
        </w:tc>
        <w:tc>
          <w:tcPr>
            <w:tcW w:w="922" w:type="dxa"/>
            <w:shd w:val="clear" w:color="auto" w:fill="FFFFFF"/>
          </w:tcPr>
          <w:p w:rsidR="00A724A2" w:rsidRPr="00E22C95" w:rsidRDefault="00A724A2"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&lt; 0,001</w:t>
            </w:r>
          </w:p>
        </w:tc>
      </w:tr>
      <w:tr w:rsidR="00A724A2" w:rsidRPr="00BC641F" w:rsidTr="00013FD6">
        <w:trPr>
          <w:trHeight w:hRule="exact" w:val="197"/>
        </w:trPr>
        <w:tc>
          <w:tcPr>
            <w:tcW w:w="2694" w:type="dxa"/>
            <w:shd w:val="clear" w:color="auto" w:fill="FFFFFF"/>
          </w:tcPr>
          <w:p w:rsidR="00A724A2" w:rsidRPr="00E22C95" w:rsidRDefault="00A724A2" w:rsidP="00E22C95">
            <w:pPr>
              <w:jc w:val="left"/>
              <w:rPr>
                <w:sz w:val="20"/>
                <w:szCs w:val="20"/>
              </w:rPr>
            </w:pPr>
            <w:r w:rsidRPr="00E22C95">
              <w:rPr>
                <w:sz w:val="20"/>
                <w:szCs w:val="20"/>
              </w:rPr>
              <w:t xml:space="preserve">3 </w:t>
            </w:r>
            <w:r w:rsidR="00E22C95">
              <w:rPr>
                <w:sz w:val="20"/>
                <w:szCs w:val="20"/>
                <w:lang w:val="uk-UA"/>
              </w:rPr>
              <w:t>е</w:t>
            </w:r>
            <w:r w:rsidR="00E22C95" w:rsidRPr="00E22C95">
              <w:rPr>
                <w:sz w:val="20"/>
                <w:szCs w:val="20"/>
              </w:rPr>
              <w:t>п</w:t>
            </w:r>
            <w:r w:rsidR="00E22C95">
              <w:rPr>
                <w:sz w:val="20"/>
                <w:szCs w:val="20"/>
                <w:lang w:val="uk-UA"/>
              </w:rPr>
              <w:t>і</w:t>
            </w:r>
            <w:proofErr w:type="spellStart"/>
            <w:r w:rsidR="00E22C95" w:rsidRPr="00E22C95">
              <w:rPr>
                <w:sz w:val="20"/>
                <w:szCs w:val="20"/>
              </w:rPr>
              <w:t>зод</w:t>
            </w:r>
            <w:proofErr w:type="spellEnd"/>
            <w:r w:rsidR="00E22C95">
              <w:rPr>
                <w:sz w:val="20"/>
                <w:szCs w:val="20"/>
                <w:lang w:val="uk-UA"/>
              </w:rPr>
              <w:t>и</w:t>
            </w:r>
          </w:p>
        </w:tc>
        <w:tc>
          <w:tcPr>
            <w:tcW w:w="1473" w:type="dxa"/>
            <w:shd w:val="clear" w:color="auto" w:fill="FFFFFF"/>
          </w:tcPr>
          <w:p w:rsidR="00A724A2" w:rsidRPr="00E22C95" w:rsidRDefault="00A724A2" w:rsidP="00E22C95">
            <w:pPr>
              <w:rPr>
                <w:sz w:val="20"/>
                <w:szCs w:val="20"/>
              </w:rPr>
            </w:pPr>
          </w:p>
        </w:tc>
        <w:tc>
          <w:tcPr>
            <w:tcW w:w="874" w:type="dxa"/>
            <w:shd w:val="clear" w:color="auto" w:fill="FFFFFF"/>
          </w:tcPr>
          <w:p w:rsidR="00A724A2" w:rsidRPr="00E22C95" w:rsidRDefault="00A724A2" w:rsidP="00E22C95">
            <w:pPr>
              <w:rPr>
                <w:sz w:val="20"/>
                <w:szCs w:val="20"/>
              </w:rPr>
            </w:pPr>
          </w:p>
        </w:tc>
        <w:tc>
          <w:tcPr>
            <w:tcW w:w="1344" w:type="dxa"/>
            <w:shd w:val="clear" w:color="auto" w:fill="FFFFFF"/>
          </w:tcPr>
          <w:p w:rsidR="00A724A2" w:rsidRPr="00E22C95" w:rsidRDefault="00A724A2" w:rsidP="00E22C95">
            <w:pPr>
              <w:rPr>
                <w:sz w:val="20"/>
                <w:szCs w:val="20"/>
              </w:rPr>
            </w:pPr>
          </w:p>
        </w:tc>
        <w:tc>
          <w:tcPr>
            <w:tcW w:w="854" w:type="dxa"/>
            <w:shd w:val="clear" w:color="auto" w:fill="FFFFFF"/>
          </w:tcPr>
          <w:p w:rsidR="00A724A2" w:rsidRPr="00E22C95" w:rsidRDefault="00A724A2" w:rsidP="00E22C95">
            <w:pPr>
              <w:rPr>
                <w:sz w:val="20"/>
                <w:szCs w:val="20"/>
              </w:rPr>
            </w:pPr>
          </w:p>
        </w:tc>
        <w:tc>
          <w:tcPr>
            <w:tcW w:w="1493" w:type="dxa"/>
            <w:shd w:val="clear" w:color="auto" w:fill="FFFFFF"/>
          </w:tcPr>
          <w:p w:rsidR="00A724A2" w:rsidRPr="00E22C95" w:rsidRDefault="00A724A2"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8,47 (4,36, 16,45)</w:t>
            </w:r>
          </w:p>
        </w:tc>
        <w:tc>
          <w:tcPr>
            <w:tcW w:w="922" w:type="dxa"/>
            <w:shd w:val="clear" w:color="auto" w:fill="FFFFFF"/>
          </w:tcPr>
          <w:p w:rsidR="00A724A2" w:rsidRPr="00E22C95" w:rsidRDefault="00A724A2"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&lt; 0,001</w:t>
            </w:r>
          </w:p>
        </w:tc>
      </w:tr>
      <w:tr w:rsidR="00A724A2" w:rsidRPr="00BC641F" w:rsidTr="00013FD6">
        <w:trPr>
          <w:trHeight w:hRule="exact" w:val="197"/>
        </w:trPr>
        <w:tc>
          <w:tcPr>
            <w:tcW w:w="2694" w:type="dxa"/>
            <w:shd w:val="clear" w:color="auto" w:fill="FFFFFF"/>
          </w:tcPr>
          <w:p w:rsidR="00A724A2" w:rsidRPr="00E22C95" w:rsidRDefault="00A724A2" w:rsidP="00E22C95">
            <w:pPr>
              <w:jc w:val="left"/>
              <w:rPr>
                <w:sz w:val="20"/>
                <w:szCs w:val="20"/>
              </w:rPr>
            </w:pPr>
            <w:r w:rsidRPr="00E22C95">
              <w:rPr>
                <w:sz w:val="20"/>
                <w:szCs w:val="20"/>
              </w:rPr>
              <w:t xml:space="preserve">&gt; 3 </w:t>
            </w:r>
            <w:r w:rsidR="00E22C95">
              <w:rPr>
                <w:sz w:val="20"/>
                <w:szCs w:val="20"/>
                <w:lang w:val="uk-UA"/>
              </w:rPr>
              <w:t>е</w:t>
            </w:r>
            <w:r w:rsidR="00E22C95" w:rsidRPr="00E22C95">
              <w:rPr>
                <w:sz w:val="20"/>
                <w:szCs w:val="20"/>
              </w:rPr>
              <w:t>п</w:t>
            </w:r>
            <w:r w:rsidR="00E22C95">
              <w:rPr>
                <w:sz w:val="20"/>
                <w:szCs w:val="20"/>
                <w:lang w:val="uk-UA"/>
              </w:rPr>
              <w:t>і</w:t>
            </w:r>
            <w:proofErr w:type="spellStart"/>
            <w:r w:rsidR="00E22C95" w:rsidRPr="00E22C95">
              <w:rPr>
                <w:sz w:val="20"/>
                <w:szCs w:val="20"/>
              </w:rPr>
              <w:t>зод</w:t>
            </w:r>
            <w:proofErr w:type="spellEnd"/>
            <w:r w:rsidR="00E22C95">
              <w:rPr>
                <w:sz w:val="20"/>
                <w:szCs w:val="20"/>
                <w:lang w:val="uk-UA"/>
              </w:rPr>
              <w:t>і</w:t>
            </w:r>
            <w:r w:rsidRPr="00E22C95">
              <w:rPr>
                <w:sz w:val="20"/>
                <w:szCs w:val="20"/>
              </w:rPr>
              <w:t>в</w:t>
            </w:r>
          </w:p>
        </w:tc>
        <w:tc>
          <w:tcPr>
            <w:tcW w:w="1473" w:type="dxa"/>
            <w:shd w:val="clear" w:color="auto" w:fill="FFFFFF"/>
          </w:tcPr>
          <w:p w:rsidR="00A724A2" w:rsidRPr="00E22C95" w:rsidRDefault="00A724A2" w:rsidP="00E22C95">
            <w:pPr>
              <w:rPr>
                <w:sz w:val="20"/>
                <w:szCs w:val="20"/>
              </w:rPr>
            </w:pPr>
          </w:p>
        </w:tc>
        <w:tc>
          <w:tcPr>
            <w:tcW w:w="874" w:type="dxa"/>
            <w:shd w:val="clear" w:color="auto" w:fill="FFFFFF"/>
          </w:tcPr>
          <w:p w:rsidR="00A724A2" w:rsidRPr="00E22C95" w:rsidRDefault="00A724A2" w:rsidP="00E22C95">
            <w:pPr>
              <w:rPr>
                <w:sz w:val="20"/>
                <w:szCs w:val="20"/>
              </w:rPr>
            </w:pPr>
          </w:p>
        </w:tc>
        <w:tc>
          <w:tcPr>
            <w:tcW w:w="1344" w:type="dxa"/>
            <w:shd w:val="clear" w:color="auto" w:fill="FFFFFF"/>
          </w:tcPr>
          <w:p w:rsidR="00A724A2" w:rsidRPr="00E22C95" w:rsidRDefault="00A724A2" w:rsidP="00E22C95">
            <w:pPr>
              <w:rPr>
                <w:sz w:val="20"/>
                <w:szCs w:val="20"/>
              </w:rPr>
            </w:pPr>
          </w:p>
        </w:tc>
        <w:tc>
          <w:tcPr>
            <w:tcW w:w="854" w:type="dxa"/>
            <w:shd w:val="clear" w:color="auto" w:fill="FFFFFF"/>
          </w:tcPr>
          <w:p w:rsidR="00A724A2" w:rsidRPr="00E22C95" w:rsidRDefault="00A724A2" w:rsidP="00E22C95">
            <w:pPr>
              <w:rPr>
                <w:sz w:val="20"/>
                <w:szCs w:val="20"/>
              </w:rPr>
            </w:pPr>
          </w:p>
        </w:tc>
        <w:tc>
          <w:tcPr>
            <w:tcW w:w="1493" w:type="dxa"/>
            <w:shd w:val="clear" w:color="auto" w:fill="FFFFFF"/>
          </w:tcPr>
          <w:p w:rsidR="00A724A2" w:rsidRPr="00E22C95" w:rsidRDefault="00A724A2"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15,64 (8,91, 27,47)</w:t>
            </w:r>
          </w:p>
        </w:tc>
        <w:tc>
          <w:tcPr>
            <w:tcW w:w="922" w:type="dxa"/>
            <w:shd w:val="clear" w:color="auto" w:fill="FFFFFF"/>
          </w:tcPr>
          <w:p w:rsidR="00A724A2" w:rsidRPr="00E22C95" w:rsidRDefault="00A724A2"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&lt; 0,001</w:t>
            </w:r>
          </w:p>
        </w:tc>
      </w:tr>
      <w:tr w:rsidR="00A724A2" w:rsidRPr="00BC641F" w:rsidTr="00013FD6">
        <w:trPr>
          <w:trHeight w:hRule="exact" w:val="197"/>
        </w:trPr>
        <w:tc>
          <w:tcPr>
            <w:tcW w:w="2694" w:type="dxa"/>
            <w:shd w:val="clear" w:color="auto" w:fill="FFFFFF"/>
          </w:tcPr>
          <w:p w:rsidR="00A724A2" w:rsidRPr="00E22C95" w:rsidRDefault="00CF33D5" w:rsidP="00E22C95">
            <w:pPr>
              <w:jc w:val="left"/>
              <w:rPr>
                <w:sz w:val="20"/>
                <w:szCs w:val="20"/>
              </w:rPr>
            </w:pPr>
            <w:proofErr w:type="spellStart"/>
            <w:r w:rsidRPr="00E22C95">
              <w:rPr>
                <w:sz w:val="20"/>
                <w:szCs w:val="20"/>
              </w:rPr>
              <w:t>Рег</w:t>
            </w:r>
            <w:proofErr w:type="spellEnd"/>
            <w:r w:rsidR="00E22C95">
              <w:rPr>
                <w:sz w:val="20"/>
                <w:szCs w:val="20"/>
                <w:lang w:val="uk-UA"/>
              </w:rPr>
              <w:t>і</w:t>
            </w:r>
            <w:r w:rsidRPr="00E22C95">
              <w:rPr>
                <w:sz w:val="20"/>
                <w:szCs w:val="20"/>
              </w:rPr>
              <w:t xml:space="preserve">он </w:t>
            </w:r>
            <w:proofErr w:type="spellStart"/>
            <w:r w:rsidRPr="00E22C95">
              <w:rPr>
                <w:sz w:val="20"/>
                <w:szCs w:val="20"/>
              </w:rPr>
              <w:t>проживан</w:t>
            </w:r>
            <w:proofErr w:type="spellEnd"/>
            <w:r w:rsidR="00E22C95">
              <w:rPr>
                <w:sz w:val="20"/>
                <w:szCs w:val="20"/>
                <w:lang w:val="uk-UA"/>
              </w:rPr>
              <w:t>н</w:t>
            </w:r>
            <w:r w:rsidRPr="00E22C95">
              <w:rPr>
                <w:sz w:val="20"/>
                <w:szCs w:val="20"/>
              </w:rPr>
              <w:t>я</w:t>
            </w:r>
          </w:p>
        </w:tc>
        <w:tc>
          <w:tcPr>
            <w:tcW w:w="1473" w:type="dxa"/>
            <w:shd w:val="clear" w:color="auto" w:fill="FFFFFF"/>
          </w:tcPr>
          <w:p w:rsidR="00A724A2" w:rsidRPr="00E22C95" w:rsidRDefault="00A724A2" w:rsidP="00E22C95">
            <w:pPr>
              <w:rPr>
                <w:sz w:val="20"/>
                <w:szCs w:val="20"/>
              </w:rPr>
            </w:pPr>
          </w:p>
        </w:tc>
        <w:tc>
          <w:tcPr>
            <w:tcW w:w="874" w:type="dxa"/>
            <w:shd w:val="clear" w:color="auto" w:fill="FFFFFF"/>
          </w:tcPr>
          <w:p w:rsidR="00A724A2" w:rsidRPr="00E22C95" w:rsidRDefault="00A724A2" w:rsidP="00E22C95">
            <w:pPr>
              <w:rPr>
                <w:sz w:val="20"/>
                <w:szCs w:val="20"/>
              </w:rPr>
            </w:pPr>
          </w:p>
        </w:tc>
        <w:tc>
          <w:tcPr>
            <w:tcW w:w="1344" w:type="dxa"/>
            <w:shd w:val="clear" w:color="auto" w:fill="FFFFFF"/>
          </w:tcPr>
          <w:p w:rsidR="00A724A2" w:rsidRPr="00E22C95" w:rsidRDefault="00A724A2" w:rsidP="00E22C95">
            <w:pPr>
              <w:rPr>
                <w:sz w:val="20"/>
                <w:szCs w:val="20"/>
              </w:rPr>
            </w:pPr>
          </w:p>
        </w:tc>
        <w:tc>
          <w:tcPr>
            <w:tcW w:w="854" w:type="dxa"/>
            <w:shd w:val="clear" w:color="auto" w:fill="FFFFFF"/>
          </w:tcPr>
          <w:p w:rsidR="00A724A2" w:rsidRPr="00E22C95" w:rsidRDefault="00A724A2" w:rsidP="00E22C95">
            <w:pPr>
              <w:rPr>
                <w:sz w:val="20"/>
                <w:szCs w:val="20"/>
              </w:rPr>
            </w:pPr>
          </w:p>
        </w:tc>
        <w:tc>
          <w:tcPr>
            <w:tcW w:w="1493" w:type="dxa"/>
            <w:shd w:val="clear" w:color="auto" w:fill="FFFFFF"/>
          </w:tcPr>
          <w:p w:rsidR="00A724A2" w:rsidRPr="00E22C95" w:rsidRDefault="00A724A2" w:rsidP="00E22C95">
            <w:pPr>
              <w:rPr>
                <w:sz w:val="20"/>
                <w:szCs w:val="20"/>
              </w:rPr>
            </w:pPr>
          </w:p>
        </w:tc>
        <w:tc>
          <w:tcPr>
            <w:tcW w:w="922" w:type="dxa"/>
            <w:shd w:val="clear" w:color="auto" w:fill="FFFFFF"/>
          </w:tcPr>
          <w:p w:rsidR="00A724A2" w:rsidRPr="00E22C95" w:rsidRDefault="00A724A2" w:rsidP="00E22C95">
            <w:pPr>
              <w:rPr>
                <w:sz w:val="20"/>
                <w:szCs w:val="20"/>
              </w:rPr>
            </w:pPr>
          </w:p>
        </w:tc>
      </w:tr>
      <w:tr w:rsidR="00E22C95" w:rsidRPr="00BC641F" w:rsidTr="00013FD6">
        <w:trPr>
          <w:trHeight w:hRule="exact" w:val="250"/>
        </w:trPr>
        <w:tc>
          <w:tcPr>
            <w:tcW w:w="2694" w:type="dxa"/>
            <w:shd w:val="clear" w:color="auto" w:fill="FFFFFF"/>
          </w:tcPr>
          <w:p w:rsidR="00E22C95" w:rsidRPr="00035A95" w:rsidRDefault="00E22C95" w:rsidP="00E22C95">
            <w:pPr>
              <w:autoSpaceDE w:val="0"/>
              <w:autoSpaceDN w:val="0"/>
              <w:adjustRightInd w:val="0"/>
              <w:rPr>
                <w:sz w:val="20"/>
                <w:szCs w:val="20"/>
                <w:lang w:val="uk-UA"/>
              </w:rPr>
            </w:pPr>
            <w:r>
              <w:rPr>
                <w:sz w:val="20"/>
                <w:szCs w:val="20"/>
                <w:lang w:val="uk-UA"/>
              </w:rPr>
              <w:t>П</w:t>
            </w:r>
            <w:r w:rsidRPr="00035A95">
              <w:rPr>
                <w:sz w:val="20"/>
                <w:szCs w:val="20"/>
                <w:lang w:val="uk-UA"/>
              </w:rPr>
              <w:t>івнічний Тайвань</w:t>
            </w:r>
          </w:p>
          <w:p w:rsidR="00E22C95" w:rsidRPr="00EC25B7" w:rsidRDefault="00E22C95" w:rsidP="00E22C95">
            <w:pPr>
              <w:rPr>
                <w:sz w:val="20"/>
                <w:szCs w:val="20"/>
              </w:rPr>
            </w:pPr>
          </w:p>
        </w:tc>
        <w:tc>
          <w:tcPr>
            <w:tcW w:w="1473" w:type="dxa"/>
            <w:shd w:val="clear" w:color="auto" w:fill="FFFFFF"/>
          </w:tcPr>
          <w:p w:rsidR="00E22C95" w:rsidRPr="00E22C95" w:rsidRDefault="00E22C95" w:rsidP="00E22C95">
            <w:pPr>
              <w:pStyle w:val="1"/>
              <w:shd w:val="clear" w:color="auto" w:fill="auto"/>
              <w:spacing w:before="0" w:line="240" w:lineRule="auto"/>
              <w:rPr>
                <w:rFonts w:ascii="Times New Roman" w:hAnsi="Times New Roman" w:cs="Times New Roman"/>
                <w:sz w:val="20"/>
                <w:szCs w:val="20"/>
              </w:rPr>
            </w:pPr>
            <w:r w:rsidRPr="00E22C95">
              <w:rPr>
                <w:rStyle w:val="TimesNewRoman7pt0pt"/>
                <w:rFonts w:eastAsia="Verdana"/>
                <w:color w:val="auto"/>
                <w:sz w:val="20"/>
                <w:szCs w:val="20"/>
              </w:rPr>
              <w:t>1</w:t>
            </w:r>
          </w:p>
        </w:tc>
        <w:tc>
          <w:tcPr>
            <w:tcW w:w="874" w:type="dxa"/>
            <w:shd w:val="clear" w:color="auto" w:fill="FFFFFF"/>
          </w:tcPr>
          <w:p w:rsidR="00E22C95" w:rsidRPr="00E22C95" w:rsidRDefault="00E22C95" w:rsidP="00E22C95">
            <w:pPr>
              <w:rPr>
                <w:sz w:val="20"/>
                <w:szCs w:val="20"/>
              </w:rPr>
            </w:pPr>
          </w:p>
        </w:tc>
        <w:tc>
          <w:tcPr>
            <w:tcW w:w="1344" w:type="dxa"/>
            <w:shd w:val="clear" w:color="auto" w:fill="FFFFFF"/>
          </w:tcPr>
          <w:p w:rsidR="00E22C95" w:rsidRPr="00E22C95" w:rsidRDefault="00E22C95" w:rsidP="00E22C95">
            <w:pPr>
              <w:rPr>
                <w:sz w:val="20"/>
                <w:szCs w:val="20"/>
              </w:rPr>
            </w:pPr>
          </w:p>
        </w:tc>
        <w:tc>
          <w:tcPr>
            <w:tcW w:w="854" w:type="dxa"/>
            <w:shd w:val="clear" w:color="auto" w:fill="FFFFFF"/>
          </w:tcPr>
          <w:p w:rsidR="00E22C95" w:rsidRPr="00E22C95" w:rsidRDefault="00E22C95" w:rsidP="00E22C95">
            <w:pPr>
              <w:rPr>
                <w:sz w:val="20"/>
                <w:szCs w:val="20"/>
              </w:rPr>
            </w:pPr>
          </w:p>
        </w:tc>
        <w:tc>
          <w:tcPr>
            <w:tcW w:w="1493" w:type="dxa"/>
            <w:shd w:val="clear" w:color="auto" w:fill="FFFFFF"/>
          </w:tcPr>
          <w:p w:rsidR="00E22C95" w:rsidRPr="00E22C95" w:rsidRDefault="00E22C95" w:rsidP="00E22C95">
            <w:pPr>
              <w:rPr>
                <w:sz w:val="20"/>
                <w:szCs w:val="20"/>
              </w:rPr>
            </w:pPr>
          </w:p>
        </w:tc>
        <w:tc>
          <w:tcPr>
            <w:tcW w:w="922" w:type="dxa"/>
            <w:shd w:val="clear" w:color="auto" w:fill="FFFFFF"/>
          </w:tcPr>
          <w:p w:rsidR="00E22C95" w:rsidRPr="00E22C95" w:rsidRDefault="00E22C95" w:rsidP="00E22C95">
            <w:pPr>
              <w:rPr>
                <w:sz w:val="20"/>
                <w:szCs w:val="20"/>
              </w:rPr>
            </w:pPr>
          </w:p>
        </w:tc>
      </w:tr>
      <w:tr w:rsidR="00E22C95" w:rsidRPr="00BC641F" w:rsidTr="00013FD6">
        <w:trPr>
          <w:trHeight w:hRule="exact" w:val="197"/>
        </w:trPr>
        <w:tc>
          <w:tcPr>
            <w:tcW w:w="2694" w:type="dxa"/>
            <w:shd w:val="clear" w:color="auto" w:fill="FFFFFF"/>
          </w:tcPr>
          <w:p w:rsidR="00E22C95" w:rsidRPr="00EC25B7" w:rsidRDefault="00E22C95" w:rsidP="00E22C95">
            <w:pPr>
              <w:rPr>
                <w:sz w:val="20"/>
                <w:szCs w:val="20"/>
              </w:rPr>
            </w:pPr>
            <w:r>
              <w:rPr>
                <w:sz w:val="20"/>
                <w:szCs w:val="20"/>
                <w:lang w:val="uk-UA"/>
              </w:rPr>
              <w:t>Ц</w:t>
            </w:r>
            <w:r w:rsidRPr="00035A95">
              <w:rPr>
                <w:sz w:val="20"/>
                <w:szCs w:val="20"/>
                <w:lang w:val="uk-UA"/>
              </w:rPr>
              <w:t>ентральний Тайвань</w:t>
            </w:r>
          </w:p>
        </w:tc>
        <w:tc>
          <w:tcPr>
            <w:tcW w:w="1473" w:type="dxa"/>
            <w:shd w:val="clear" w:color="auto" w:fill="FFFFFF"/>
          </w:tcPr>
          <w:p w:rsidR="00E22C95" w:rsidRPr="00E22C95" w:rsidRDefault="00E22C95" w:rsidP="00E22C95">
            <w:pPr>
              <w:pStyle w:val="1"/>
              <w:shd w:val="clear" w:color="auto" w:fill="auto"/>
              <w:spacing w:before="0" w:line="240" w:lineRule="auto"/>
              <w:rPr>
                <w:rFonts w:ascii="Times New Roman" w:hAnsi="Times New Roman" w:cs="Times New Roman"/>
                <w:sz w:val="20"/>
                <w:szCs w:val="20"/>
              </w:rPr>
            </w:pPr>
            <w:r w:rsidRPr="00E22C95">
              <w:rPr>
                <w:rStyle w:val="TimesNewRoman7pt0pt"/>
                <w:rFonts w:eastAsia="Verdana"/>
                <w:color w:val="auto"/>
                <w:sz w:val="20"/>
                <w:szCs w:val="20"/>
              </w:rPr>
              <w:t>0,53 (0,28, 0,99)</w:t>
            </w:r>
          </w:p>
        </w:tc>
        <w:tc>
          <w:tcPr>
            <w:tcW w:w="874" w:type="dxa"/>
            <w:shd w:val="clear" w:color="auto" w:fill="FFFFFF"/>
          </w:tcPr>
          <w:p w:rsidR="00E22C95" w:rsidRPr="00E22C95" w:rsidRDefault="00E22C95"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0,047</w:t>
            </w:r>
          </w:p>
        </w:tc>
        <w:tc>
          <w:tcPr>
            <w:tcW w:w="1344" w:type="dxa"/>
            <w:shd w:val="clear" w:color="auto" w:fill="FFFFFF"/>
          </w:tcPr>
          <w:p w:rsidR="00E22C95" w:rsidRPr="00E22C95" w:rsidRDefault="00E22C95" w:rsidP="00E22C95">
            <w:pPr>
              <w:rPr>
                <w:sz w:val="20"/>
                <w:szCs w:val="20"/>
              </w:rPr>
            </w:pPr>
          </w:p>
        </w:tc>
        <w:tc>
          <w:tcPr>
            <w:tcW w:w="854" w:type="dxa"/>
            <w:shd w:val="clear" w:color="auto" w:fill="FFFFFF"/>
          </w:tcPr>
          <w:p w:rsidR="00E22C95" w:rsidRPr="00E22C95" w:rsidRDefault="00E22C95" w:rsidP="00E22C95">
            <w:pPr>
              <w:rPr>
                <w:sz w:val="20"/>
                <w:szCs w:val="20"/>
              </w:rPr>
            </w:pPr>
          </w:p>
        </w:tc>
        <w:tc>
          <w:tcPr>
            <w:tcW w:w="1493" w:type="dxa"/>
            <w:shd w:val="clear" w:color="auto" w:fill="FFFFFF"/>
          </w:tcPr>
          <w:p w:rsidR="00E22C95" w:rsidRPr="00E22C95" w:rsidRDefault="00E22C95" w:rsidP="00E22C95">
            <w:pPr>
              <w:rPr>
                <w:sz w:val="20"/>
                <w:szCs w:val="20"/>
              </w:rPr>
            </w:pPr>
          </w:p>
        </w:tc>
        <w:tc>
          <w:tcPr>
            <w:tcW w:w="922" w:type="dxa"/>
            <w:shd w:val="clear" w:color="auto" w:fill="FFFFFF"/>
          </w:tcPr>
          <w:p w:rsidR="00E22C95" w:rsidRPr="00E22C95" w:rsidRDefault="00E22C95" w:rsidP="00E22C95">
            <w:pPr>
              <w:rPr>
                <w:sz w:val="20"/>
                <w:szCs w:val="20"/>
              </w:rPr>
            </w:pPr>
          </w:p>
        </w:tc>
      </w:tr>
      <w:tr w:rsidR="00E22C95" w:rsidRPr="00BC641F" w:rsidTr="00013FD6">
        <w:trPr>
          <w:trHeight w:hRule="exact" w:val="197"/>
        </w:trPr>
        <w:tc>
          <w:tcPr>
            <w:tcW w:w="2694" w:type="dxa"/>
            <w:shd w:val="clear" w:color="auto" w:fill="FFFFFF"/>
          </w:tcPr>
          <w:p w:rsidR="00E22C95" w:rsidRPr="00035A95" w:rsidRDefault="00E22C95" w:rsidP="00E22C95">
            <w:pPr>
              <w:autoSpaceDE w:val="0"/>
              <w:autoSpaceDN w:val="0"/>
              <w:adjustRightInd w:val="0"/>
              <w:rPr>
                <w:sz w:val="20"/>
                <w:szCs w:val="20"/>
                <w:lang w:val="uk-UA"/>
              </w:rPr>
            </w:pPr>
            <w:r>
              <w:rPr>
                <w:sz w:val="20"/>
                <w:szCs w:val="20"/>
                <w:lang w:val="uk-UA"/>
              </w:rPr>
              <w:t>П</w:t>
            </w:r>
            <w:r w:rsidRPr="00035A95">
              <w:rPr>
                <w:sz w:val="20"/>
                <w:szCs w:val="20"/>
                <w:lang w:val="uk-UA"/>
              </w:rPr>
              <w:t>івденний Тайвань</w:t>
            </w:r>
          </w:p>
          <w:p w:rsidR="00E22C95" w:rsidRPr="00EC25B7" w:rsidRDefault="00E22C95" w:rsidP="00E22C95">
            <w:pPr>
              <w:rPr>
                <w:sz w:val="20"/>
                <w:szCs w:val="20"/>
              </w:rPr>
            </w:pPr>
          </w:p>
        </w:tc>
        <w:tc>
          <w:tcPr>
            <w:tcW w:w="1473" w:type="dxa"/>
            <w:shd w:val="clear" w:color="auto" w:fill="FFFFFF"/>
          </w:tcPr>
          <w:p w:rsidR="00E22C95" w:rsidRPr="00E22C95" w:rsidRDefault="00E22C95" w:rsidP="00E22C95">
            <w:pPr>
              <w:pStyle w:val="1"/>
              <w:shd w:val="clear" w:color="auto" w:fill="auto"/>
              <w:spacing w:before="0" w:line="240" w:lineRule="auto"/>
              <w:rPr>
                <w:rFonts w:ascii="Times New Roman" w:hAnsi="Times New Roman" w:cs="Times New Roman"/>
                <w:sz w:val="20"/>
                <w:szCs w:val="20"/>
              </w:rPr>
            </w:pPr>
            <w:r w:rsidRPr="00E22C95">
              <w:rPr>
                <w:rStyle w:val="TimesNewRoman7pt0pt"/>
                <w:rFonts w:eastAsia="Verdana"/>
                <w:color w:val="auto"/>
                <w:sz w:val="20"/>
                <w:szCs w:val="20"/>
              </w:rPr>
              <w:t>1,45 (0,94, 2,23)</w:t>
            </w:r>
          </w:p>
        </w:tc>
        <w:tc>
          <w:tcPr>
            <w:tcW w:w="874" w:type="dxa"/>
            <w:shd w:val="clear" w:color="auto" w:fill="FFFFFF"/>
          </w:tcPr>
          <w:p w:rsidR="00E22C95" w:rsidRPr="00E22C95" w:rsidRDefault="00E22C95"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0,090</w:t>
            </w:r>
          </w:p>
        </w:tc>
        <w:tc>
          <w:tcPr>
            <w:tcW w:w="1344" w:type="dxa"/>
            <w:shd w:val="clear" w:color="auto" w:fill="FFFFFF"/>
          </w:tcPr>
          <w:p w:rsidR="00E22C95" w:rsidRPr="00E22C95" w:rsidRDefault="00E22C95" w:rsidP="00E22C95">
            <w:pPr>
              <w:rPr>
                <w:sz w:val="20"/>
                <w:szCs w:val="20"/>
              </w:rPr>
            </w:pPr>
          </w:p>
        </w:tc>
        <w:tc>
          <w:tcPr>
            <w:tcW w:w="854" w:type="dxa"/>
            <w:shd w:val="clear" w:color="auto" w:fill="FFFFFF"/>
          </w:tcPr>
          <w:p w:rsidR="00E22C95" w:rsidRPr="00E22C95" w:rsidRDefault="00E22C95" w:rsidP="00E22C95">
            <w:pPr>
              <w:rPr>
                <w:sz w:val="20"/>
                <w:szCs w:val="20"/>
              </w:rPr>
            </w:pPr>
          </w:p>
        </w:tc>
        <w:tc>
          <w:tcPr>
            <w:tcW w:w="1493" w:type="dxa"/>
            <w:shd w:val="clear" w:color="auto" w:fill="FFFFFF"/>
          </w:tcPr>
          <w:p w:rsidR="00E22C95" w:rsidRPr="00E22C95" w:rsidRDefault="00E22C95" w:rsidP="00E22C95">
            <w:pPr>
              <w:rPr>
                <w:sz w:val="20"/>
                <w:szCs w:val="20"/>
              </w:rPr>
            </w:pPr>
          </w:p>
        </w:tc>
        <w:tc>
          <w:tcPr>
            <w:tcW w:w="922" w:type="dxa"/>
            <w:shd w:val="clear" w:color="auto" w:fill="FFFFFF"/>
          </w:tcPr>
          <w:p w:rsidR="00E22C95" w:rsidRPr="00E22C95" w:rsidRDefault="00E22C95" w:rsidP="00E22C95">
            <w:pPr>
              <w:rPr>
                <w:sz w:val="20"/>
                <w:szCs w:val="20"/>
              </w:rPr>
            </w:pPr>
          </w:p>
        </w:tc>
      </w:tr>
      <w:tr w:rsidR="00E22C95" w:rsidRPr="00BC641F" w:rsidTr="00013FD6">
        <w:trPr>
          <w:trHeight w:hRule="exact" w:val="305"/>
        </w:trPr>
        <w:tc>
          <w:tcPr>
            <w:tcW w:w="2694" w:type="dxa"/>
            <w:shd w:val="clear" w:color="auto" w:fill="FFFFFF"/>
          </w:tcPr>
          <w:p w:rsidR="00E22C95" w:rsidRPr="00035A95" w:rsidRDefault="00E22C95" w:rsidP="00E22C95">
            <w:pPr>
              <w:autoSpaceDE w:val="0"/>
              <w:autoSpaceDN w:val="0"/>
              <w:adjustRightInd w:val="0"/>
              <w:rPr>
                <w:sz w:val="20"/>
                <w:szCs w:val="20"/>
                <w:lang w:val="uk-UA"/>
              </w:rPr>
            </w:pPr>
            <w:r w:rsidRPr="00035A95">
              <w:rPr>
                <w:sz w:val="20"/>
                <w:szCs w:val="20"/>
                <w:lang w:val="uk-UA"/>
              </w:rPr>
              <w:t>Східний Тайвань і остров</w:t>
            </w:r>
            <w:r>
              <w:rPr>
                <w:sz w:val="20"/>
                <w:szCs w:val="20"/>
                <w:lang w:val="uk-UA"/>
              </w:rPr>
              <w:t>и</w:t>
            </w:r>
          </w:p>
          <w:p w:rsidR="00E22C95" w:rsidRPr="00EC25B7" w:rsidRDefault="00E22C95" w:rsidP="00E22C95">
            <w:pPr>
              <w:rPr>
                <w:sz w:val="20"/>
                <w:szCs w:val="20"/>
              </w:rPr>
            </w:pPr>
          </w:p>
        </w:tc>
        <w:tc>
          <w:tcPr>
            <w:tcW w:w="1473" w:type="dxa"/>
            <w:shd w:val="clear" w:color="auto" w:fill="FFFFFF"/>
          </w:tcPr>
          <w:p w:rsidR="00E22C95" w:rsidRPr="00E22C95" w:rsidRDefault="00E22C95" w:rsidP="00E22C95">
            <w:pPr>
              <w:pStyle w:val="1"/>
              <w:shd w:val="clear" w:color="auto" w:fill="auto"/>
              <w:spacing w:before="0" w:line="240" w:lineRule="auto"/>
              <w:rPr>
                <w:rFonts w:ascii="Times New Roman" w:hAnsi="Times New Roman" w:cs="Times New Roman"/>
                <w:sz w:val="20"/>
                <w:szCs w:val="20"/>
              </w:rPr>
            </w:pPr>
            <w:r w:rsidRPr="00E22C95">
              <w:rPr>
                <w:rStyle w:val="TimesNewRoman7pt0pt"/>
                <w:rFonts w:eastAsia="Verdana"/>
                <w:color w:val="auto"/>
                <w:sz w:val="20"/>
                <w:szCs w:val="20"/>
              </w:rPr>
              <w:t>1,2 (0,57, 2,53)</w:t>
            </w:r>
          </w:p>
        </w:tc>
        <w:tc>
          <w:tcPr>
            <w:tcW w:w="874" w:type="dxa"/>
            <w:shd w:val="clear" w:color="auto" w:fill="FFFFFF"/>
          </w:tcPr>
          <w:p w:rsidR="00E22C95" w:rsidRPr="00E22C95" w:rsidRDefault="00E22C95"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0,626</w:t>
            </w:r>
          </w:p>
        </w:tc>
        <w:tc>
          <w:tcPr>
            <w:tcW w:w="1344" w:type="dxa"/>
            <w:shd w:val="clear" w:color="auto" w:fill="FFFFFF"/>
          </w:tcPr>
          <w:p w:rsidR="00E22C95" w:rsidRPr="00E22C95" w:rsidRDefault="00E22C95" w:rsidP="00E22C95">
            <w:pPr>
              <w:rPr>
                <w:sz w:val="20"/>
                <w:szCs w:val="20"/>
              </w:rPr>
            </w:pPr>
          </w:p>
        </w:tc>
        <w:tc>
          <w:tcPr>
            <w:tcW w:w="854" w:type="dxa"/>
            <w:shd w:val="clear" w:color="auto" w:fill="FFFFFF"/>
          </w:tcPr>
          <w:p w:rsidR="00E22C95" w:rsidRPr="00E22C95" w:rsidRDefault="00E22C95" w:rsidP="00E22C95">
            <w:pPr>
              <w:rPr>
                <w:sz w:val="20"/>
                <w:szCs w:val="20"/>
              </w:rPr>
            </w:pPr>
          </w:p>
        </w:tc>
        <w:tc>
          <w:tcPr>
            <w:tcW w:w="1493" w:type="dxa"/>
            <w:shd w:val="clear" w:color="auto" w:fill="FFFFFF"/>
          </w:tcPr>
          <w:p w:rsidR="00E22C95" w:rsidRPr="00E22C95" w:rsidRDefault="00E22C95" w:rsidP="00E22C95">
            <w:pPr>
              <w:rPr>
                <w:sz w:val="20"/>
                <w:szCs w:val="20"/>
              </w:rPr>
            </w:pPr>
          </w:p>
        </w:tc>
        <w:tc>
          <w:tcPr>
            <w:tcW w:w="922" w:type="dxa"/>
            <w:shd w:val="clear" w:color="auto" w:fill="FFFFFF"/>
          </w:tcPr>
          <w:p w:rsidR="00E22C95" w:rsidRPr="00E22C95" w:rsidRDefault="00E22C95" w:rsidP="00E22C95">
            <w:pPr>
              <w:rPr>
                <w:sz w:val="20"/>
                <w:szCs w:val="20"/>
              </w:rPr>
            </w:pPr>
          </w:p>
        </w:tc>
      </w:tr>
      <w:tr w:rsidR="00A724A2" w:rsidRPr="00BC641F" w:rsidTr="00013FD6">
        <w:trPr>
          <w:trHeight w:hRule="exact" w:val="291"/>
        </w:trPr>
        <w:tc>
          <w:tcPr>
            <w:tcW w:w="2694" w:type="dxa"/>
            <w:shd w:val="clear" w:color="auto" w:fill="FFFFFF"/>
          </w:tcPr>
          <w:p w:rsidR="00A724A2" w:rsidRPr="00E22C95" w:rsidRDefault="00A724A2" w:rsidP="00E22C95">
            <w:pPr>
              <w:jc w:val="left"/>
              <w:rPr>
                <w:sz w:val="20"/>
                <w:szCs w:val="20"/>
              </w:rPr>
            </w:pPr>
            <w:r w:rsidRPr="00E22C95">
              <w:rPr>
                <w:sz w:val="20"/>
                <w:szCs w:val="20"/>
              </w:rPr>
              <w:t>В</w:t>
            </w:r>
            <w:proofErr w:type="spellStart"/>
            <w:r w:rsidR="00013FD6">
              <w:rPr>
                <w:sz w:val="20"/>
                <w:szCs w:val="20"/>
                <w:lang w:val="uk-UA"/>
              </w:rPr>
              <w:t>ікова</w:t>
            </w:r>
            <w:proofErr w:type="spellEnd"/>
            <w:r w:rsidRPr="00E22C95">
              <w:rPr>
                <w:sz w:val="20"/>
                <w:szCs w:val="20"/>
              </w:rPr>
              <w:t xml:space="preserve"> </w:t>
            </w:r>
            <w:proofErr w:type="spellStart"/>
            <w:r w:rsidRPr="00E22C95">
              <w:rPr>
                <w:sz w:val="20"/>
                <w:szCs w:val="20"/>
              </w:rPr>
              <w:t>категор</w:t>
            </w:r>
            <w:proofErr w:type="spellEnd"/>
            <w:r w:rsidR="00013FD6">
              <w:rPr>
                <w:sz w:val="20"/>
                <w:szCs w:val="20"/>
                <w:lang w:val="uk-UA"/>
              </w:rPr>
              <w:t>і</w:t>
            </w:r>
            <w:r w:rsidRPr="00E22C95">
              <w:rPr>
                <w:sz w:val="20"/>
                <w:szCs w:val="20"/>
              </w:rPr>
              <w:t>я</w:t>
            </w:r>
          </w:p>
        </w:tc>
        <w:tc>
          <w:tcPr>
            <w:tcW w:w="1473" w:type="dxa"/>
            <w:shd w:val="clear" w:color="auto" w:fill="FFFFFF"/>
          </w:tcPr>
          <w:p w:rsidR="00A724A2" w:rsidRPr="00E22C95" w:rsidRDefault="00A724A2" w:rsidP="00E22C95">
            <w:pPr>
              <w:rPr>
                <w:sz w:val="20"/>
                <w:szCs w:val="20"/>
              </w:rPr>
            </w:pPr>
          </w:p>
        </w:tc>
        <w:tc>
          <w:tcPr>
            <w:tcW w:w="874" w:type="dxa"/>
            <w:shd w:val="clear" w:color="auto" w:fill="FFFFFF"/>
          </w:tcPr>
          <w:p w:rsidR="00A724A2" w:rsidRPr="00E22C95" w:rsidRDefault="00A724A2" w:rsidP="00E22C95">
            <w:pPr>
              <w:rPr>
                <w:sz w:val="20"/>
                <w:szCs w:val="20"/>
              </w:rPr>
            </w:pPr>
          </w:p>
        </w:tc>
        <w:tc>
          <w:tcPr>
            <w:tcW w:w="1344" w:type="dxa"/>
            <w:shd w:val="clear" w:color="auto" w:fill="FFFFFF"/>
          </w:tcPr>
          <w:p w:rsidR="00A724A2" w:rsidRPr="00E22C95" w:rsidRDefault="00A724A2" w:rsidP="00E22C95">
            <w:pPr>
              <w:rPr>
                <w:sz w:val="20"/>
                <w:szCs w:val="20"/>
              </w:rPr>
            </w:pPr>
          </w:p>
        </w:tc>
        <w:tc>
          <w:tcPr>
            <w:tcW w:w="854" w:type="dxa"/>
            <w:shd w:val="clear" w:color="auto" w:fill="FFFFFF"/>
          </w:tcPr>
          <w:p w:rsidR="00A724A2" w:rsidRPr="00E22C95" w:rsidRDefault="00A724A2" w:rsidP="00E22C95">
            <w:pPr>
              <w:rPr>
                <w:sz w:val="20"/>
                <w:szCs w:val="20"/>
              </w:rPr>
            </w:pPr>
          </w:p>
        </w:tc>
        <w:tc>
          <w:tcPr>
            <w:tcW w:w="1493" w:type="dxa"/>
            <w:shd w:val="clear" w:color="auto" w:fill="FFFFFF"/>
          </w:tcPr>
          <w:p w:rsidR="00A724A2" w:rsidRPr="00E22C95" w:rsidRDefault="00A724A2" w:rsidP="00E22C95">
            <w:pPr>
              <w:rPr>
                <w:sz w:val="20"/>
                <w:szCs w:val="20"/>
              </w:rPr>
            </w:pPr>
          </w:p>
        </w:tc>
        <w:tc>
          <w:tcPr>
            <w:tcW w:w="922" w:type="dxa"/>
            <w:shd w:val="clear" w:color="auto" w:fill="FFFFFF"/>
          </w:tcPr>
          <w:p w:rsidR="00A724A2" w:rsidRPr="00E22C95" w:rsidRDefault="00A724A2" w:rsidP="00E22C95">
            <w:pPr>
              <w:rPr>
                <w:sz w:val="20"/>
                <w:szCs w:val="20"/>
              </w:rPr>
            </w:pPr>
          </w:p>
        </w:tc>
      </w:tr>
      <w:tr w:rsidR="00A724A2" w:rsidRPr="00BC641F" w:rsidTr="00013FD6">
        <w:trPr>
          <w:trHeight w:hRule="exact" w:val="293"/>
        </w:trPr>
        <w:tc>
          <w:tcPr>
            <w:tcW w:w="2694" w:type="dxa"/>
            <w:shd w:val="clear" w:color="auto" w:fill="FFFFFF"/>
          </w:tcPr>
          <w:p w:rsidR="00A724A2" w:rsidRPr="00E22C95" w:rsidRDefault="00A724A2" w:rsidP="00E22C95">
            <w:pPr>
              <w:jc w:val="left"/>
              <w:rPr>
                <w:sz w:val="20"/>
                <w:szCs w:val="20"/>
              </w:rPr>
            </w:pPr>
            <w:r w:rsidRPr="00E22C95">
              <w:rPr>
                <w:sz w:val="20"/>
                <w:szCs w:val="20"/>
              </w:rPr>
              <w:t>В</w:t>
            </w:r>
            <w:proofErr w:type="spellStart"/>
            <w:r w:rsidR="00013FD6">
              <w:rPr>
                <w:sz w:val="20"/>
                <w:szCs w:val="20"/>
                <w:lang w:val="uk-UA"/>
              </w:rPr>
              <w:t>ік</w:t>
            </w:r>
            <w:proofErr w:type="spellEnd"/>
            <w:r w:rsidRPr="00E22C95">
              <w:rPr>
                <w:sz w:val="20"/>
                <w:szCs w:val="20"/>
              </w:rPr>
              <w:t xml:space="preserve"> </w:t>
            </w:r>
            <w:proofErr w:type="gramStart"/>
            <w:r w:rsidRPr="00E22C95">
              <w:rPr>
                <w:sz w:val="20"/>
                <w:szCs w:val="20"/>
              </w:rPr>
              <w:t>&lt;</w:t>
            </w:r>
            <w:r w:rsidR="00013FD6">
              <w:rPr>
                <w:sz w:val="20"/>
                <w:szCs w:val="20"/>
                <w:lang w:val="uk-UA"/>
              </w:rPr>
              <w:t xml:space="preserve"> </w:t>
            </w:r>
            <w:r w:rsidRPr="00E22C95">
              <w:rPr>
                <w:sz w:val="20"/>
                <w:szCs w:val="20"/>
              </w:rPr>
              <w:t>55</w:t>
            </w:r>
            <w:proofErr w:type="gramEnd"/>
          </w:p>
        </w:tc>
        <w:tc>
          <w:tcPr>
            <w:tcW w:w="1473" w:type="dxa"/>
            <w:shd w:val="clear" w:color="auto" w:fill="FFFFFF"/>
          </w:tcPr>
          <w:p w:rsidR="00A724A2" w:rsidRPr="00E22C95" w:rsidRDefault="00A724A2" w:rsidP="00E22C95">
            <w:pPr>
              <w:pStyle w:val="1"/>
              <w:shd w:val="clear" w:color="auto" w:fill="auto"/>
              <w:spacing w:before="0" w:line="240" w:lineRule="auto"/>
              <w:rPr>
                <w:rFonts w:ascii="Times New Roman" w:hAnsi="Times New Roman" w:cs="Times New Roman"/>
                <w:sz w:val="20"/>
                <w:szCs w:val="20"/>
              </w:rPr>
            </w:pPr>
            <w:r w:rsidRPr="00E22C95">
              <w:rPr>
                <w:rStyle w:val="TimesNewRoman7pt0pt"/>
                <w:rFonts w:eastAsia="Verdana"/>
                <w:color w:val="auto"/>
                <w:sz w:val="20"/>
                <w:szCs w:val="20"/>
              </w:rPr>
              <w:t>2,67 (1,35, 5,29)</w:t>
            </w:r>
          </w:p>
        </w:tc>
        <w:tc>
          <w:tcPr>
            <w:tcW w:w="874" w:type="dxa"/>
            <w:shd w:val="clear" w:color="auto" w:fill="FFFFFF"/>
          </w:tcPr>
          <w:p w:rsidR="00A724A2" w:rsidRPr="00E22C95" w:rsidRDefault="00A724A2"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0,005</w:t>
            </w:r>
          </w:p>
        </w:tc>
        <w:tc>
          <w:tcPr>
            <w:tcW w:w="1344" w:type="dxa"/>
            <w:shd w:val="clear" w:color="auto" w:fill="FFFFFF"/>
          </w:tcPr>
          <w:p w:rsidR="00A724A2" w:rsidRPr="00E22C95" w:rsidRDefault="00A724A2"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2,43 (1,31, 4,49)</w:t>
            </w:r>
          </w:p>
        </w:tc>
        <w:tc>
          <w:tcPr>
            <w:tcW w:w="854" w:type="dxa"/>
            <w:shd w:val="clear" w:color="auto" w:fill="FFFFFF"/>
          </w:tcPr>
          <w:p w:rsidR="00A724A2" w:rsidRPr="00E22C95" w:rsidRDefault="00A724A2"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0,005</w:t>
            </w:r>
          </w:p>
        </w:tc>
        <w:tc>
          <w:tcPr>
            <w:tcW w:w="1493" w:type="dxa"/>
            <w:shd w:val="clear" w:color="auto" w:fill="FFFFFF"/>
          </w:tcPr>
          <w:p w:rsidR="00A724A2" w:rsidRPr="00E22C95" w:rsidRDefault="00A724A2"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2,04 (1,06, 3,93)</w:t>
            </w:r>
          </w:p>
        </w:tc>
        <w:tc>
          <w:tcPr>
            <w:tcW w:w="922" w:type="dxa"/>
            <w:shd w:val="clear" w:color="auto" w:fill="FFFFFF"/>
          </w:tcPr>
          <w:p w:rsidR="00A724A2" w:rsidRPr="00E22C95" w:rsidRDefault="00A724A2"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0,033</w:t>
            </w:r>
          </w:p>
        </w:tc>
      </w:tr>
      <w:tr w:rsidR="00A724A2" w:rsidRPr="00BC641F" w:rsidTr="00013FD6">
        <w:trPr>
          <w:trHeight w:hRule="exact" w:val="202"/>
        </w:trPr>
        <w:tc>
          <w:tcPr>
            <w:tcW w:w="2694" w:type="dxa"/>
            <w:shd w:val="clear" w:color="auto" w:fill="FFFFFF"/>
          </w:tcPr>
          <w:p w:rsidR="00A724A2" w:rsidRPr="00E22C95" w:rsidRDefault="00013FD6" w:rsidP="00E22C95">
            <w:pPr>
              <w:jc w:val="left"/>
              <w:rPr>
                <w:sz w:val="20"/>
                <w:szCs w:val="20"/>
              </w:rPr>
            </w:pPr>
            <w:r w:rsidRPr="00E22C95">
              <w:rPr>
                <w:sz w:val="20"/>
                <w:szCs w:val="20"/>
              </w:rPr>
              <w:t>В</w:t>
            </w:r>
            <w:proofErr w:type="spellStart"/>
            <w:r>
              <w:rPr>
                <w:sz w:val="20"/>
                <w:szCs w:val="20"/>
                <w:lang w:val="uk-UA"/>
              </w:rPr>
              <w:t>ік</w:t>
            </w:r>
            <w:proofErr w:type="spellEnd"/>
            <w:r w:rsidR="00A724A2" w:rsidRPr="00E22C95">
              <w:rPr>
                <w:sz w:val="20"/>
                <w:szCs w:val="20"/>
              </w:rPr>
              <w:t xml:space="preserve"> ≥ 55</w:t>
            </w:r>
          </w:p>
        </w:tc>
        <w:tc>
          <w:tcPr>
            <w:tcW w:w="1473" w:type="dxa"/>
            <w:shd w:val="clear" w:color="auto" w:fill="FFFFFF"/>
          </w:tcPr>
          <w:p w:rsidR="00A724A2" w:rsidRPr="00E22C95" w:rsidRDefault="00A724A2" w:rsidP="00E22C95">
            <w:pPr>
              <w:pStyle w:val="1"/>
              <w:shd w:val="clear" w:color="auto" w:fill="auto"/>
              <w:spacing w:before="0" w:line="240" w:lineRule="auto"/>
              <w:rPr>
                <w:rFonts w:ascii="Times New Roman" w:hAnsi="Times New Roman" w:cs="Times New Roman"/>
                <w:sz w:val="20"/>
                <w:szCs w:val="20"/>
              </w:rPr>
            </w:pPr>
            <w:r w:rsidRPr="00E22C95">
              <w:rPr>
                <w:rStyle w:val="TimesNewRoman7pt0pt"/>
                <w:rFonts w:eastAsia="Verdana"/>
                <w:color w:val="auto"/>
                <w:sz w:val="20"/>
                <w:szCs w:val="20"/>
              </w:rPr>
              <w:t>1</w:t>
            </w:r>
          </w:p>
        </w:tc>
        <w:tc>
          <w:tcPr>
            <w:tcW w:w="874" w:type="dxa"/>
            <w:shd w:val="clear" w:color="auto" w:fill="FFFFFF"/>
          </w:tcPr>
          <w:p w:rsidR="00A724A2" w:rsidRPr="00E22C95" w:rsidRDefault="00A724A2" w:rsidP="00E22C95">
            <w:pPr>
              <w:rPr>
                <w:sz w:val="20"/>
                <w:szCs w:val="20"/>
              </w:rPr>
            </w:pPr>
          </w:p>
        </w:tc>
        <w:tc>
          <w:tcPr>
            <w:tcW w:w="1344" w:type="dxa"/>
            <w:shd w:val="clear" w:color="auto" w:fill="FFFFFF"/>
          </w:tcPr>
          <w:p w:rsidR="00A724A2" w:rsidRPr="00E22C95" w:rsidRDefault="00A724A2"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1</w:t>
            </w:r>
          </w:p>
        </w:tc>
        <w:tc>
          <w:tcPr>
            <w:tcW w:w="854" w:type="dxa"/>
            <w:shd w:val="clear" w:color="auto" w:fill="FFFFFF"/>
          </w:tcPr>
          <w:p w:rsidR="00A724A2" w:rsidRPr="00E22C95" w:rsidRDefault="00A724A2" w:rsidP="00E22C95">
            <w:pPr>
              <w:rPr>
                <w:sz w:val="20"/>
                <w:szCs w:val="20"/>
              </w:rPr>
            </w:pPr>
          </w:p>
        </w:tc>
        <w:tc>
          <w:tcPr>
            <w:tcW w:w="1493" w:type="dxa"/>
            <w:shd w:val="clear" w:color="auto" w:fill="FFFFFF"/>
          </w:tcPr>
          <w:p w:rsidR="00A724A2" w:rsidRPr="00E22C95" w:rsidRDefault="00A724A2"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1</w:t>
            </w:r>
          </w:p>
        </w:tc>
        <w:tc>
          <w:tcPr>
            <w:tcW w:w="922" w:type="dxa"/>
            <w:shd w:val="clear" w:color="auto" w:fill="FFFFFF"/>
          </w:tcPr>
          <w:p w:rsidR="00A724A2" w:rsidRPr="00E22C95" w:rsidRDefault="00A724A2" w:rsidP="00E22C95">
            <w:pPr>
              <w:rPr>
                <w:sz w:val="20"/>
                <w:szCs w:val="20"/>
              </w:rPr>
            </w:pPr>
          </w:p>
        </w:tc>
      </w:tr>
      <w:tr w:rsidR="00A724A2" w:rsidRPr="00BC641F" w:rsidTr="00013FD6">
        <w:trPr>
          <w:trHeight w:hRule="exact" w:val="187"/>
        </w:trPr>
        <w:tc>
          <w:tcPr>
            <w:tcW w:w="2694" w:type="dxa"/>
            <w:shd w:val="clear" w:color="auto" w:fill="FFFFFF"/>
          </w:tcPr>
          <w:p w:rsidR="00A724A2" w:rsidRPr="00013FD6" w:rsidRDefault="00013FD6" w:rsidP="00E22C95">
            <w:pPr>
              <w:jc w:val="left"/>
              <w:rPr>
                <w:sz w:val="20"/>
                <w:szCs w:val="20"/>
                <w:lang w:val="uk-UA"/>
              </w:rPr>
            </w:pPr>
            <w:r>
              <w:rPr>
                <w:sz w:val="20"/>
                <w:szCs w:val="20"/>
                <w:lang w:val="uk-UA"/>
              </w:rPr>
              <w:t>Стать</w:t>
            </w:r>
            <w:r w:rsidR="00A724A2" w:rsidRPr="00E22C95">
              <w:rPr>
                <w:sz w:val="20"/>
                <w:szCs w:val="20"/>
              </w:rPr>
              <w:t xml:space="preserve">, </w:t>
            </w:r>
            <w:r>
              <w:rPr>
                <w:sz w:val="20"/>
                <w:szCs w:val="20"/>
                <w:lang w:val="uk-UA"/>
              </w:rPr>
              <w:t>чоловіча</w:t>
            </w:r>
          </w:p>
        </w:tc>
        <w:tc>
          <w:tcPr>
            <w:tcW w:w="1473" w:type="dxa"/>
            <w:shd w:val="clear" w:color="auto" w:fill="FFFFFF"/>
          </w:tcPr>
          <w:p w:rsidR="00A724A2" w:rsidRPr="00E22C95" w:rsidRDefault="00A724A2" w:rsidP="00E22C95">
            <w:pPr>
              <w:pStyle w:val="1"/>
              <w:shd w:val="clear" w:color="auto" w:fill="auto"/>
              <w:spacing w:before="0" w:line="240" w:lineRule="auto"/>
              <w:rPr>
                <w:rFonts w:ascii="Times New Roman" w:hAnsi="Times New Roman" w:cs="Times New Roman"/>
                <w:sz w:val="20"/>
                <w:szCs w:val="20"/>
              </w:rPr>
            </w:pPr>
            <w:r w:rsidRPr="00E22C95">
              <w:rPr>
                <w:rStyle w:val="TimesNewRoman7pt0pt"/>
                <w:rFonts w:eastAsia="Verdana"/>
                <w:color w:val="auto"/>
                <w:sz w:val="20"/>
                <w:szCs w:val="20"/>
              </w:rPr>
              <w:t>1,31 (0,72, 2,41)</w:t>
            </w:r>
          </w:p>
        </w:tc>
        <w:tc>
          <w:tcPr>
            <w:tcW w:w="874" w:type="dxa"/>
            <w:shd w:val="clear" w:color="auto" w:fill="FFFFFF"/>
          </w:tcPr>
          <w:p w:rsidR="00A724A2" w:rsidRPr="00E22C95" w:rsidRDefault="00A724A2"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0,381</w:t>
            </w:r>
          </w:p>
        </w:tc>
        <w:tc>
          <w:tcPr>
            <w:tcW w:w="1344" w:type="dxa"/>
            <w:shd w:val="clear" w:color="auto" w:fill="FFFFFF"/>
          </w:tcPr>
          <w:p w:rsidR="00A724A2" w:rsidRPr="00E22C95" w:rsidRDefault="00A724A2" w:rsidP="00E22C95">
            <w:pPr>
              <w:rPr>
                <w:sz w:val="20"/>
                <w:szCs w:val="20"/>
              </w:rPr>
            </w:pPr>
          </w:p>
        </w:tc>
        <w:tc>
          <w:tcPr>
            <w:tcW w:w="854" w:type="dxa"/>
            <w:shd w:val="clear" w:color="auto" w:fill="FFFFFF"/>
          </w:tcPr>
          <w:p w:rsidR="00A724A2" w:rsidRPr="00E22C95" w:rsidRDefault="00A724A2" w:rsidP="00E22C95">
            <w:pPr>
              <w:rPr>
                <w:sz w:val="20"/>
                <w:szCs w:val="20"/>
              </w:rPr>
            </w:pPr>
          </w:p>
        </w:tc>
        <w:tc>
          <w:tcPr>
            <w:tcW w:w="1493" w:type="dxa"/>
            <w:shd w:val="clear" w:color="auto" w:fill="FFFFFF"/>
          </w:tcPr>
          <w:p w:rsidR="00A724A2" w:rsidRPr="00E22C95" w:rsidRDefault="00A724A2" w:rsidP="00E22C95">
            <w:pPr>
              <w:rPr>
                <w:sz w:val="20"/>
                <w:szCs w:val="20"/>
              </w:rPr>
            </w:pPr>
          </w:p>
        </w:tc>
        <w:tc>
          <w:tcPr>
            <w:tcW w:w="922" w:type="dxa"/>
            <w:shd w:val="clear" w:color="auto" w:fill="FFFFFF"/>
          </w:tcPr>
          <w:p w:rsidR="00A724A2" w:rsidRPr="00E22C95" w:rsidRDefault="00A724A2" w:rsidP="00E22C95">
            <w:pPr>
              <w:rPr>
                <w:sz w:val="20"/>
                <w:szCs w:val="20"/>
              </w:rPr>
            </w:pPr>
          </w:p>
        </w:tc>
      </w:tr>
      <w:tr w:rsidR="00A724A2" w:rsidRPr="00BC641F" w:rsidTr="00013FD6">
        <w:trPr>
          <w:trHeight w:hRule="exact" w:val="197"/>
        </w:trPr>
        <w:tc>
          <w:tcPr>
            <w:tcW w:w="2694" w:type="dxa"/>
            <w:shd w:val="clear" w:color="auto" w:fill="FFFFFF"/>
          </w:tcPr>
          <w:p w:rsidR="00A724A2" w:rsidRPr="00E22C95" w:rsidRDefault="00A724A2" w:rsidP="00E22C95">
            <w:pPr>
              <w:jc w:val="left"/>
              <w:rPr>
                <w:sz w:val="20"/>
                <w:szCs w:val="20"/>
              </w:rPr>
            </w:pPr>
            <w:r w:rsidRPr="00E22C95">
              <w:rPr>
                <w:sz w:val="20"/>
                <w:szCs w:val="20"/>
              </w:rPr>
              <w:t>Дох</w:t>
            </w:r>
            <w:r w:rsidR="00013FD6">
              <w:rPr>
                <w:sz w:val="20"/>
                <w:szCs w:val="20"/>
                <w:lang w:val="uk-UA"/>
              </w:rPr>
              <w:t>і</w:t>
            </w:r>
            <w:r w:rsidRPr="00E22C95">
              <w:rPr>
                <w:sz w:val="20"/>
                <w:szCs w:val="20"/>
              </w:rPr>
              <w:t>д</w:t>
            </w:r>
          </w:p>
        </w:tc>
        <w:tc>
          <w:tcPr>
            <w:tcW w:w="1473" w:type="dxa"/>
            <w:shd w:val="clear" w:color="auto" w:fill="FFFFFF"/>
          </w:tcPr>
          <w:p w:rsidR="00A724A2" w:rsidRPr="00E22C95" w:rsidRDefault="00A724A2" w:rsidP="00E22C95">
            <w:pPr>
              <w:pStyle w:val="1"/>
              <w:shd w:val="clear" w:color="auto" w:fill="auto"/>
              <w:spacing w:before="0" w:line="240" w:lineRule="auto"/>
              <w:rPr>
                <w:rFonts w:ascii="Times New Roman" w:hAnsi="Times New Roman" w:cs="Times New Roman"/>
                <w:sz w:val="20"/>
                <w:szCs w:val="20"/>
              </w:rPr>
            </w:pPr>
            <w:r w:rsidRPr="00E22C95">
              <w:rPr>
                <w:rStyle w:val="TimesNewRoman7pt0pt"/>
                <w:rFonts w:eastAsia="Verdana"/>
                <w:color w:val="auto"/>
                <w:sz w:val="20"/>
                <w:szCs w:val="20"/>
              </w:rPr>
              <w:t>1,1 (0,86, 1,41)</w:t>
            </w:r>
          </w:p>
        </w:tc>
        <w:tc>
          <w:tcPr>
            <w:tcW w:w="874" w:type="dxa"/>
            <w:shd w:val="clear" w:color="auto" w:fill="FFFFFF"/>
          </w:tcPr>
          <w:p w:rsidR="00A724A2" w:rsidRPr="00E22C95" w:rsidRDefault="00A724A2"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0,440</w:t>
            </w:r>
          </w:p>
        </w:tc>
        <w:tc>
          <w:tcPr>
            <w:tcW w:w="1344" w:type="dxa"/>
            <w:shd w:val="clear" w:color="auto" w:fill="FFFFFF"/>
          </w:tcPr>
          <w:p w:rsidR="00A724A2" w:rsidRPr="00E22C95" w:rsidRDefault="00A724A2" w:rsidP="00E22C95">
            <w:pPr>
              <w:rPr>
                <w:sz w:val="20"/>
                <w:szCs w:val="20"/>
              </w:rPr>
            </w:pPr>
          </w:p>
        </w:tc>
        <w:tc>
          <w:tcPr>
            <w:tcW w:w="854" w:type="dxa"/>
            <w:shd w:val="clear" w:color="auto" w:fill="FFFFFF"/>
          </w:tcPr>
          <w:p w:rsidR="00A724A2" w:rsidRPr="00E22C95" w:rsidRDefault="00A724A2" w:rsidP="00E22C95">
            <w:pPr>
              <w:rPr>
                <w:sz w:val="20"/>
                <w:szCs w:val="20"/>
              </w:rPr>
            </w:pPr>
          </w:p>
        </w:tc>
        <w:tc>
          <w:tcPr>
            <w:tcW w:w="1493" w:type="dxa"/>
            <w:shd w:val="clear" w:color="auto" w:fill="FFFFFF"/>
          </w:tcPr>
          <w:p w:rsidR="00A724A2" w:rsidRPr="00E22C95" w:rsidRDefault="00A724A2" w:rsidP="00E22C95">
            <w:pPr>
              <w:rPr>
                <w:sz w:val="20"/>
                <w:szCs w:val="20"/>
              </w:rPr>
            </w:pPr>
          </w:p>
        </w:tc>
        <w:tc>
          <w:tcPr>
            <w:tcW w:w="922" w:type="dxa"/>
            <w:shd w:val="clear" w:color="auto" w:fill="FFFFFF"/>
          </w:tcPr>
          <w:p w:rsidR="00A724A2" w:rsidRPr="00E22C95" w:rsidRDefault="00A724A2" w:rsidP="00E22C95">
            <w:pPr>
              <w:rPr>
                <w:sz w:val="20"/>
                <w:szCs w:val="20"/>
              </w:rPr>
            </w:pPr>
          </w:p>
        </w:tc>
      </w:tr>
      <w:tr w:rsidR="00A724A2" w:rsidRPr="00BC641F" w:rsidTr="00013FD6">
        <w:trPr>
          <w:trHeight w:hRule="exact" w:val="197"/>
        </w:trPr>
        <w:tc>
          <w:tcPr>
            <w:tcW w:w="2694" w:type="dxa"/>
            <w:shd w:val="clear" w:color="auto" w:fill="FFFFFF"/>
          </w:tcPr>
          <w:p w:rsidR="00A724A2" w:rsidRPr="00E22C95" w:rsidRDefault="00A724A2" w:rsidP="00E22C95">
            <w:pPr>
              <w:jc w:val="left"/>
              <w:rPr>
                <w:sz w:val="20"/>
                <w:szCs w:val="20"/>
                <w:lang w:val="uk-UA"/>
              </w:rPr>
            </w:pPr>
            <w:r w:rsidRPr="00E22C95">
              <w:rPr>
                <w:sz w:val="20"/>
                <w:szCs w:val="20"/>
                <w:lang w:val="en-US"/>
              </w:rPr>
              <w:t>CCI</w:t>
            </w:r>
          </w:p>
        </w:tc>
        <w:tc>
          <w:tcPr>
            <w:tcW w:w="1473" w:type="dxa"/>
            <w:shd w:val="clear" w:color="auto" w:fill="FFFFFF"/>
          </w:tcPr>
          <w:p w:rsidR="00A724A2" w:rsidRPr="00E22C95" w:rsidRDefault="00A724A2" w:rsidP="00E22C95">
            <w:pPr>
              <w:pStyle w:val="1"/>
              <w:shd w:val="clear" w:color="auto" w:fill="auto"/>
              <w:spacing w:before="0" w:line="240" w:lineRule="auto"/>
              <w:rPr>
                <w:rFonts w:ascii="Times New Roman" w:hAnsi="Times New Roman" w:cs="Times New Roman"/>
                <w:sz w:val="20"/>
                <w:szCs w:val="20"/>
              </w:rPr>
            </w:pPr>
            <w:r w:rsidRPr="00E22C95">
              <w:rPr>
                <w:rStyle w:val="TimesNewRoman7pt0pt"/>
                <w:rFonts w:eastAsia="Verdana"/>
                <w:color w:val="auto"/>
                <w:sz w:val="20"/>
                <w:szCs w:val="20"/>
              </w:rPr>
              <w:t>0,96 (0,84, 1,1)</w:t>
            </w:r>
          </w:p>
        </w:tc>
        <w:tc>
          <w:tcPr>
            <w:tcW w:w="874" w:type="dxa"/>
            <w:shd w:val="clear" w:color="auto" w:fill="FFFFFF"/>
          </w:tcPr>
          <w:p w:rsidR="00A724A2" w:rsidRPr="00E22C95" w:rsidRDefault="00A724A2"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0,576</w:t>
            </w:r>
          </w:p>
        </w:tc>
        <w:tc>
          <w:tcPr>
            <w:tcW w:w="1344" w:type="dxa"/>
            <w:shd w:val="clear" w:color="auto" w:fill="FFFFFF"/>
          </w:tcPr>
          <w:p w:rsidR="00A724A2" w:rsidRPr="00E22C95" w:rsidRDefault="00A724A2" w:rsidP="00E22C95">
            <w:pPr>
              <w:rPr>
                <w:sz w:val="20"/>
                <w:szCs w:val="20"/>
              </w:rPr>
            </w:pPr>
          </w:p>
        </w:tc>
        <w:tc>
          <w:tcPr>
            <w:tcW w:w="854" w:type="dxa"/>
            <w:shd w:val="clear" w:color="auto" w:fill="FFFFFF"/>
          </w:tcPr>
          <w:p w:rsidR="00A724A2" w:rsidRPr="00E22C95" w:rsidRDefault="00A724A2" w:rsidP="00E22C95">
            <w:pPr>
              <w:rPr>
                <w:sz w:val="20"/>
                <w:szCs w:val="20"/>
              </w:rPr>
            </w:pPr>
          </w:p>
        </w:tc>
        <w:tc>
          <w:tcPr>
            <w:tcW w:w="1493" w:type="dxa"/>
            <w:shd w:val="clear" w:color="auto" w:fill="FFFFFF"/>
          </w:tcPr>
          <w:p w:rsidR="00A724A2" w:rsidRPr="00E22C95" w:rsidRDefault="00A724A2" w:rsidP="00E22C95">
            <w:pPr>
              <w:rPr>
                <w:sz w:val="20"/>
                <w:szCs w:val="20"/>
              </w:rPr>
            </w:pPr>
          </w:p>
        </w:tc>
        <w:tc>
          <w:tcPr>
            <w:tcW w:w="922" w:type="dxa"/>
            <w:shd w:val="clear" w:color="auto" w:fill="FFFFFF"/>
          </w:tcPr>
          <w:p w:rsidR="00A724A2" w:rsidRPr="00E22C95" w:rsidRDefault="00A724A2" w:rsidP="00E22C95">
            <w:pPr>
              <w:rPr>
                <w:sz w:val="20"/>
                <w:szCs w:val="20"/>
              </w:rPr>
            </w:pPr>
          </w:p>
        </w:tc>
      </w:tr>
      <w:tr w:rsidR="00A724A2" w:rsidRPr="00BC641F" w:rsidTr="00013FD6">
        <w:trPr>
          <w:trHeight w:hRule="exact" w:val="445"/>
        </w:trPr>
        <w:tc>
          <w:tcPr>
            <w:tcW w:w="2694" w:type="dxa"/>
            <w:shd w:val="clear" w:color="auto" w:fill="FFFFFF"/>
          </w:tcPr>
          <w:p w:rsidR="00013FD6" w:rsidRDefault="00013FD6" w:rsidP="00013FD6">
            <w:pPr>
              <w:autoSpaceDE w:val="0"/>
              <w:autoSpaceDN w:val="0"/>
              <w:adjustRightInd w:val="0"/>
              <w:rPr>
                <w:sz w:val="20"/>
                <w:szCs w:val="20"/>
                <w:lang w:val="uk-UA"/>
              </w:rPr>
            </w:pPr>
            <w:r>
              <w:rPr>
                <w:sz w:val="20"/>
                <w:szCs w:val="20"/>
                <w:lang w:val="uk-UA"/>
              </w:rPr>
              <w:t>П</w:t>
            </w:r>
            <w:r w:rsidRPr="00035A95">
              <w:rPr>
                <w:sz w:val="20"/>
                <w:szCs w:val="20"/>
                <w:lang w:val="uk-UA"/>
              </w:rPr>
              <w:t>ідвищений артеріальний</w:t>
            </w:r>
          </w:p>
          <w:p w:rsidR="00013FD6" w:rsidRPr="00035A95" w:rsidRDefault="00013FD6" w:rsidP="00013FD6">
            <w:pPr>
              <w:autoSpaceDE w:val="0"/>
              <w:autoSpaceDN w:val="0"/>
              <w:adjustRightInd w:val="0"/>
              <w:rPr>
                <w:sz w:val="20"/>
                <w:szCs w:val="20"/>
                <w:lang w:val="uk-UA"/>
              </w:rPr>
            </w:pPr>
            <w:r w:rsidRPr="00035A95">
              <w:rPr>
                <w:sz w:val="20"/>
                <w:szCs w:val="20"/>
                <w:lang w:val="uk-UA"/>
              </w:rPr>
              <w:t xml:space="preserve"> тиск</w:t>
            </w:r>
          </w:p>
          <w:p w:rsidR="00A724A2" w:rsidRPr="00E22C95" w:rsidRDefault="00A724A2" w:rsidP="00E22C95">
            <w:pPr>
              <w:jc w:val="left"/>
              <w:rPr>
                <w:sz w:val="20"/>
                <w:szCs w:val="20"/>
              </w:rPr>
            </w:pPr>
          </w:p>
        </w:tc>
        <w:tc>
          <w:tcPr>
            <w:tcW w:w="1473" w:type="dxa"/>
            <w:shd w:val="clear" w:color="auto" w:fill="FFFFFF"/>
          </w:tcPr>
          <w:p w:rsidR="00A724A2" w:rsidRPr="00E22C95" w:rsidRDefault="00A724A2" w:rsidP="00E22C95">
            <w:pPr>
              <w:pStyle w:val="1"/>
              <w:shd w:val="clear" w:color="auto" w:fill="auto"/>
              <w:spacing w:before="0" w:line="240" w:lineRule="auto"/>
              <w:rPr>
                <w:rFonts w:ascii="Times New Roman" w:hAnsi="Times New Roman" w:cs="Times New Roman"/>
                <w:sz w:val="20"/>
                <w:szCs w:val="20"/>
              </w:rPr>
            </w:pPr>
            <w:r w:rsidRPr="00E22C95">
              <w:rPr>
                <w:rStyle w:val="TimesNewRoman7pt0pt"/>
                <w:rFonts w:eastAsia="Verdana"/>
                <w:color w:val="auto"/>
                <w:sz w:val="20"/>
                <w:szCs w:val="20"/>
              </w:rPr>
              <w:t>1,14 (0,7, 1,84)</w:t>
            </w:r>
          </w:p>
        </w:tc>
        <w:tc>
          <w:tcPr>
            <w:tcW w:w="874" w:type="dxa"/>
            <w:shd w:val="clear" w:color="auto" w:fill="FFFFFF"/>
          </w:tcPr>
          <w:p w:rsidR="00A724A2" w:rsidRPr="00E22C95" w:rsidRDefault="00A724A2"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0,601</w:t>
            </w:r>
          </w:p>
        </w:tc>
        <w:tc>
          <w:tcPr>
            <w:tcW w:w="1344" w:type="dxa"/>
            <w:shd w:val="clear" w:color="auto" w:fill="FFFFFF"/>
          </w:tcPr>
          <w:p w:rsidR="00A724A2" w:rsidRPr="00E22C95" w:rsidRDefault="00A724A2" w:rsidP="00E22C95">
            <w:pPr>
              <w:rPr>
                <w:sz w:val="20"/>
                <w:szCs w:val="20"/>
              </w:rPr>
            </w:pPr>
          </w:p>
        </w:tc>
        <w:tc>
          <w:tcPr>
            <w:tcW w:w="854" w:type="dxa"/>
            <w:shd w:val="clear" w:color="auto" w:fill="FFFFFF"/>
          </w:tcPr>
          <w:p w:rsidR="00A724A2" w:rsidRPr="00E22C95" w:rsidRDefault="00A724A2" w:rsidP="00E22C95">
            <w:pPr>
              <w:rPr>
                <w:sz w:val="20"/>
                <w:szCs w:val="20"/>
              </w:rPr>
            </w:pPr>
          </w:p>
        </w:tc>
        <w:tc>
          <w:tcPr>
            <w:tcW w:w="1493" w:type="dxa"/>
            <w:shd w:val="clear" w:color="auto" w:fill="FFFFFF"/>
          </w:tcPr>
          <w:p w:rsidR="00A724A2" w:rsidRPr="00E22C95" w:rsidRDefault="00A724A2" w:rsidP="00E22C95">
            <w:pPr>
              <w:rPr>
                <w:sz w:val="20"/>
                <w:szCs w:val="20"/>
              </w:rPr>
            </w:pPr>
          </w:p>
        </w:tc>
        <w:tc>
          <w:tcPr>
            <w:tcW w:w="922" w:type="dxa"/>
            <w:shd w:val="clear" w:color="auto" w:fill="FFFFFF"/>
          </w:tcPr>
          <w:p w:rsidR="00A724A2" w:rsidRPr="00E22C95" w:rsidRDefault="00A724A2" w:rsidP="00E22C95">
            <w:pPr>
              <w:rPr>
                <w:sz w:val="20"/>
                <w:szCs w:val="20"/>
              </w:rPr>
            </w:pPr>
          </w:p>
        </w:tc>
      </w:tr>
      <w:tr w:rsidR="00A724A2" w:rsidRPr="00BC641F" w:rsidTr="00013FD6">
        <w:trPr>
          <w:trHeight w:hRule="exact" w:val="197"/>
        </w:trPr>
        <w:tc>
          <w:tcPr>
            <w:tcW w:w="2694" w:type="dxa"/>
            <w:shd w:val="clear" w:color="auto" w:fill="FFFFFF"/>
          </w:tcPr>
          <w:p w:rsidR="00A724A2" w:rsidRPr="00E22C95" w:rsidRDefault="00A724A2" w:rsidP="00E22C95">
            <w:pPr>
              <w:jc w:val="left"/>
              <w:rPr>
                <w:sz w:val="20"/>
                <w:szCs w:val="20"/>
              </w:rPr>
            </w:pPr>
            <w:r w:rsidRPr="00E22C95">
              <w:rPr>
                <w:sz w:val="20"/>
                <w:szCs w:val="20"/>
              </w:rPr>
              <w:t>Г</w:t>
            </w:r>
            <w:r w:rsidR="00013FD6">
              <w:rPr>
                <w:sz w:val="20"/>
                <w:szCs w:val="20"/>
                <w:lang w:val="uk-UA"/>
              </w:rPr>
              <w:t>і</w:t>
            </w:r>
            <w:r w:rsidRPr="00E22C95">
              <w:rPr>
                <w:sz w:val="20"/>
                <w:szCs w:val="20"/>
              </w:rPr>
              <w:t>перл</w:t>
            </w:r>
            <w:r w:rsidR="00013FD6">
              <w:rPr>
                <w:sz w:val="20"/>
                <w:szCs w:val="20"/>
                <w:lang w:val="uk-UA"/>
              </w:rPr>
              <w:t>і</w:t>
            </w:r>
            <w:r w:rsidRPr="00E22C95">
              <w:rPr>
                <w:sz w:val="20"/>
                <w:szCs w:val="20"/>
              </w:rPr>
              <w:t>п</w:t>
            </w:r>
            <w:r w:rsidR="00013FD6">
              <w:rPr>
                <w:sz w:val="20"/>
                <w:szCs w:val="20"/>
                <w:lang w:val="uk-UA"/>
              </w:rPr>
              <w:t>і</w:t>
            </w:r>
            <w:proofErr w:type="spellStart"/>
            <w:r w:rsidRPr="00E22C95">
              <w:rPr>
                <w:sz w:val="20"/>
                <w:szCs w:val="20"/>
              </w:rPr>
              <w:t>дем</w:t>
            </w:r>
            <w:proofErr w:type="spellEnd"/>
            <w:r w:rsidR="00013FD6">
              <w:rPr>
                <w:sz w:val="20"/>
                <w:szCs w:val="20"/>
                <w:lang w:val="uk-UA"/>
              </w:rPr>
              <w:t>і</w:t>
            </w:r>
            <w:r w:rsidRPr="00E22C95">
              <w:rPr>
                <w:sz w:val="20"/>
                <w:szCs w:val="20"/>
              </w:rPr>
              <w:t>я</w:t>
            </w:r>
          </w:p>
        </w:tc>
        <w:tc>
          <w:tcPr>
            <w:tcW w:w="1473" w:type="dxa"/>
            <w:shd w:val="clear" w:color="auto" w:fill="FFFFFF"/>
          </w:tcPr>
          <w:p w:rsidR="00A724A2" w:rsidRPr="00E22C95" w:rsidRDefault="00A724A2" w:rsidP="00E22C95">
            <w:pPr>
              <w:pStyle w:val="1"/>
              <w:shd w:val="clear" w:color="auto" w:fill="auto"/>
              <w:spacing w:before="0" w:line="240" w:lineRule="auto"/>
              <w:rPr>
                <w:rFonts w:ascii="Times New Roman" w:hAnsi="Times New Roman" w:cs="Times New Roman"/>
                <w:sz w:val="20"/>
                <w:szCs w:val="20"/>
              </w:rPr>
            </w:pPr>
            <w:r w:rsidRPr="00E22C95">
              <w:rPr>
                <w:rStyle w:val="TimesNewRoman7pt0pt"/>
                <w:rFonts w:eastAsia="Verdana"/>
                <w:color w:val="auto"/>
                <w:sz w:val="20"/>
                <w:szCs w:val="20"/>
              </w:rPr>
              <w:t>0,82 (0,5, 1,35)</w:t>
            </w:r>
          </w:p>
        </w:tc>
        <w:tc>
          <w:tcPr>
            <w:tcW w:w="874" w:type="dxa"/>
            <w:shd w:val="clear" w:color="auto" w:fill="FFFFFF"/>
          </w:tcPr>
          <w:p w:rsidR="00A724A2" w:rsidRPr="00E22C95" w:rsidRDefault="00A724A2" w:rsidP="00E22C95">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0,435</w:t>
            </w:r>
          </w:p>
        </w:tc>
        <w:tc>
          <w:tcPr>
            <w:tcW w:w="1344" w:type="dxa"/>
            <w:shd w:val="clear" w:color="auto" w:fill="FFFFFF"/>
          </w:tcPr>
          <w:p w:rsidR="00A724A2" w:rsidRPr="00E22C95" w:rsidRDefault="00A724A2" w:rsidP="00E22C95">
            <w:pPr>
              <w:rPr>
                <w:sz w:val="20"/>
                <w:szCs w:val="20"/>
              </w:rPr>
            </w:pPr>
          </w:p>
        </w:tc>
        <w:tc>
          <w:tcPr>
            <w:tcW w:w="854" w:type="dxa"/>
            <w:shd w:val="clear" w:color="auto" w:fill="FFFFFF"/>
          </w:tcPr>
          <w:p w:rsidR="00A724A2" w:rsidRPr="00E22C95" w:rsidRDefault="00A724A2" w:rsidP="00E22C95">
            <w:pPr>
              <w:rPr>
                <w:sz w:val="20"/>
                <w:szCs w:val="20"/>
              </w:rPr>
            </w:pPr>
          </w:p>
        </w:tc>
        <w:tc>
          <w:tcPr>
            <w:tcW w:w="1493" w:type="dxa"/>
            <w:shd w:val="clear" w:color="auto" w:fill="FFFFFF"/>
          </w:tcPr>
          <w:p w:rsidR="00A724A2" w:rsidRPr="00E22C95" w:rsidRDefault="00A724A2" w:rsidP="00E22C95">
            <w:pPr>
              <w:rPr>
                <w:sz w:val="20"/>
                <w:szCs w:val="20"/>
              </w:rPr>
            </w:pPr>
          </w:p>
        </w:tc>
        <w:tc>
          <w:tcPr>
            <w:tcW w:w="922" w:type="dxa"/>
            <w:shd w:val="clear" w:color="auto" w:fill="FFFFFF"/>
          </w:tcPr>
          <w:p w:rsidR="00A724A2" w:rsidRPr="00E22C95" w:rsidRDefault="00A724A2" w:rsidP="00E22C95">
            <w:pPr>
              <w:rPr>
                <w:sz w:val="20"/>
                <w:szCs w:val="20"/>
              </w:rPr>
            </w:pPr>
          </w:p>
        </w:tc>
      </w:tr>
      <w:tr w:rsidR="00013FD6" w:rsidRPr="00BC641F" w:rsidTr="00013FD6">
        <w:trPr>
          <w:trHeight w:hRule="exact" w:val="264"/>
        </w:trPr>
        <w:tc>
          <w:tcPr>
            <w:tcW w:w="2694" w:type="dxa"/>
            <w:shd w:val="clear" w:color="auto" w:fill="FFFFFF"/>
          </w:tcPr>
          <w:p w:rsidR="00013FD6" w:rsidRPr="00EC25B7" w:rsidRDefault="00013FD6" w:rsidP="00013FD6">
            <w:pPr>
              <w:rPr>
                <w:sz w:val="20"/>
                <w:szCs w:val="20"/>
              </w:rPr>
            </w:pPr>
            <w:r>
              <w:rPr>
                <w:sz w:val="20"/>
                <w:szCs w:val="20"/>
                <w:lang w:val="uk-UA"/>
              </w:rPr>
              <w:t>Ц</w:t>
            </w:r>
            <w:r w:rsidRPr="00035A95">
              <w:rPr>
                <w:sz w:val="20"/>
                <w:szCs w:val="20"/>
                <w:lang w:val="uk-UA"/>
              </w:rPr>
              <w:t>укровий діабет</w:t>
            </w:r>
          </w:p>
        </w:tc>
        <w:tc>
          <w:tcPr>
            <w:tcW w:w="1473" w:type="dxa"/>
            <w:shd w:val="clear" w:color="auto" w:fill="FFFFFF"/>
          </w:tcPr>
          <w:p w:rsidR="00013FD6" w:rsidRPr="00E22C95" w:rsidRDefault="00013FD6" w:rsidP="00013FD6">
            <w:pPr>
              <w:pStyle w:val="1"/>
              <w:shd w:val="clear" w:color="auto" w:fill="auto"/>
              <w:spacing w:before="0" w:line="240" w:lineRule="auto"/>
              <w:rPr>
                <w:rFonts w:ascii="Times New Roman" w:hAnsi="Times New Roman" w:cs="Times New Roman"/>
                <w:sz w:val="20"/>
                <w:szCs w:val="20"/>
              </w:rPr>
            </w:pPr>
            <w:r w:rsidRPr="00E22C95">
              <w:rPr>
                <w:rStyle w:val="TimesNewRoman7pt0pt"/>
                <w:rFonts w:eastAsia="Verdana"/>
                <w:color w:val="auto"/>
                <w:sz w:val="20"/>
                <w:szCs w:val="20"/>
              </w:rPr>
              <w:t>0,73 (0,39, 1,35)</w:t>
            </w:r>
          </w:p>
        </w:tc>
        <w:tc>
          <w:tcPr>
            <w:tcW w:w="874" w:type="dxa"/>
            <w:shd w:val="clear" w:color="auto" w:fill="FFFFFF"/>
          </w:tcPr>
          <w:p w:rsidR="00013FD6" w:rsidRPr="00E22C95" w:rsidRDefault="00013FD6" w:rsidP="00013FD6">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0,314</w:t>
            </w:r>
          </w:p>
        </w:tc>
        <w:tc>
          <w:tcPr>
            <w:tcW w:w="1344" w:type="dxa"/>
            <w:shd w:val="clear" w:color="auto" w:fill="FFFFFF"/>
          </w:tcPr>
          <w:p w:rsidR="00013FD6" w:rsidRPr="00E22C95" w:rsidRDefault="00013FD6" w:rsidP="00013FD6">
            <w:pPr>
              <w:rPr>
                <w:sz w:val="20"/>
                <w:szCs w:val="20"/>
              </w:rPr>
            </w:pPr>
          </w:p>
        </w:tc>
        <w:tc>
          <w:tcPr>
            <w:tcW w:w="854" w:type="dxa"/>
            <w:shd w:val="clear" w:color="auto" w:fill="FFFFFF"/>
          </w:tcPr>
          <w:p w:rsidR="00013FD6" w:rsidRPr="00E22C95" w:rsidRDefault="00013FD6" w:rsidP="00013FD6">
            <w:pPr>
              <w:rPr>
                <w:sz w:val="20"/>
                <w:szCs w:val="20"/>
              </w:rPr>
            </w:pPr>
          </w:p>
        </w:tc>
        <w:tc>
          <w:tcPr>
            <w:tcW w:w="1493" w:type="dxa"/>
            <w:shd w:val="clear" w:color="auto" w:fill="FFFFFF"/>
          </w:tcPr>
          <w:p w:rsidR="00013FD6" w:rsidRPr="00E22C95" w:rsidRDefault="00013FD6" w:rsidP="00013FD6">
            <w:pPr>
              <w:rPr>
                <w:sz w:val="20"/>
                <w:szCs w:val="20"/>
              </w:rPr>
            </w:pPr>
          </w:p>
        </w:tc>
        <w:tc>
          <w:tcPr>
            <w:tcW w:w="922" w:type="dxa"/>
            <w:shd w:val="clear" w:color="auto" w:fill="FFFFFF"/>
          </w:tcPr>
          <w:p w:rsidR="00013FD6" w:rsidRPr="00E22C95" w:rsidRDefault="00013FD6" w:rsidP="00013FD6">
            <w:pPr>
              <w:rPr>
                <w:sz w:val="20"/>
                <w:szCs w:val="20"/>
              </w:rPr>
            </w:pPr>
          </w:p>
        </w:tc>
      </w:tr>
      <w:tr w:rsidR="00013FD6" w:rsidRPr="00BC641F" w:rsidTr="00013FD6">
        <w:trPr>
          <w:trHeight w:hRule="exact" w:val="206"/>
        </w:trPr>
        <w:tc>
          <w:tcPr>
            <w:tcW w:w="2694" w:type="dxa"/>
            <w:shd w:val="clear" w:color="auto" w:fill="FFFFFF"/>
          </w:tcPr>
          <w:p w:rsidR="00013FD6" w:rsidRPr="00E22C95" w:rsidRDefault="00013FD6" w:rsidP="00013FD6">
            <w:pPr>
              <w:jc w:val="left"/>
              <w:rPr>
                <w:sz w:val="20"/>
                <w:szCs w:val="20"/>
              </w:rPr>
            </w:pPr>
            <w:proofErr w:type="spellStart"/>
            <w:r w:rsidRPr="00E22C95">
              <w:rPr>
                <w:sz w:val="20"/>
                <w:szCs w:val="20"/>
              </w:rPr>
              <w:t>Хрон</w:t>
            </w:r>
            <w:r>
              <w:rPr>
                <w:sz w:val="20"/>
                <w:szCs w:val="20"/>
                <w:lang w:val="uk-UA"/>
              </w:rPr>
              <w:t>ічн</w:t>
            </w:r>
            <w:proofErr w:type="spellEnd"/>
            <w:r w:rsidRPr="00E22C95">
              <w:rPr>
                <w:sz w:val="20"/>
                <w:szCs w:val="20"/>
              </w:rPr>
              <w:t>е за</w:t>
            </w:r>
            <w:proofErr w:type="spellStart"/>
            <w:r>
              <w:rPr>
                <w:sz w:val="20"/>
                <w:szCs w:val="20"/>
                <w:lang w:val="uk-UA"/>
              </w:rPr>
              <w:t>хворювання</w:t>
            </w:r>
            <w:proofErr w:type="spellEnd"/>
            <w:r w:rsidRPr="00E22C95">
              <w:rPr>
                <w:sz w:val="20"/>
                <w:szCs w:val="20"/>
              </w:rPr>
              <w:t xml:space="preserve"> </w:t>
            </w:r>
            <w:proofErr w:type="spellStart"/>
            <w:r>
              <w:rPr>
                <w:sz w:val="20"/>
                <w:szCs w:val="20"/>
                <w:lang w:val="uk-UA"/>
              </w:rPr>
              <w:t>ниро</w:t>
            </w:r>
            <w:proofErr w:type="spellEnd"/>
            <w:r w:rsidRPr="00E22C95">
              <w:rPr>
                <w:sz w:val="20"/>
                <w:szCs w:val="20"/>
              </w:rPr>
              <w:t>к</w:t>
            </w:r>
          </w:p>
        </w:tc>
        <w:tc>
          <w:tcPr>
            <w:tcW w:w="1473" w:type="dxa"/>
            <w:shd w:val="clear" w:color="auto" w:fill="FFFFFF"/>
          </w:tcPr>
          <w:p w:rsidR="00013FD6" w:rsidRPr="00E22C95" w:rsidRDefault="00013FD6" w:rsidP="00013FD6">
            <w:pPr>
              <w:pStyle w:val="1"/>
              <w:shd w:val="clear" w:color="auto" w:fill="auto"/>
              <w:spacing w:before="0" w:line="240" w:lineRule="auto"/>
              <w:rPr>
                <w:rFonts w:ascii="Times New Roman" w:hAnsi="Times New Roman" w:cs="Times New Roman"/>
                <w:sz w:val="20"/>
                <w:szCs w:val="20"/>
              </w:rPr>
            </w:pPr>
            <w:r w:rsidRPr="00E22C95">
              <w:rPr>
                <w:rStyle w:val="TimesNewRoman7pt0pt"/>
                <w:rFonts w:eastAsia="Verdana"/>
                <w:color w:val="auto"/>
                <w:sz w:val="20"/>
                <w:szCs w:val="20"/>
              </w:rPr>
              <w:t>1,64 (0,79, 3,39)</w:t>
            </w:r>
          </w:p>
        </w:tc>
        <w:tc>
          <w:tcPr>
            <w:tcW w:w="874" w:type="dxa"/>
            <w:shd w:val="clear" w:color="auto" w:fill="FFFFFF"/>
          </w:tcPr>
          <w:p w:rsidR="00013FD6" w:rsidRPr="00E22C95" w:rsidRDefault="00013FD6" w:rsidP="00013FD6">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0,181</w:t>
            </w:r>
          </w:p>
        </w:tc>
        <w:tc>
          <w:tcPr>
            <w:tcW w:w="1344" w:type="dxa"/>
            <w:shd w:val="clear" w:color="auto" w:fill="FFFFFF"/>
          </w:tcPr>
          <w:p w:rsidR="00013FD6" w:rsidRPr="00E22C95" w:rsidRDefault="00013FD6" w:rsidP="00013FD6">
            <w:pPr>
              <w:rPr>
                <w:sz w:val="20"/>
                <w:szCs w:val="20"/>
              </w:rPr>
            </w:pPr>
          </w:p>
        </w:tc>
        <w:tc>
          <w:tcPr>
            <w:tcW w:w="854" w:type="dxa"/>
            <w:shd w:val="clear" w:color="auto" w:fill="FFFFFF"/>
          </w:tcPr>
          <w:p w:rsidR="00013FD6" w:rsidRPr="00E22C95" w:rsidRDefault="00013FD6" w:rsidP="00013FD6">
            <w:pPr>
              <w:rPr>
                <w:sz w:val="20"/>
                <w:szCs w:val="20"/>
              </w:rPr>
            </w:pPr>
          </w:p>
        </w:tc>
        <w:tc>
          <w:tcPr>
            <w:tcW w:w="1493" w:type="dxa"/>
            <w:shd w:val="clear" w:color="auto" w:fill="FFFFFF"/>
          </w:tcPr>
          <w:p w:rsidR="00013FD6" w:rsidRPr="00E22C95" w:rsidRDefault="00013FD6" w:rsidP="00013FD6">
            <w:pPr>
              <w:rPr>
                <w:sz w:val="20"/>
                <w:szCs w:val="20"/>
              </w:rPr>
            </w:pPr>
          </w:p>
        </w:tc>
        <w:tc>
          <w:tcPr>
            <w:tcW w:w="922" w:type="dxa"/>
            <w:shd w:val="clear" w:color="auto" w:fill="FFFFFF"/>
          </w:tcPr>
          <w:p w:rsidR="00013FD6" w:rsidRPr="00E22C95" w:rsidRDefault="00013FD6" w:rsidP="00013FD6">
            <w:pPr>
              <w:rPr>
                <w:sz w:val="20"/>
                <w:szCs w:val="20"/>
              </w:rPr>
            </w:pPr>
          </w:p>
        </w:tc>
      </w:tr>
      <w:tr w:rsidR="00013FD6" w:rsidRPr="00BC641F" w:rsidTr="00013FD6">
        <w:trPr>
          <w:trHeight w:hRule="exact" w:val="453"/>
        </w:trPr>
        <w:tc>
          <w:tcPr>
            <w:tcW w:w="2694" w:type="dxa"/>
            <w:shd w:val="clear" w:color="auto" w:fill="FFFFFF"/>
          </w:tcPr>
          <w:p w:rsidR="00013FD6" w:rsidRPr="00E22C95" w:rsidRDefault="00013FD6" w:rsidP="00013FD6">
            <w:pPr>
              <w:jc w:val="left"/>
              <w:rPr>
                <w:sz w:val="20"/>
                <w:szCs w:val="20"/>
              </w:rPr>
            </w:pPr>
            <w:r>
              <w:rPr>
                <w:sz w:val="20"/>
                <w:szCs w:val="20"/>
                <w:lang w:val="uk-UA"/>
              </w:rPr>
              <w:t>К</w:t>
            </w:r>
            <w:r w:rsidRPr="00035A95">
              <w:rPr>
                <w:sz w:val="20"/>
                <w:szCs w:val="20"/>
                <w:lang w:val="uk-UA"/>
              </w:rPr>
              <w:t xml:space="preserve">оди, пов'язані </w:t>
            </w:r>
            <w:r>
              <w:rPr>
                <w:sz w:val="20"/>
                <w:szCs w:val="20"/>
                <w:lang w:val="uk-UA"/>
              </w:rPr>
              <w:t>і</w:t>
            </w:r>
            <w:r w:rsidRPr="00035A95">
              <w:rPr>
                <w:sz w:val="20"/>
                <w:szCs w:val="20"/>
                <w:lang w:val="uk-UA"/>
              </w:rPr>
              <w:t>з вживанням алкоголю</w:t>
            </w:r>
          </w:p>
        </w:tc>
        <w:tc>
          <w:tcPr>
            <w:tcW w:w="1473" w:type="dxa"/>
            <w:shd w:val="clear" w:color="auto" w:fill="FFFFFF"/>
          </w:tcPr>
          <w:p w:rsidR="00013FD6" w:rsidRPr="00E22C95" w:rsidRDefault="00013FD6" w:rsidP="00013FD6">
            <w:pPr>
              <w:pStyle w:val="1"/>
              <w:shd w:val="clear" w:color="auto" w:fill="auto"/>
              <w:spacing w:before="0" w:line="240" w:lineRule="auto"/>
              <w:rPr>
                <w:rFonts w:ascii="Times New Roman" w:hAnsi="Times New Roman" w:cs="Times New Roman"/>
                <w:sz w:val="20"/>
                <w:szCs w:val="20"/>
              </w:rPr>
            </w:pPr>
            <w:r w:rsidRPr="00E22C95">
              <w:rPr>
                <w:rStyle w:val="TimesNewRoman7pt0pt"/>
                <w:rFonts w:eastAsia="Verdana"/>
                <w:color w:val="auto"/>
                <w:sz w:val="20"/>
                <w:szCs w:val="20"/>
              </w:rPr>
              <w:t>3,06 (1,83, 5,12)</w:t>
            </w:r>
          </w:p>
        </w:tc>
        <w:tc>
          <w:tcPr>
            <w:tcW w:w="874" w:type="dxa"/>
            <w:shd w:val="clear" w:color="auto" w:fill="FFFFFF"/>
          </w:tcPr>
          <w:p w:rsidR="00013FD6" w:rsidRPr="00E22C95" w:rsidRDefault="00013FD6" w:rsidP="00013FD6">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&lt; 0,001</w:t>
            </w:r>
          </w:p>
        </w:tc>
        <w:tc>
          <w:tcPr>
            <w:tcW w:w="1344" w:type="dxa"/>
            <w:shd w:val="clear" w:color="auto" w:fill="FFFFFF"/>
          </w:tcPr>
          <w:p w:rsidR="00013FD6" w:rsidRPr="00E22C95" w:rsidRDefault="00013FD6" w:rsidP="00013FD6">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3,10 (1,96, 4,92)</w:t>
            </w:r>
          </w:p>
        </w:tc>
        <w:tc>
          <w:tcPr>
            <w:tcW w:w="854" w:type="dxa"/>
            <w:shd w:val="clear" w:color="auto" w:fill="FFFFFF"/>
          </w:tcPr>
          <w:p w:rsidR="00013FD6" w:rsidRPr="00E22C95" w:rsidRDefault="00013FD6" w:rsidP="00013FD6">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&lt; 0,001</w:t>
            </w:r>
          </w:p>
        </w:tc>
        <w:tc>
          <w:tcPr>
            <w:tcW w:w="1493" w:type="dxa"/>
            <w:shd w:val="clear" w:color="auto" w:fill="FFFFFF"/>
          </w:tcPr>
          <w:p w:rsidR="00013FD6" w:rsidRPr="00E22C95" w:rsidRDefault="00013FD6" w:rsidP="00013FD6">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2,66 (1,66, 4,25)</w:t>
            </w:r>
          </w:p>
        </w:tc>
        <w:tc>
          <w:tcPr>
            <w:tcW w:w="922" w:type="dxa"/>
            <w:shd w:val="clear" w:color="auto" w:fill="FFFFFF"/>
          </w:tcPr>
          <w:p w:rsidR="00013FD6" w:rsidRPr="00E22C95" w:rsidRDefault="00013FD6" w:rsidP="00013FD6">
            <w:pPr>
              <w:pStyle w:val="1"/>
              <w:shd w:val="clear" w:color="auto" w:fill="auto"/>
              <w:spacing w:before="0" w:line="240" w:lineRule="auto"/>
              <w:jc w:val="center"/>
              <w:rPr>
                <w:rFonts w:ascii="Times New Roman" w:hAnsi="Times New Roman" w:cs="Times New Roman"/>
                <w:sz w:val="20"/>
                <w:szCs w:val="20"/>
              </w:rPr>
            </w:pPr>
            <w:r w:rsidRPr="00E22C95">
              <w:rPr>
                <w:rStyle w:val="TimesNewRoman7pt0pt"/>
                <w:rFonts w:eastAsia="Verdana"/>
                <w:color w:val="auto"/>
                <w:sz w:val="20"/>
                <w:szCs w:val="20"/>
              </w:rPr>
              <w:t>&lt; 0,001</w:t>
            </w:r>
          </w:p>
        </w:tc>
      </w:tr>
      <w:tr w:rsidR="00013FD6" w:rsidRPr="00BC641F" w:rsidTr="00013FD6">
        <w:trPr>
          <w:trHeight w:hRule="exact" w:val="282"/>
        </w:trPr>
        <w:tc>
          <w:tcPr>
            <w:tcW w:w="2694" w:type="dxa"/>
            <w:shd w:val="clear" w:color="auto" w:fill="FFFFFF"/>
          </w:tcPr>
          <w:p w:rsidR="00013FD6" w:rsidRPr="00013FD6" w:rsidRDefault="00013FD6" w:rsidP="00013FD6">
            <w:pPr>
              <w:jc w:val="left"/>
              <w:rPr>
                <w:sz w:val="20"/>
                <w:szCs w:val="20"/>
                <w:lang w:val="uk-UA"/>
              </w:rPr>
            </w:pPr>
            <w:proofErr w:type="spellStart"/>
            <w:r w:rsidRPr="00E22C95">
              <w:rPr>
                <w:sz w:val="20"/>
                <w:szCs w:val="20"/>
              </w:rPr>
              <w:t>Статин</w:t>
            </w:r>
            <w:proofErr w:type="spellEnd"/>
            <w:r>
              <w:rPr>
                <w:sz w:val="20"/>
                <w:szCs w:val="20"/>
                <w:lang w:val="uk-UA"/>
              </w:rPr>
              <w:t>и</w:t>
            </w:r>
          </w:p>
        </w:tc>
        <w:tc>
          <w:tcPr>
            <w:tcW w:w="1473" w:type="dxa"/>
            <w:shd w:val="clear" w:color="auto" w:fill="FFFFFF"/>
          </w:tcPr>
          <w:p w:rsidR="00013FD6" w:rsidRPr="00E22C95" w:rsidRDefault="00013FD6" w:rsidP="00013FD6">
            <w:pPr>
              <w:pStyle w:val="1"/>
              <w:shd w:val="clear" w:color="auto" w:fill="auto"/>
              <w:spacing w:before="0" w:line="240" w:lineRule="auto"/>
              <w:rPr>
                <w:rStyle w:val="TimesNewRoman7pt0pt"/>
                <w:rFonts w:eastAsia="Verdana"/>
                <w:color w:val="auto"/>
                <w:sz w:val="20"/>
                <w:szCs w:val="20"/>
                <w:lang w:val="ru-RU"/>
              </w:rPr>
            </w:pPr>
            <w:r w:rsidRPr="00E22C95">
              <w:rPr>
                <w:rStyle w:val="TimesNewRoman7pt0pt"/>
                <w:rFonts w:eastAsia="Verdana"/>
                <w:color w:val="auto"/>
                <w:sz w:val="20"/>
                <w:szCs w:val="20"/>
                <w:lang w:val="ru-RU"/>
              </w:rPr>
              <w:t>0,97 (0,43, 2,16)</w:t>
            </w:r>
          </w:p>
        </w:tc>
        <w:tc>
          <w:tcPr>
            <w:tcW w:w="874" w:type="dxa"/>
            <w:shd w:val="clear" w:color="auto" w:fill="FFFFFF"/>
          </w:tcPr>
          <w:p w:rsidR="00013FD6" w:rsidRPr="00E22C95" w:rsidRDefault="00013FD6" w:rsidP="00013FD6">
            <w:pPr>
              <w:pStyle w:val="1"/>
              <w:shd w:val="clear" w:color="auto" w:fill="auto"/>
              <w:spacing w:before="0" w:line="240" w:lineRule="auto"/>
              <w:jc w:val="center"/>
              <w:rPr>
                <w:rStyle w:val="TimesNewRoman7pt0pt"/>
                <w:rFonts w:eastAsia="Verdana"/>
                <w:color w:val="auto"/>
                <w:sz w:val="20"/>
                <w:szCs w:val="20"/>
                <w:lang w:val="ru-RU"/>
              </w:rPr>
            </w:pPr>
            <w:r w:rsidRPr="00E22C95">
              <w:rPr>
                <w:rStyle w:val="TimesNewRoman7pt0pt"/>
                <w:rFonts w:eastAsia="Verdana"/>
                <w:color w:val="auto"/>
                <w:sz w:val="20"/>
                <w:szCs w:val="20"/>
                <w:lang w:val="ru-RU"/>
              </w:rPr>
              <w:t>0,937</w:t>
            </w:r>
          </w:p>
        </w:tc>
        <w:tc>
          <w:tcPr>
            <w:tcW w:w="1344" w:type="dxa"/>
            <w:shd w:val="clear" w:color="auto" w:fill="FFFFFF"/>
          </w:tcPr>
          <w:p w:rsidR="00013FD6" w:rsidRPr="00E22C95" w:rsidRDefault="00013FD6" w:rsidP="00013FD6">
            <w:pPr>
              <w:pStyle w:val="1"/>
              <w:shd w:val="clear" w:color="auto" w:fill="auto"/>
              <w:spacing w:before="0" w:line="240" w:lineRule="auto"/>
              <w:jc w:val="center"/>
              <w:rPr>
                <w:rStyle w:val="TimesNewRoman7pt0pt"/>
                <w:rFonts w:eastAsia="Verdana"/>
                <w:color w:val="auto"/>
                <w:sz w:val="20"/>
                <w:szCs w:val="20"/>
              </w:rPr>
            </w:pPr>
          </w:p>
        </w:tc>
        <w:tc>
          <w:tcPr>
            <w:tcW w:w="854" w:type="dxa"/>
            <w:shd w:val="clear" w:color="auto" w:fill="FFFFFF"/>
          </w:tcPr>
          <w:p w:rsidR="00013FD6" w:rsidRPr="00E22C95" w:rsidRDefault="00013FD6" w:rsidP="00013FD6">
            <w:pPr>
              <w:pStyle w:val="1"/>
              <w:shd w:val="clear" w:color="auto" w:fill="auto"/>
              <w:spacing w:before="0" w:line="240" w:lineRule="auto"/>
              <w:jc w:val="center"/>
              <w:rPr>
                <w:rStyle w:val="TimesNewRoman7pt0pt"/>
                <w:rFonts w:eastAsia="Verdana"/>
                <w:color w:val="auto"/>
                <w:sz w:val="20"/>
                <w:szCs w:val="20"/>
              </w:rPr>
            </w:pPr>
          </w:p>
        </w:tc>
        <w:tc>
          <w:tcPr>
            <w:tcW w:w="1493" w:type="dxa"/>
            <w:shd w:val="clear" w:color="auto" w:fill="FFFFFF"/>
          </w:tcPr>
          <w:p w:rsidR="00013FD6" w:rsidRPr="00E22C95" w:rsidRDefault="00013FD6" w:rsidP="00013FD6">
            <w:pPr>
              <w:pStyle w:val="1"/>
              <w:shd w:val="clear" w:color="auto" w:fill="auto"/>
              <w:spacing w:before="0" w:line="240" w:lineRule="auto"/>
              <w:jc w:val="center"/>
              <w:rPr>
                <w:rStyle w:val="TimesNewRoman7pt0pt"/>
                <w:rFonts w:eastAsia="Verdana"/>
                <w:color w:val="auto"/>
                <w:sz w:val="20"/>
                <w:szCs w:val="20"/>
              </w:rPr>
            </w:pPr>
          </w:p>
        </w:tc>
        <w:tc>
          <w:tcPr>
            <w:tcW w:w="922" w:type="dxa"/>
            <w:shd w:val="clear" w:color="auto" w:fill="FFFFFF"/>
          </w:tcPr>
          <w:p w:rsidR="00013FD6" w:rsidRPr="00E22C95" w:rsidRDefault="00013FD6" w:rsidP="00013FD6">
            <w:pPr>
              <w:pStyle w:val="1"/>
              <w:shd w:val="clear" w:color="auto" w:fill="auto"/>
              <w:spacing w:before="0" w:line="240" w:lineRule="auto"/>
              <w:jc w:val="center"/>
              <w:rPr>
                <w:rStyle w:val="TimesNewRoman7pt0pt"/>
                <w:rFonts w:eastAsia="Verdana"/>
                <w:color w:val="auto"/>
                <w:sz w:val="20"/>
                <w:szCs w:val="20"/>
              </w:rPr>
            </w:pPr>
          </w:p>
        </w:tc>
      </w:tr>
      <w:tr w:rsidR="00013FD6" w:rsidRPr="00BC641F" w:rsidTr="00013FD6">
        <w:trPr>
          <w:trHeight w:hRule="exact" w:val="479"/>
        </w:trPr>
        <w:tc>
          <w:tcPr>
            <w:tcW w:w="2694" w:type="dxa"/>
            <w:shd w:val="clear" w:color="auto" w:fill="FFFFFF"/>
          </w:tcPr>
          <w:p w:rsidR="00013FD6" w:rsidRPr="00E22C95" w:rsidRDefault="00013FD6" w:rsidP="00013FD6">
            <w:pPr>
              <w:jc w:val="left"/>
              <w:rPr>
                <w:sz w:val="20"/>
                <w:szCs w:val="20"/>
              </w:rPr>
            </w:pPr>
            <w:r>
              <w:rPr>
                <w:sz w:val="20"/>
                <w:szCs w:val="20"/>
                <w:lang w:val="uk-UA"/>
              </w:rPr>
              <w:t>І</w:t>
            </w:r>
            <w:r w:rsidRPr="00035A95">
              <w:rPr>
                <w:sz w:val="20"/>
                <w:szCs w:val="20"/>
                <w:lang w:val="uk-UA"/>
              </w:rPr>
              <w:t xml:space="preserve">нгібітор </w:t>
            </w:r>
            <w:proofErr w:type="spellStart"/>
            <w:r w:rsidRPr="00035A95">
              <w:rPr>
                <w:sz w:val="20"/>
                <w:szCs w:val="20"/>
                <w:lang w:val="uk-UA"/>
              </w:rPr>
              <w:t>ангіотензинперетво</w:t>
            </w:r>
            <w:r>
              <w:rPr>
                <w:sz w:val="20"/>
                <w:szCs w:val="20"/>
                <w:lang w:val="uk-UA"/>
              </w:rPr>
              <w:t>-</w:t>
            </w:r>
            <w:r w:rsidRPr="00035A95">
              <w:rPr>
                <w:sz w:val="20"/>
                <w:szCs w:val="20"/>
                <w:lang w:val="uk-UA"/>
              </w:rPr>
              <w:t>рю</w:t>
            </w:r>
            <w:r>
              <w:rPr>
                <w:sz w:val="20"/>
                <w:szCs w:val="20"/>
                <w:lang w:val="uk-UA"/>
              </w:rPr>
              <w:t>вальн</w:t>
            </w:r>
            <w:r w:rsidRPr="00035A95">
              <w:rPr>
                <w:sz w:val="20"/>
                <w:szCs w:val="20"/>
                <w:lang w:val="uk-UA"/>
              </w:rPr>
              <w:t>ого</w:t>
            </w:r>
            <w:proofErr w:type="spellEnd"/>
            <w:r w:rsidRPr="00035A95">
              <w:rPr>
                <w:sz w:val="20"/>
                <w:szCs w:val="20"/>
                <w:lang w:val="uk-UA"/>
              </w:rPr>
              <w:t xml:space="preserve"> ферменту</w:t>
            </w:r>
          </w:p>
        </w:tc>
        <w:tc>
          <w:tcPr>
            <w:tcW w:w="1473" w:type="dxa"/>
            <w:shd w:val="clear" w:color="auto" w:fill="FFFFFF"/>
          </w:tcPr>
          <w:p w:rsidR="00013FD6" w:rsidRPr="00E22C95" w:rsidRDefault="00013FD6" w:rsidP="00013FD6">
            <w:pPr>
              <w:pStyle w:val="1"/>
              <w:shd w:val="clear" w:color="auto" w:fill="auto"/>
              <w:spacing w:before="0" w:line="240" w:lineRule="auto"/>
              <w:rPr>
                <w:rStyle w:val="TimesNewRoman7pt0pt"/>
                <w:rFonts w:eastAsia="Verdana"/>
                <w:color w:val="auto"/>
                <w:sz w:val="20"/>
                <w:szCs w:val="20"/>
                <w:lang w:val="ru-RU"/>
              </w:rPr>
            </w:pPr>
            <w:r w:rsidRPr="00E22C95">
              <w:rPr>
                <w:rStyle w:val="TimesNewRoman7pt0pt"/>
                <w:rFonts w:eastAsia="Verdana"/>
                <w:color w:val="auto"/>
                <w:sz w:val="20"/>
                <w:szCs w:val="20"/>
                <w:lang w:val="ru-RU"/>
              </w:rPr>
              <w:t xml:space="preserve">1,05 (0,42, 2,63) </w:t>
            </w:r>
          </w:p>
        </w:tc>
        <w:tc>
          <w:tcPr>
            <w:tcW w:w="874" w:type="dxa"/>
            <w:shd w:val="clear" w:color="auto" w:fill="FFFFFF"/>
          </w:tcPr>
          <w:p w:rsidR="00013FD6" w:rsidRPr="00E22C95" w:rsidRDefault="00013FD6" w:rsidP="00013FD6">
            <w:pPr>
              <w:pStyle w:val="1"/>
              <w:shd w:val="clear" w:color="auto" w:fill="auto"/>
              <w:spacing w:before="0" w:line="240" w:lineRule="auto"/>
              <w:jc w:val="center"/>
              <w:rPr>
                <w:rStyle w:val="TimesNewRoman7pt0pt"/>
                <w:rFonts w:eastAsia="Verdana"/>
                <w:color w:val="auto"/>
                <w:sz w:val="20"/>
                <w:szCs w:val="20"/>
                <w:lang w:val="ru-RU"/>
              </w:rPr>
            </w:pPr>
            <w:r w:rsidRPr="00E22C95">
              <w:rPr>
                <w:rStyle w:val="TimesNewRoman7pt0pt"/>
                <w:rFonts w:eastAsia="Verdana"/>
                <w:color w:val="auto"/>
                <w:sz w:val="20"/>
                <w:szCs w:val="20"/>
                <w:lang w:val="ru-RU"/>
              </w:rPr>
              <w:t>0,922</w:t>
            </w:r>
          </w:p>
        </w:tc>
        <w:tc>
          <w:tcPr>
            <w:tcW w:w="1344" w:type="dxa"/>
            <w:shd w:val="clear" w:color="auto" w:fill="FFFFFF"/>
          </w:tcPr>
          <w:p w:rsidR="00013FD6" w:rsidRPr="00E22C95" w:rsidRDefault="00013FD6" w:rsidP="00013FD6">
            <w:pPr>
              <w:pStyle w:val="1"/>
              <w:shd w:val="clear" w:color="auto" w:fill="auto"/>
              <w:spacing w:before="0" w:line="240" w:lineRule="auto"/>
              <w:jc w:val="center"/>
              <w:rPr>
                <w:rStyle w:val="TimesNewRoman7pt0pt"/>
                <w:rFonts w:eastAsia="Verdana"/>
                <w:color w:val="auto"/>
                <w:sz w:val="20"/>
                <w:szCs w:val="20"/>
              </w:rPr>
            </w:pPr>
          </w:p>
        </w:tc>
        <w:tc>
          <w:tcPr>
            <w:tcW w:w="854" w:type="dxa"/>
            <w:shd w:val="clear" w:color="auto" w:fill="FFFFFF"/>
          </w:tcPr>
          <w:p w:rsidR="00013FD6" w:rsidRPr="00E22C95" w:rsidRDefault="00013FD6" w:rsidP="00013FD6">
            <w:pPr>
              <w:pStyle w:val="1"/>
              <w:shd w:val="clear" w:color="auto" w:fill="auto"/>
              <w:spacing w:before="0" w:line="240" w:lineRule="auto"/>
              <w:jc w:val="center"/>
              <w:rPr>
                <w:rStyle w:val="TimesNewRoman7pt0pt"/>
                <w:rFonts w:eastAsia="Verdana"/>
                <w:color w:val="auto"/>
                <w:sz w:val="20"/>
                <w:szCs w:val="20"/>
              </w:rPr>
            </w:pPr>
          </w:p>
        </w:tc>
        <w:tc>
          <w:tcPr>
            <w:tcW w:w="1493" w:type="dxa"/>
            <w:shd w:val="clear" w:color="auto" w:fill="FFFFFF"/>
          </w:tcPr>
          <w:p w:rsidR="00013FD6" w:rsidRPr="00E22C95" w:rsidRDefault="00013FD6" w:rsidP="00013FD6">
            <w:pPr>
              <w:pStyle w:val="1"/>
              <w:shd w:val="clear" w:color="auto" w:fill="auto"/>
              <w:spacing w:before="0" w:line="240" w:lineRule="auto"/>
              <w:jc w:val="center"/>
              <w:rPr>
                <w:rStyle w:val="TimesNewRoman7pt0pt"/>
                <w:rFonts w:eastAsia="Verdana"/>
                <w:color w:val="auto"/>
                <w:sz w:val="20"/>
                <w:szCs w:val="20"/>
              </w:rPr>
            </w:pPr>
          </w:p>
        </w:tc>
        <w:tc>
          <w:tcPr>
            <w:tcW w:w="922" w:type="dxa"/>
            <w:shd w:val="clear" w:color="auto" w:fill="FFFFFF"/>
          </w:tcPr>
          <w:p w:rsidR="00013FD6" w:rsidRPr="00E22C95" w:rsidRDefault="00013FD6" w:rsidP="00013FD6">
            <w:pPr>
              <w:pStyle w:val="1"/>
              <w:shd w:val="clear" w:color="auto" w:fill="auto"/>
              <w:spacing w:before="0" w:line="240" w:lineRule="auto"/>
              <w:jc w:val="center"/>
              <w:rPr>
                <w:rStyle w:val="TimesNewRoman7pt0pt"/>
                <w:rFonts w:eastAsia="Verdana"/>
                <w:color w:val="auto"/>
                <w:sz w:val="20"/>
                <w:szCs w:val="20"/>
              </w:rPr>
            </w:pPr>
          </w:p>
        </w:tc>
      </w:tr>
      <w:tr w:rsidR="00013FD6" w:rsidRPr="00BC641F" w:rsidTr="00013FD6">
        <w:trPr>
          <w:trHeight w:hRule="exact" w:val="299"/>
        </w:trPr>
        <w:tc>
          <w:tcPr>
            <w:tcW w:w="2694" w:type="dxa"/>
            <w:shd w:val="clear" w:color="auto" w:fill="FFFFFF"/>
          </w:tcPr>
          <w:p w:rsidR="00013FD6" w:rsidRPr="00E22C95" w:rsidRDefault="00013FD6" w:rsidP="00013FD6">
            <w:pPr>
              <w:jc w:val="left"/>
              <w:rPr>
                <w:sz w:val="20"/>
                <w:szCs w:val="20"/>
              </w:rPr>
            </w:pPr>
            <w:proofErr w:type="spellStart"/>
            <w:r w:rsidRPr="00E22C95">
              <w:rPr>
                <w:sz w:val="20"/>
                <w:szCs w:val="20"/>
              </w:rPr>
              <w:t>Предн</w:t>
            </w:r>
            <w:proofErr w:type="spellEnd"/>
            <w:r>
              <w:rPr>
                <w:sz w:val="20"/>
                <w:szCs w:val="20"/>
                <w:lang w:val="uk-UA"/>
              </w:rPr>
              <w:t>і</w:t>
            </w:r>
            <w:proofErr w:type="spellStart"/>
            <w:r w:rsidRPr="00E22C95">
              <w:rPr>
                <w:sz w:val="20"/>
                <w:szCs w:val="20"/>
              </w:rPr>
              <w:t>золон</w:t>
            </w:r>
            <w:proofErr w:type="spellEnd"/>
          </w:p>
        </w:tc>
        <w:tc>
          <w:tcPr>
            <w:tcW w:w="1473" w:type="dxa"/>
            <w:shd w:val="clear" w:color="auto" w:fill="FFFFFF"/>
          </w:tcPr>
          <w:p w:rsidR="00013FD6" w:rsidRPr="00E22C95" w:rsidRDefault="00013FD6" w:rsidP="00013FD6">
            <w:pPr>
              <w:pStyle w:val="1"/>
              <w:shd w:val="clear" w:color="auto" w:fill="auto"/>
              <w:spacing w:before="0" w:line="240" w:lineRule="auto"/>
              <w:rPr>
                <w:rStyle w:val="TimesNewRoman7pt0pt"/>
                <w:rFonts w:eastAsia="Verdana"/>
                <w:color w:val="auto"/>
                <w:sz w:val="20"/>
                <w:szCs w:val="20"/>
                <w:lang w:val="ru-RU"/>
              </w:rPr>
            </w:pPr>
            <w:r w:rsidRPr="00E22C95">
              <w:rPr>
                <w:rStyle w:val="TimesNewRoman7pt0pt"/>
                <w:rFonts w:eastAsia="Verdana"/>
                <w:color w:val="auto"/>
                <w:sz w:val="20"/>
                <w:szCs w:val="20"/>
                <w:lang w:val="ru-RU"/>
              </w:rPr>
              <w:t>1,28 (0,28, 5,85)</w:t>
            </w:r>
          </w:p>
        </w:tc>
        <w:tc>
          <w:tcPr>
            <w:tcW w:w="874" w:type="dxa"/>
            <w:shd w:val="clear" w:color="auto" w:fill="FFFFFF"/>
          </w:tcPr>
          <w:p w:rsidR="00013FD6" w:rsidRPr="00E22C95" w:rsidRDefault="00013FD6" w:rsidP="00013FD6">
            <w:pPr>
              <w:pStyle w:val="1"/>
              <w:shd w:val="clear" w:color="auto" w:fill="auto"/>
              <w:spacing w:before="0" w:line="240" w:lineRule="auto"/>
              <w:jc w:val="center"/>
              <w:rPr>
                <w:rStyle w:val="TimesNewRoman7pt0pt"/>
                <w:rFonts w:eastAsia="Verdana"/>
                <w:color w:val="auto"/>
                <w:sz w:val="20"/>
                <w:szCs w:val="20"/>
                <w:lang w:val="ru-RU"/>
              </w:rPr>
            </w:pPr>
            <w:r w:rsidRPr="00E22C95">
              <w:rPr>
                <w:rStyle w:val="TimesNewRoman7pt0pt"/>
                <w:rFonts w:eastAsia="Verdana"/>
                <w:color w:val="auto"/>
                <w:sz w:val="20"/>
                <w:szCs w:val="20"/>
                <w:lang w:val="ru-RU"/>
              </w:rPr>
              <w:t>0,751</w:t>
            </w:r>
          </w:p>
        </w:tc>
        <w:tc>
          <w:tcPr>
            <w:tcW w:w="1344" w:type="dxa"/>
            <w:shd w:val="clear" w:color="auto" w:fill="FFFFFF"/>
          </w:tcPr>
          <w:p w:rsidR="00013FD6" w:rsidRPr="00E22C95" w:rsidRDefault="00013FD6" w:rsidP="00013FD6">
            <w:pPr>
              <w:pStyle w:val="1"/>
              <w:shd w:val="clear" w:color="auto" w:fill="auto"/>
              <w:spacing w:before="0" w:line="240" w:lineRule="auto"/>
              <w:jc w:val="center"/>
              <w:rPr>
                <w:rStyle w:val="TimesNewRoman7pt0pt"/>
                <w:rFonts w:eastAsia="Verdana"/>
                <w:color w:val="auto"/>
                <w:sz w:val="20"/>
                <w:szCs w:val="20"/>
              </w:rPr>
            </w:pPr>
          </w:p>
        </w:tc>
        <w:tc>
          <w:tcPr>
            <w:tcW w:w="854" w:type="dxa"/>
            <w:shd w:val="clear" w:color="auto" w:fill="FFFFFF"/>
          </w:tcPr>
          <w:p w:rsidR="00013FD6" w:rsidRPr="00E22C95" w:rsidRDefault="00013FD6" w:rsidP="00013FD6">
            <w:pPr>
              <w:pStyle w:val="1"/>
              <w:shd w:val="clear" w:color="auto" w:fill="auto"/>
              <w:spacing w:before="0" w:line="240" w:lineRule="auto"/>
              <w:jc w:val="center"/>
              <w:rPr>
                <w:rStyle w:val="TimesNewRoman7pt0pt"/>
                <w:rFonts w:eastAsia="Verdana"/>
                <w:color w:val="auto"/>
                <w:sz w:val="20"/>
                <w:szCs w:val="20"/>
              </w:rPr>
            </w:pPr>
          </w:p>
        </w:tc>
        <w:tc>
          <w:tcPr>
            <w:tcW w:w="1493" w:type="dxa"/>
            <w:shd w:val="clear" w:color="auto" w:fill="FFFFFF"/>
          </w:tcPr>
          <w:p w:rsidR="00013FD6" w:rsidRPr="00E22C95" w:rsidRDefault="00013FD6" w:rsidP="00013FD6">
            <w:pPr>
              <w:pStyle w:val="1"/>
              <w:shd w:val="clear" w:color="auto" w:fill="auto"/>
              <w:spacing w:before="0" w:line="240" w:lineRule="auto"/>
              <w:jc w:val="center"/>
              <w:rPr>
                <w:rStyle w:val="TimesNewRoman7pt0pt"/>
                <w:rFonts w:eastAsia="Verdana"/>
                <w:color w:val="auto"/>
                <w:sz w:val="20"/>
                <w:szCs w:val="20"/>
              </w:rPr>
            </w:pPr>
          </w:p>
        </w:tc>
        <w:tc>
          <w:tcPr>
            <w:tcW w:w="922" w:type="dxa"/>
            <w:shd w:val="clear" w:color="auto" w:fill="FFFFFF"/>
          </w:tcPr>
          <w:p w:rsidR="00013FD6" w:rsidRPr="00E22C95" w:rsidRDefault="00013FD6" w:rsidP="00013FD6">
            <w:pPr>
              <w:pStyle w:val="1"/>
              <w:shd w:val="clear" w:color="auto" w:fill="auto"/>
              <w:spacing w:before="0" w:line="240" w:lineRule="auto"/>
              <w:jc w:val="center"/>
              <w:rPr>
                <w:rStyle w:val="TimesNewRoman7pt0pt"/>
                <w:rFonts w:eastAsia="Verdana"/>
                <w:color w:val="auto"/>
                <w:sz w:val="20"/>
                <w:szCs w:val="20"/>
              </w:rPr>
            </w:pPr>
          </w:p>
        </w:tc>
      </w:tr>
      <w:tr w:rsidR="00013FD6" w:rsidRPr="00BC641F" w:rsidTr="00013FD6">
        <w:trPr>
          <w:trHeight w:hRule="exact" w:val="280"/>
        </w:trPr>
        <w:tc>
          <w:tcPr>
            <w:tcW w:w="2694" w:type="dxa"/>
            <w:shd w:val="clear" w:color="auto" w:fill="FFFFFF"/>
          </w:tcPr>
          <w:p w:rsidR="00013FD6" w:rsidRPr="00EC25B7" w:rsidRDefault="00013FD6" w:rsidP="00013FD6">
            <w:pPr>
              <w:rPr>
                <w:sz w:val="20"/>
                <w:szCs w:val="20"/>
              </w:rPr>
            </w:pPr>
            <w:r>
              <w:rPr>
                <w:sz w:val="20"/>
                <w:szCs w:val="20"/>
                <w:lang w:val="uk-UA"/>
              </w:rPr>
              <w:t>С</w:t>
            </w:r>
            <w:r w:rsidRPr="00035A95">
              <w:rPr>
                <w:sz w:val="20"/>
                <w:szCs w:val="20"/>
                <w:lang w:val="uk-UA"/>
              </w:rPr>
              <w:t>татеві гормони</w:t>
            </w:r>
          </w:p>
        </w:tc>
        <w:tc>
          <w:tcPr>
            <w:tcW w:w="1473" w:type="dxa"/>
            <w:shd w:val="clear" w:color="auto" w:fill="FFFFFF"/>
          </w:tcPr>
          <w:p w:rsidR="00013FD6" w:rsidRPr="00E22C95" w:rsidRDefault="00013FD6" w:rsidP="00013FD6">
            <w:pPr>
              <w:pStyle w:val="1"/>
              <w:shd w:val="clear" w:color="auto" w:fill="auto"/>
              <w:spacing w:before="0" w:line="240" w:lineRule="auto"/>
              <w:rPr>
                <w:rStyle w:val="TimesNewRoman7pt0pt"/>
                <w:rFonts w:eastAsia="Verdana"/>
                <w:color w:val="auto"/>
                <w:sz w:val="20"/>
                <w:szCs w:val="20"/>
                <w:lang w:val="ru-RU"/>
              </w:rPr>
            </w:pPr>
            <w:r w:rsidRPr="00E22C95">
              <w:rPr>
                <w:rStyle w:val="TimesNewRoman7pt0pt"/>
                <w:rFonts w:eastAsia="Verdana"/>
                <w:color w:val="auto"/>
                <w:sz w:val="20"/>
                <w:szCs w:val="20"/>
                <w:lang w:val="ru-RU"/>
              </w:rPr>
              <w:t>1,64 (0,52, 5,2)</w:t>
            </w:r>
          </w:p>
        </w:tc>
        <w:tc>
          <w:tcPr>
            <w:tcW w:w="874" w:type="dxa"/>
            <w:shd w:val="clear" w:color="auto" w:fill="FFFFFF"/>
          </w:tcPr>
          <w:p w:rsidR="00013FD6" w:rsidRPr="00E22C95" w:rsidRDefault="00013FD6" w:rsidP="00013FD6">
            <w:pPr>
              <w:pStyle w:val="1"/>
              <w:shd w:val="clear" w:color="auto" w:fill="auto"/>
              <w:spacing w:before="0" w:line="240" w:lineRule="auto"/>
              <w:jc w:val="center"/>
              <w:rPr>
                <w:rStyle w:val="TimesNewRoman7pt0pt"/>
                <w:rFonts w:eastAsia="Verdana"/>
                <w:color w:val="auto"/>
                <w:sz w:val="20"/>
                <w:szCs w:val="20"/>
                <w:lang w:val="ru-RU"/>
              </w:rPr>
            </w:pPr>
            <w:r w:rsidRPr="00E22C95">
              <w:rPr>
                <w:rStyle w:val="TimesNewRoman7pt0pt"/>
                <w:rFonts w:eastAsia="Verdana"/>
                <w:color w:val="auto"/>
                <w:sz w:val="20"/>
                <w:szCs w:val="20"/>
                <w:lang w:val="ru-RU"/>
              </w:rPr>
              <w:t>0,398</w:t>
            </w:r>
          </w:p>
        </w:tc>
        <w:tc>
          <w:tcPr>
            <w:tcW w:w="1344" w:type="dxa"/>
            <w:shd w:val="clear" w:color="auto" w:fill="FFFFFF"/>
          </w:tcPr>
          <w:p w:rsidR="00013FD6" w:rsidRPr="00E22C95" w:rsidRDefault="00013FD6" w:rsidP="00013FD6">
            <w:pPr>
              <w:pStyle w:val="1"/>
              <w:shd w:val="clear" w:color="auto" w:fill="auto"/>
              <w:spacing w:before="0" w:line="240" w:lineRule="auto"/>
              <w:jc w:val="center"/>
              <w:rPr>
                <w:rStyle w:val="TimesNewRoman7pt0pt"/>
                <w:rFonts w:eastAsia="Verdana"/>
                <w:color w:val="auto"/>
                <w:sz w:val="20"/>
                <w:szCs w:val="20"/>
              </w:rPr>
            </w:pPr>
          </w:p>
        </w:tc>
        <w:tc>
          <w:tcPr>
            <w:tcW w:w="854" w:type="dxa"/>
            <w:shd w:val="clear" w:color="auto" w:fill="FFFFFF"/>
          </w:tcPr>
          <w:p w:rsidR="00013FD6" w:rsidRPr="00E22C95" w:rsidRDefault="00013FD6" w:rsidP="00013FD6">
            <w:pPr>
              <w:pStyle w:val="1"/>
              <w:shd w:val="clear" w:color="auto" w:fill="auto"/>
              <w:spacing w:before="0" w:line="240" w:lineRule="auto"/>
              <w:jc w:val="center"/>
              <w:rPr>
                <w:rStyle w:val="TimesNewRoman7pt0pt"/>
                <w:rFonts w:eastAsia="Verdana"/>
                <w:color w:val="auto"/>
                <w:sz w:val="20"/>
                <w:szCs w:val="20"/>
              </w:rPr>
            </w:pPr>
          </w:p>
        </w:tc>
        <w:tc>
          <w:tcPr>
            <w:tcW w:w="1493" w:type="dxa"/>
            <w:shd w:val="clear" w:color="auto" w:fill="FFFFFF"/>
          </w:tcPr>
          <w:p w:rsidR="00013FD6" w:rsidRPr="00E22C95" w:rsidRDefault="00013FD6" w:rsidP="00013FD6">
            <w:pPr>
              <w:pStyle w:val="1"/>
              <w:shd w:val="clear" w:color="auto" w:fill="auto"/>
              <w:spacing w:before="0" w:line="240" w:lineRule="auto"/>
              <w:jc w:val="center"/>
              <w:rPr>
                <w:rStyle w:val="TimesNewRoman7pt0pt"/>
                <w:rFonts w:eastAsia="Verdana"/>
                <w:color w:val="auto"/>
                <w:sz w:val="20"/>
                <w:szCs w:val="20"/>
              </w:rPr>
            </w:pPr>
          </w:p>
        </w:tc>
        <w:tc>
          <w:tcPr>
            <w:tcW w:w="922" w:type="dxa"/>
            <w:shd w:val="clear" w:color="auto" w:fill="FFFFFF"/>
          </w:tcPr>
          <w:p w:rsidR="00013FD6" w:rsidRPr="00E22C95" w:rsidRDefault="00013FD6" w:rsidP="00013FD6">
            <w:pPr>
              <w:pStyle w:val="1"/>
              <w:shd w:val="clear" w:color="auto" w:fill="auto"/>
              <w:spacing w:before="0" w:line="240" w:lineRule="auto"/>
              <w:jc w:val="center"/>
              <w:rPr>
                <w:rStyle w:val="TimesNewRoman7pt0pt"/>
                <w:rFonts w:eastAsia="Verdana"/>
                <w:color w:val="auto"/>
                <w:sz w:val="20"/>
                <w:szCs w:val="20"/>
              </w:rPr>
            </w:pPr>
          </w:p>
        </w:tc>
      </w:tr>
      <w:tr w:rsidR="00013FD6" w:rsidRPr="00BC641F" w:rsidTr="00013FD6">
        <w:trPr>
          <w:trHeight w:hRule="exact" w:val="280"/>
        </w:trPr>
        <w:tc>
          <w:tcPr>
            <w:tcW w:w="2694" w:type="dxa"/>
            <w:tcBorders>
              <w:bottom w:val="single" w:sz="4" w:space="0" w:color="auto"/>
            </w:tcBorders>
            <w:shd w:val="clear" w:color="auto" w:fill="FFFFFF"/>
          </w:tcPr>
          <w:p w:rsidR="00013FD6" w:rsidRPr="00E22C95" w:rsidRDefault="00013FD6" w:rsidP="00013FD6">
            <w:pPr>
              <w:jc w:val="left"/>
              <w:rPr>
                <w:sz w:val="20"/>
                <w:szCs w:val="20"/>
              </w:rPr>
            </w:pPr>
            <w:proofErr w:type="spellStart"/>
            <w:r w:rsidRPr="00E22C95">
              <w:rPr>
                <w:sz w:val="20"/>
                <w:szCs w:val="20"/>
              </w:rPr>
              <w:t>Метформ</w:t>
            </w:r>
            <w:proofErr w:type="spellEnd"/>
            <w:r>
              <w:rPr>
                <w:sz w:val="20"/>
                <w:szCs w:val="20"/>
                <w:lang w:val="uk-UA"/>
              </w:rPr>
              <w:t>і</w:t>
            </w:r>
            <w:r w:rsidRPr="00E22C95">
              <w:rPr>
                <w:sz w:val="20"/>
                <w:szCs w:val="20"/>
              </w:rPr>
              <w:t>н</w:t>
            </w:r>
          </w:p>
        </w:tc>
        <w:tc>
          <w:tcPr>
            <w:tcW w:w="1473" w:type="dxa"/>
            <w:tcBorders>
              <w:bottom w:val="single" w:sz="4" w:space="0" w:color="auto"/>
            </w:tcBorders>
            <w:shd w:val="clear" w:color="auto" w:fill="FFFFFF"/>
          </w:tcPr>
          <w:p w:rsidR="00013FD6" w:rsidRPr="00E22C95" w:rsidRDefault="00013FD6" w:rsidP="00013FD6">
            <w:pPr>
              <w:pStyle w:val="1"/>
              <w:shd w:val="clear" w:color="auto" w:fill="auto"/>
              <w:spacing w:before="0" w:line="240" w:lineRule="auto"/>
              <w:rPr>
                <w:rStyle w:val="TimesNewRoman7pt0pt"/>
                <w:rFonts w:eastAsia="Verdana"/>
                <w:color w:val="auto"/>
                <w:sz w:val="20"/>
                <w:szCs w:val="20"/>
                <w:lang w:val="ru-RU"/>
              </w:rPr>
            </w:pPr>
            <w:r w:rsidRPr="00E22C95">
              <w:rPr>
                <w:rStyle w:val="TimesNewRoman7pt0pt"/>
                <w:rFonts w:eastAsia="Verdana"/>
                <w:color w:val="auto"/>
                <w:sz w:val="20"/>
                <w:szCs w:val="20"/>
                <w:lang w:val="ru-RU"/>
              </w:rPr>
              <w:t>2,09 (0,83, 5,29)</w:t>
            </w:r>
          </w:p>
        </w:tc>
        <w:tc>
          <w:tcPr>
            <w:tcW w:w="874" w:type="dxa"/>
            <w:tcBorders>
              <w:bottom w:val="single" w:sz="4" w:space="0" w:color="auto"/>
            </w:tcBorders>
            <w:shd w:val="clear" w:color="auto" w:fill="FFFFFF"/>
          </w:tcPr>
          <w:p w:rsidR="00013FD6" w:rsidRPr="00E22C95" w:rsidRDefault="00013FD6" w:rsidP="00013FD6">
            <w:pPr>
              <w:pStyle w:val="1"/>
              <w:shd w:val="clear" w:color="auto" w:fill="auto"/>
              <w:spacing w:before="0" w:line="240" w:lineRule="auto"/>
              <w:jc w:val="center"/>
              <w:rPr>
                <w:rStyle w:val="TimesNewRoman7pt0pt"/>
                <w:rFonts w:eastAsia="Verdana"/>
                <w:color w:val="auto"/>
                <w:sz w:val="20"/>
                <w:szCs w:val="20"/>
                <w:lang w:val="ru-RU"/>
              </w:rPr>
            </w:pPr>
            <w:r w:rsidRPr="00E22C95">
              <w:rPr>
                <w:rStyle w:val="TimesNewRoman7pt0pt"/>
                <w:rFonts w:eastAsia="Verdana"/>
                <w:color w:val="auto"/>
                <w:sz w:val="20"/>
                <w:szCs w:val="20"/>
                <w:lang w:val="ru-RU"/>
              </w:rPr>
              <w:t>1,120</w:t>
            </w:r>
          </w:p>
        </w:tc>
        <w:tc>
          <w:tcPr>
            <w:tcW w:w="1344" w:type="dxa"/>
            <w:tcBorders>
              <w:bottom w:val="single" w:sz="4" w:space="0" w:color="auto"/>
            </w:tcBorders>
            <w:shd w:val="clear" w:color="auto" w:fill="FFFFFF"/>
          </w:tcPr>
          <w:p w:rsidR="00013FD6" w:rsidRPr="00E22C95" w:rsidRDefault="00013FD6" w:rsidP="00013FD6">
            <w:pPr>
              <w:pStyle w:val="1"/>
              <w:shd w:val="clear" w:color="auto" w:fill="auto"/>
              <w:spacing w:before="0" w:line="240" w:lineRule="auto"/>
              <w:jc w:val="center"/>
              <w:rPr>
                <w:rStyle w:val="TimesNewRoman7pt0pt"/>
                <w:rFonts w:eastAsia="Verdana"/>
                <w:color w:val="auto"/>
                <w:sz w:val="20"/>
                <w:szCs w:val="20"/>
              </w:rPr>
            </w:pPr>
          </w:p>
        </w:tc>
        <w:tc>
          <w:tcPr>
            <w:tcW w:w="854" w:type="dxa"/>
            <w:tcBorders>
              <w:bottom w:val="single" w:sz="4" w:space="0" w:color="auto"/>
            </w:tcBorders>
            <w:shd w:val="clear" w:color="auto" w:fill="FFFFFF"/>
          </w:tcPr>
          <w:p w:rsidR="00013FD6" w:rsidRPr="00E22C95" w:rsidRDefault="00013FD6" w:rsidP="00013FD6">
            <w:pPr>
              <w:pStyle w:val="1"/>
              <w:shd w:val="clear" w:color="auto" w:fill="auto"/>
              <w:spacing w:before="0" w:line="240" w:lineRule="auto"/>
              <w:jc w:val="center"/>
              <w:rPr>
                <w:rStyle w:val="TimesNewRoman7pt0pt"/>
                <w:rFonts w:eastAsia="Verdana"/>
                <w:color w:val="auto"/>
                <w:sz w:val="20"/>
                <w:szCs w:val="20"/>
              </w:rPr>
            </w:pPr>
          </w:p>
        </w:tc>
        <w:tc>
          <w:tcPr>
            <w:tcW w:w="1493" w:type="dxa"/>
            <w:tcBorders>
              <w:bottom w:val="single" w:sz="4" w:space="0" w:color="auto"/>
            </w:tcBorders>
            <w:shd w:val="clear" w:color="auto" w:fill="FFFFFF"/>
          </w:tcPr>
          <w:p w:rsidR="00013FD6" w:rsidRPr="00E22C95" w:rsidRDefault="00013FD6" w:rsidP="00013FD6">
            <w:pPr>
              <w:pStyle w:val="1"/>
              <w:shd w:val="clear" w:color="auto" w:fill="auto"/>
              <w:spacing w:before="0" w:line="240" w:lineRule="auto"/>
              <w:jc w:val="center"/>
              <w:rPr>
                <w:rStyle w:val="TimesNewRoman7pt0pt"/>
                <w:rFonts w:eastAsia="Verdana"/>
                <w:color w:val="auto"/>
                <w:sz w:val="20"/>
                <w:szCs w:val="20"/>
              </w:rPr>
            </w:pPr>
          </w:p>
        </w:tc>
        <w:tc>
          <w:tcPr>
            <w:tcW w:w="922" w:type="dxa"/>
            <w:tcBorders>
              <w:bottom w:val="single" w:sz="4" w:space="0" w:color="auto"/>
            </w:tcBorders>
            <w:shd w:val="clear" w:color="auto" w:fill="FFFFFF"/>
          </w:tcPr>
          <w:p w:rsidR="00013FD6" w:rsidRPr="00E22C95" w:rsidRDefault="00013FD6" w:rsidP="00013FD6">
            <w:pPr>
              <w:pStyle w:val="1"/>
              <w:shd w:val="clear" w:color="auto" w:fill="auto"/>
              <w:spacing w:before="0" w:line="240" w:lineRule="auto"/>
              <w:jc w:val="center"/>
              <w:rPr>
                <w:rStyle w:val="TimesNewRoman7pt0pt"/>
                <w:rFonts w:eastAsia="Verdana"/>
                <w:color w:val="auto"/>
                <w:sz w:val="20"/>
                <w:szCs w:val="20"/>
              </w:rPr>
            </w:pPr>
          </w:p>
        </w:tc>
      </w:tr>
    </w:tbl>
    <w:p w:rsidR="00A724A2" w:rsidRPr="00B37F2A" w:rsidRDefault="00013FD6" w:rsidP="005170AF">
      <w:pPr>
        <w:autoSpaceDE w:val="0"/>
        <w:autoSpaceDN w:val="0"/>
        <w:adjustRightInd w:val="0"/>
        <w:ind w:firstLine="709"/>
        <w:rPr>
          <w:sz w:val="20"/>
          <w:szCs w:val="20"/>
          <w:lang w:val="uk-UA"/>
        </w:rPr>
      </w:pPr>
      <w:r w:rsidRPr="00B37F2A">
        <w:rPr>
          <w:sz w:val="20"/>
          <w:szCs w:val="20"/>
          <w:lang w:val="uk-UA"/>
        </w:rPr>
        <w:t>В</w:t>
      </w:r>
      <w:r w:rsidR="00CF33D5" w:rsidRPr="00B37F2A">
        <w:rPr>
          <w:sz w:val="20"/>
          <w:szCs w:val="20"/>
        </w:rPr>
        <w:t xml:space="preserve">Р: </w:t>
      </w:r>
      <w:r w:rsidRPr="00B37F2A">
        <w:rPr>
          <w:sz w:val="20"/>
          <w:szCs w:val="20"/>
          <w:lang w:val="uk-UA"/>
        </w:rPr>
        <w:t>відношення ризиків</w:t>
      </w:r>
    </w:p>
    <w:p w:rsidR="00FC2E2A" w:rsidRDefault="00FC2E2A" w:rsidP="005170AF">
      <w:pPr>
        <w:autoSpaceDE w:val="0"/>
        <w:autoSpaceDN w:val="0"/>
        <w:adjustRightInd w:val="0"/>
        <w:ind w:firstLine="709"/>
        <w:rPr>
          <w:lang w:val="en-US"/>
        </w:rPr>
      </w:pPr>
    </w:p>
    <w:p w:rsidR="00D96D0D" w:rsidRPr="00D81FB2" w:rsidRDefault="00D81FB2" w:rsidP="00D96D0D">
      <w:pPr>
        <w:autoSpaceDE w:val="0"/>
        <w:autoSpaceDN w:val="0"/>
        <w:adjustRightInd w:val="0"/>
        <w:ind w:firstLine="709"/>
        <w:rPr>
          <w:b/>
          <w:lang w:val="uk-UA"/>
        </w:rPr>
      </w:pPr>
      <w:r w:rsidRPr="00D81FB2">
        <w:rPr>
          <w:b/>
          <w:lang w:val="uk-UA"/>
        </w:rPr>
        <w:t>С</w:t>
      </w:r>
      <w:r w:rsidR="00D96D0D" w:rsidRPr="00D81FB2">
        <w:rPr>
          <w:b/>
          <w:lang w:val="uk-UA"/>
        </w:rPr>
        <w:t>тратифікація ризику</w:t>
      </w:r>
    </w:p>
    <w:p w:rsidR="00D96D0D" w:rsidRPr="00D81FB2" w:rsidRDefault="00D96D0D" w:rsidP="00D96D0D">
      <w:pPr>
        <w:autoSpaceDE w:val="0"/>
        <w:autoSpaceDN w:val="0"/>
        <w:adjustRightInd w:val="0"/>
        <w:ind w:firstLine="709"/>
        <w:rPr>
          <w:lang w:val="uk-UA"/>
        </w:rPr>
      </w:pPr>
      <w:r w:rsidRPr="00D81FB2">
        <w:rPr>
          <w:lang w:val="uk-UA"/>
        </w:rPr>
        <w:t xml:space="preserve">У міру збільшення оцінки ризику, захворюваність, а також ризик ХП </w:t>
      </w:r>
      <w:r w:rsidR="00D81FB2">
        <w:rPr>
          <w:lang w:val="uk-UA"/>
        </w:rPr>
        <w:t>підвищ</w:t>
      </w:r>
      <w:r w:rsidRPr="00D81FB2">
        <w:rPr>
          <w:lang w:val="uk-UA"/>
        </w:rPr>
        <w:t>увалися. На підставі подібних величин небезпеки оцінка (шкала) 1 від 0 до 5 була класифікована як категорія низького ризику, оцінка 1 від 6 до 7 була класифікована як категорія з помірним ризиком, а оцінка 1</w:t>
      </w:r>
      <w:r w:rsidR="00D81FB2">
        <w:rPr>
          <w:lang w:val="uk-UA"/>
        </w:rPr>
        <w:t xml:space="preserve"> </w:t>
      </w:r>
      <w:r w:rsidRPr="00D81FB2">
        <w:rPr>
          <w:lang w:val="uk-UA"/>
        </w:rPr>
        <w:t xml:space="preserve">&gt; 7 була класифікована як категорія високого ризику. На </w:t>
      </w:r>
      <w:r w:rsidR="00225F2A">
        <w:rPr>
          <w:lang w:val="uk-UA"/>
        </w:rPr>
        <w:t>рис.</w:t>
      </w:r>
      <w:r w:rsidRPr="00D81FB2">
        <w:rPr>
          <w:lang w:val="uk-UA"/>
        </w:rPr>
        <w:t xml:space="preserve"> 3 представлені показники захворюваності </w:t>
      </w:r>
      <w:r w:rsidR="00D81FB2">
        <w:rPr>
          <w:lang w:val="uk-UA"/>
        </w:rPr>
        <w:t xml:space="preserve">на </w:t>
      </w:r>
      <w:r w:rsidRPr="00D81FB2">
        <w:rPr>
          <w:lang w:val="uk-UA"/>
        </w:rPr>
        <w:t xml:space="preserve">ХП </w:t>
      </w:r>
      <w:r w:rsidR="00225F2A">
        <w:rPr>
          <w:lang w:val="uk-UA"/>
        </w:rPr>
        <w:t>за</w:t>
      </w:r>
      <w:r w:rsidRPr="00D81FB2">
        <w:rPr>
          <w:lang w:val="uk-UA"/>
        </w:rPr>
        <w:t xml:space="preserve"> категорі</w:t>
      </w:r>
      <w:r w:rsidR="00225F2A">
        <w:rPr>
          <w:lang w:val="uk-UA"/>
        </w:rPr>
        <w:t>єю</w:t>
      </w:r>
      <w:r w:rsidRPr="00D81FB2">
        <w:rPr>
          <w:lang w:val="uk-UA"/>
        </w:rPr>
        <w:t xml:space="preserve"> ризику. Як показано на </w:t>
      </w:r>
      <w:r w:rsidR="00225F2A">
        <w:rPr>
          <w:lang w:val="uk-UA"/>
        </w:rPr>
        <w:t>рис.</w:t>
      </w:r>
      <w:r w:rsidRPr="00D81FB2">
        <w:rPr>
          <w:lang w:val="uk-UA"/>
        </w:rPr>
        <w:t xml:space="preserve"> 3А, показники захворюваності ХП з використанням показника ризику 1 склали 1,27, 7,89 і 31,37 на 1000 людино-років для категорій низького, середнього і високого ризику </w:t>
      </w:r>
      <w:r w:rsidRPr="00D81FB2">
        <w:rPr>
          <w:lang w:val="uk-UA"/>
        </w:rPr>
        <w:lastRenderedPageBreak/>
        <w:t>відповідно. Ризики ХП становили 6,14 (3,05, 12,35) і 23,93 (13,4, 42,73) для категорій помірного і високого ризику, відповідно (</w:t>
      </w:r>
      <w:r w:rsidR="00D81FB2">
        <w:rPr>
          <w:lang w:val="uk-UA"/>
        </w:rPr>
        <w:t>рис.</w:t>
      </w:r>
      <w:r w:rsidRPr="00D81FB2">
        <w:rPr>
          <w:lang w:val="uk-UA"/>
        </w:rPr>
        <w:t xml:space="preserve"> 4).</w:t>
      </w:r>
    </w:p>
    <w:p w:rsidR="00D96D0D" w:rsidRPr="00D81FB2" w:rsidRDefault="00D96D0D" w:rsidP="00D96D0D">
      <w:pPr>
        <w:autoSpaceDE w:val="0"/>
        <w:autoSpaceDN w:val="0"/>
        <w:adjustRightInd w:val="0"/>
        <w:ind w:firstLine="709"/>
        <w:rPr>
          <w:lang w:val="uk-UA"/>
        </w:rPr>
      </w:pPr>
      <w:r w:rsidRPr="00D81FB2">
        <w:rPr>
          <w:lang w:val="uk-UA"/>
        </w:rPr>
        <w:t xml:space="preserve">Аналогічним чином, значення 0-5, 6-7 і 8-13 в оцінці (шкалою) ризику 2 (яка включає в себе кількість епізодів </w:t>
      </w:r>
      <w:r w:rsidR="00D81FB2">
        <w:rPr>
          <w:lang w:val="uk-UA"/>
        </w:rPr>
        <w:t>Г</w:t>
      </w:r>
      <w:r w:rsidRPr="00D81FB2">
        <w:rPr>
          <w:lang w:val="uk-UA"/>
        </w:rPr>
        <w:t xml:space="preserve">П) ймовірність ХП була класифікована як категорії низького, середнього і високого ризику, відповідно. Показники захворюваності </w:t>
      </w:r>
      <w:r w:rsidR="00D81FB2">
        <w:rPr>
          <w:lang w:val="uk-UA"/>
        </w:rPr>
        <w:t xml:space="preserve">на </w:t>
      </w:r>
      <w:r w:rsidRPr="00D81FB2">
        <w:rPr>
          <w:lang w:val="uk-UA"/>
        </w:rPr>
        <w:t>ХП становили 1,30, 9,26 і 32,22 на 1000 людино-років для категорій низького, середнього і високого ризику, відповідно (рис</w:t>
      </w:r>
      <w:r w:rsidR="00D81FB2">
        <w:rPr>
          <w:lang w:val="uk-UA"/>
        </w:rPr>
        <w:t>.</w:t>
      </w:r>
      <w:r w:rsidRPr="00D81FB2">
        <w:rPr>
          <w:lang w:val="uk-UA"/>
        </w:rPr>
        <w:t xml:space="preserve"> 3B). Ризики ХП становили 7,08 (3,54, 14,14) і 24,15 (13,76, 42,38) для категорій помірного і високого ризику відповідно (рис. 4).</w:t>
      </w:r>
    </w:p>
    <w:p w:rsidR="00D96D0D" w:rsidRPr="00D81FB2" w:rsidRDefault="00D81FB2" w:rsidP="00D96D0D">
      <w:pPr>
        <w:autoSpaceDE w:val="0"/>
        <w:autoSpaceDN w:val="0"/>
        <w:adjustRightInd w:val="0"/>
        <w:ind w:firstLine="709"/>
        <w:rPr>
          <w:b/>
          <w:lang w:val="uk-UA"/>
        </w:rPr>
      </w:pPr>
      <w:proofErr w:type="spellStart"/>
      <w:r w:rsidRPr="00D81FB2">
        <w:rPr>
          <w:b/>
          <w:lang w:val="uk-UA"/>
        </w:rPr>
        <w:t>В</w:t>
      </w:r>
      <w:r w:rsidR="00D96D0D" w:rsidRPr="00D81FB2">
        <w:rPr>
          <w:b/>
          <w:lang w:val="uk-UA"/>
        </w:rPr>
        <w:t>алідаційн</w:t>
      </w:r>
      <w:r w:rsidRPr="00D81FB2">
        <w:rPr>
          <w:b/>
          <w:lang w:val="uk-UA"/>
        </w:rPr>
        <w:t>а</w:t>
      </w:r>
      <w:proofErr w:type="spellEnd"/>
      <w:r w:rsidR="00D96D0D" w:rsidRPr="00D81FB2">
        <w:rPr>
          <w:b/>
          <w:lang w:val="uk-UA"/>
        </w:rPr>
        <w:t xml:space="preserve"> когорта</w:t>
      </w:r>
    </w:p>
    <w:p w:rsidR="00D96D0D" w:rsidRPr="00D81FB2" w:rsidRDefault="00D96D0D" w:rsidP="00D96D0D">
      <w:pPr>
        <w:autoSpaceDE w:val="0"/>
        <w:autoSpaceDN w:val="0"/>
        <w:adjustRightInd w:val="0"/>
        <w:ind w:firstLine="709"/>
        <w:rPr>
          <w:lang w:val="uk-UA"/>
        </w:rPr>
      </w:pPr>
      <w:proofErr w:type="spellStart"/>
      <w:r w:rsidRPr="00D81FB2">
        <w:rPr>
          <w:lang w:val="uk-UA"/>
        </w:rPr>
        <w:t>Валідація</w:t>
      </w:r>
      <w:proofErr w:type="spellEnd"/>
      <w:r w:rsidRPr="00D81FB2">
        <w:rPr>
          <w:lang w:val="uk-UA"/>
        </w:rPr>
        <w:t xml:space="preserve"> використовувалася для перевірки оцінки ризику. Оцінки ризику були розраховані для кожного пацієнта в </w:t>
      </w:r>
      <w:proofErr w:type="spellStart"/>
      <w:r w:rsidRPr="00D81FB2">
        <w:rPr>
          <w:lang w:val="uk-UA"/>
        </w:rPr>
        <w:t>валідації</w:t>
      </w:r>
      <w:proofErr w:type="spellEnd"/>
      <w:r w:rsidRPr="00D81FB2">
        <w:rPr>
          <w:lang w:val="uk-UA"/>
        </w:rPr>
        <w:t>, і вони були успішно класифіковані як категорії низького, середнього і високого ризику відповідно до стратифікації оцінок в деривац</w:t>
      </w:r>
      <w:r w:rsidR="00D81FB2">
        <w:rPr>
          <w:lang w:val="uk-UA"/>
        </w:rPr>
        <w:t>ійні</w:t>
      </w:r>
      <w:r w:rsidRPr="00D81FB2">
        <w:rPr>
          <w:lang w:val="uk-UA"/>
        </w:rPr>
        <w:t>й когорт</w:t>
      </w:r>
      <w:r w:rsidR="00D81FB2">
        <w:rPr>
          <w:lang w:val="uk-UA"/>
        </w:rPr>
        <w:t>і</w:t>
      </w:r>
      <w:r w:rsidRPr="00D81FB2">
        <w:rPr>
          <w:lang w:val="uk-UA"/>
        </w:rPr>
        <w:t>. У міру того, як зростала категорія ризику, зростала і частота захворюваності, а також підвищувався ризик ХП (</w:t>
      </w:r>
      <w:r w:rsidR="00D81FB2">
        <w:rPr>
          <w:lang w:val="uk-UA"/>
        </w:rPr>
        <w:t>рис.</w:t>
      </w:r>
      <w:r w:rsidRPr="00D81FB2">
        <w:rPr>
          <w:lang w:val="uk-UA"/>
        </w:rPr>
        <w:t xml:space="preserve"> 3 і 4). Площі під ROC-криво</w:t>
      </w:r>
      <w:r w:rsidR="00D81FB2">
        <w:rPr>
          <w:lang w:val="uk-UA"/>
        </w:rPr>
        <w:t>ю</w:t>
      </w:r>
      <w:r w:rsidRPr="00D81FB2">
        <w:rPr>
          <w:lang w:val="uk-UA"/>
        </w:rPr>
        <w:t xml:space="preserve"> в оцінці ризику через 1, 3 і 5 років і загальн</w:t>
      </w:r>
      <w:r w:rsidR="00D81FB2">
        <w:rPr>
          <w:lang w:val="uk-UA"/>
        </w:rPr>
        <w:t>ій</w:t>
      </w:r>
      <w:r w:rsidRPr="00D81FB2">
        <w:rPr>
          <w:lang w:val="uk-UA"/>
        </w:rPr>
        <w:t xml:space="preserve"> частоті становили 0,81, 0,83 і 0,82 відповідно. 95% ДІ, отримані в результаті повторної вибірки 1000 початкових моделювань, становили 0,76-0,86, 0,79-0,87 і 0,78-0,87 відповідно (рис. 3D-F, суцільна лінія). В оцінці ризику 2 площі під ROC-криво</w:t>
      </w:r>
      <w:r w:rsidR="00D81FB2">
        <w:rPr>
          <w:lang w:val="uk-UA"/>
        </w:rPr>
        <w:t>ю</w:t>
      </w:r>
      <w:r w:rsidRPr="00D81FB2">
        <w:rPr>
          <w:lang w:val="uk-UA"/>
        </w:rPr>
        <w:t xml:space="preserve"> в оцінці ризику через 1, 3 і 5 років і загальн</w:t>
      </w:r>
      <w:r w:rsidR="00D81FB2">
        <w:rPr>
          <w:lang w:val="uk-UA"/>
        </w:rPr>
        <w:t>ій</w:t>
      </w:r>
      <w:r w:rsidRPr="00D81FB2">
        <w:rPr>
          <w:lang w:val="uk-UA"/>
        </w:rPr>
        <w:t xml:space="preserve"> частоті становили 0,82, 0,84 і 0,83 відповідно. 95% ДІ становили 0,77-0,87, 0,80-0,88 і 0,78-0,87 відповідно (рис. 3D-F, пунктирна лінія). Цей результат продемонстрував, що оцінка ризику мала схо</w:t>
      </w:r>
      <w:r w:rsidR="00D81FB2">
        <w:rPr>
          <w:lang w:val="uk-UA"/>
        </w:rPr>
        <w:t>жі</w:t>
      </w:r>
      <w:r w:rsidRPr="00D81FB2">
        <w:rPr>
          <w:lang w:val="uk-UA"/>
        </w:rPr>
        <w:t xml:space="preserve"> показники між деривац</w:t>
      </w:r>
      <w:r w:rsidR="00D81FB2">
        <w:rPr>
          <w:lang w:val="uk-UA"/>
        </w:rPr>
        <w:t>ійною та</w:t>
      </w:r>
      <w:r w:rsidRPr="00D81FB2">
        <w:rPr>
          <w:lang w:val="uk-UA"/>
        </w:rPr>
        <w:t xml:space="preserve"> </w:t>
      </w:r>
      <w:proofErr w:type="spellStart"/>
      <w:r w:rsidRPr="00D81FB2">
        <w:rPr>
          <w:lang w:val="uk-UA"/>
        </w:rPr>
        <w:t>валідаційно</w:t>
      </w:r>
      <w:r w:rsidR="00D81FB2">
        <w:rPr>
          <w:lang w:val="uk-UA"/>
        </w:rPr>
        <w:t>ю</w:t>
      </w:r>
      <w:proofErr w:type="spellEnd"/>
      <w:r w:rsidRPr="00D81FB2">
        <w:rPr>
          <w:lang w:val="uk-UA"/>
        </w:rPr>
        <w:t xml:space="preserve"> когортами.</w:t>
      </w:r>
    </w:p>
    <w:p w:rsidR="00D96D0D" w:rsidRPr="007E2CDE" w:rsidRDefault="00D96D0D" w:rsidP="005170AF">
      <w:pPr>
        <w:autoSpaceDE w:val="0"/>
        <w:autoSpaceDN w:val="0"/>
        <w:adjustRightInd w:val="0"/>
        <w:ind w:firstLine="709"/>
        <w:rPr>
          <w:b/>
          <w:color w:val="002060"/>
          <w:lang w:val="uk-UA"/>
        </w:rPr>
      </w:pPr>
    </w:p>
    <w:tbl>
      <w:tblPr>
        <w:tblW w:w="0" w:type="auto"/>
        <w:tblLayout w:type="fixed"/>
        <w:tblCellMar>
          <w:left w:w="10" w:type="dxa"/>
          <w:right w:w="10" w:type="dxa"/>
        </w:tblCellMar>
        <w:tblLook w:val="0000" w:firstRow="0" w:lastRow="0" w:firstColumn="0" w:lastColumn="0" w:noHBand="0" w:noVBand="0"/>
      </w:tblPr>
      <w:tblGrid>
        <w:gridCol w:w="3119"/>
        <w:gridCol w:w="2835"/>
        <w:gridCol w:w="2977"/>
      </w:tblGrid>
      <w:tr w:rsidR="007E2CDE" w:rsidRPr="00B37F2A" w:rsidTr="00D81FB2">
        <w:trPr>
          <w:trHeight w:hRule="exact" w:val="294"/>
        </w:trPr>
        <w:tc>
          <w:tcPr>
            <w:tcW w:w="8931" w:type="dxa"/>
            <w:gridSpan w:val="3"/>
            <w:shd w:val="clear" w:color="auto" w:fill="FFFFFF"/>
          </w:tcPr>
          <w:p w:rsidR="00A560DF" w:rsidRPr="00B37F2A" w:rsidRDefault="00A560DF" w:rsidP="005170AF">
            <w:pPr>
              <w:pStyle w:val="1"/>
              <w:shd w:val="clear" w:color="auto" w:fill="auto"/>
              <w:spacing w:before="0" w:line="240" w:lineRule="auto"/>
              <w:ind w:firstLine="709"/>
              <w:jc w:val="center"/>
              <w:rPr>
                <w:rStyle w:val="TimesNewRoman7pt0pt"/>
                <w:rFonts w:eastAsia="Verdana"/>
                <w:color w:val="auto"/>
                <w:sz w:val="20"/>
                <w:szCs w:val="20"/>
                <w:lang w:val="uk-UA"/>
              </w:rPr>
            </w:pPr>
            <w:r w:rsidRPr="00B37F2A">
              <w:rPr>
                <w:rStyle w:val="TimesNewRoman7pt0pt"/>
                <w:rFonts w:eastAsia="Verdana"/>
                <w:color w:val="auto"/>
                <w:sz w:val="20"/>
                <w:szCs w:val="20"/>
                <w:lang w:val="uk-UA"/>
              </w:rPr>
              <w:t>Таблиц</w:t>
            </w:r>
            <w:r w:rsidR="007E2CDE" w:rsidRPr="00B37F2A">
              <w:rPr>
                <w:rStyle w:val="TimesNewRoman7pt0pt"/>
                <w:rFonts w:eastAsia="Verdana"/>
                <w:color w:val="auto"/>
                <w:sz w:val="20"/>
                <w:szCs w:val="20"/>
                <w:lang w:val="uk-UA"/>
              </w:rPr>
              <w:t>я</w:t>
            </w:r>
            <w:r w:rsidRPr="00B37F2A">
              <w:rPr>
                <w:rStyle w:val="TimesNewRoman7pt0pt"/>
                <w:rFonts w:eastAsia="Verdana"/>
                <w:color w:val="auto"/>
                <w:sz w:val="20"/>
                <w:szCs w:val="20"/>
                <w:lang w:val="uk-UA"/>
              </w:rPr>
              <w:t xml:space="preserve"> 3. </w:t>
            </w:r>
            <w:r w:rsidR="007E2CDE" w:rsidRPr="00B37F2A">
              <w:rPr>
                <w:rStyle w:val="TimesNewRoman7pt0pt"/>
                <w:rFonts w:eastAsia="Verdana"/>
                <w:color w:val="auto"/>
                <w:sz w:val="20"/>
                <w:szCs w:val="20"/>
                <w:lang w:val="uk-UA"/>
              </w:rPr>
              <w:t>Оці</w:t>
            </w:r>
            <w:r w:rsidRPr="00B37F2A">
              <w:rPr>
                <w:rStyle w:val="TimesNewRoman7pt0pt"/>
                <w:rFonts w:eastAsia="Verdana"/>
                <w:color w:val="auto"/>
                <w:sz w:val="20"/>
                <w:szCs w:val="20"/>
                <w:lang w:val="uk-UA"/>
              </w:rPr>
              <w:t>нка ри</w:t>
            </w:r>
            <w:r w:rsidR="007E2CDE" w:rsidRPr="00B37F2A">
              <w:rPr>
                <w:rStyle w:val="TimesNewRoman7pt0pt"/>
                <w:rFonts w:eastAsia="Verdana"/>
                <w:color w:val="auto"/>
                <w:sz w:val="20"/>
                <w:szCs w:val="20"/>
                <w:lang w:val="uk-UA"/>
              </w:rPr>
              <w:t>зику</w:t>
            </w:r>
            <w:r w:rsidRPr="00B37F2A">
              <w:rPr>
                <w:rStyle w:val="TimesNewRoman7pt0pt"/>
                <w:rFonts w:eastAsia="Verdana"/>
                <w:color w:val="auto"/>
                <w:sz w:val="20"/>
                <w:szCs w:val="20"/>
                <w:lang w:val="uk-UA"/>
              </w:rPr>
              <w:t xml:space="preserve"> для прогрес</w:t>
            </w:r>
            <w:r w:rsidR="007E2CDE" w:rsidRPr="00B37F2A">
              <w:rPr>
                <w:rStyle w:val="TimesNewRoman7pt0pt"/>
                <w:rFonts w:eastAsia="Verdana"/>
                <w:color w:val="auto"/>
                <w:sz w:val="20"/>
                <w:szCs w:val="20"/>
                <w:lang w:val="uk-UA"/>
              </w:rPr>
              <w:t>уванн</w:t>
            </w:r>
            <w:r w:rsidRPr="00B37F2A">
              <w:rPr>
                <w:rStyle w:val="TimesNewRoman7pt0pt"/>
                <w:rFonts w:eastAsia="Verdana"/>
                <w:color w:val="auto"/>
                <w:sz w:val="20"/>
                <w:szCs w:val="20"/>
                <w:lang w:val="uk-UA"/>
              </w:rPr>
              <w:t>я до ХП п</w:t>
            </w:r>
            <w:r w:rsidR="007E2CDE" w:rsidRPr="00B37F2A">
              <w:rPr>
                <w:rStyle w:val="TimesNewRoman7pt0pt"/>
                <w:rFonts w:eastAsia="Verdana"/>
                <w:color w:val="auto"/>
                <w:sz w:val="20"/>
                <w:szCs w:val="20"/>
                <w:lang w:val="uk-UA"/>
              </w:rPr>
              <w:t>ісля</w:t>
            </w:r>
            <w:r w:rsidRPr="00B37F2A">
              <w:rPr>
                <w:rStyle w:val="TimesNewRoman7pt0pt"/>
                <w:rFonts w:eastAsia="Verdana"/>
                <w:color w:val="auto"/>
                <w:sz w:val="20"/>
                <w:szCs w:val="20"/>
                <w:lang w:val="uk-UA"/>
              </w:rPr>
              <w:t xml:space="preserve"> </w:t>
            </w:r>
            <w:r w:rsidR="007E2CDE" w:rsidRPr="00B37F2A">
              <w:rPr>
                <w:rStyle w:val="TimesNewRoman7pt0pt"/>
                <w:rFonts w:eastAsia="Verdana"/>
                <w:color w:val="auto"/>
                <w:sz w:val="20"/>
                <w:szCs w:val="20"/>
                <w:lang w:val="uk-UA"/>
              </w:rPr>
              <w:t>Г</w:t>
            </w:r>
            <w:r w:rsidRPr="00B37F2A">
              <w:rPr>
                <w:rStyle w:val="TimesNewRoman7pt0pt"/>
                <w:rFonts w:eastAsia="Verdana"/>
                <w:color w:val="auto"/>
                <w:sz w:val="20"/>
                <w:szCs w:val="20"/>
                <w:lang w:val="uk-UA"/>
              </w:rPr>
              <w:t>П</w:t>
            </w:r>
          </w:p>
        </w:tc>
      </w:tr>
      <w:tr w:rsidR="007E2CDE" w:rsidRPr="00B37F2A" w:rsidTr="007E2CDE">
        <w:trPr>
          <w:trHeight w:hRule="exact" w:val="297"/>
        </w:trPr>
        <w:tc>
          <w:tcPr>
            <w:tcW w:w="3119" w:type="dxa"/>
            <w:shd w:val="clear" w:color="auto" w:fill="FFFFFF"/>
          </w:tcPr>
          <w:p w:rsidR="00A560DF" w:rsidRPr="00B37F2A" w:rsidRDefault="00A560DF" w:rsidP="005170AF">
            <w:pPr>
              <w:pStyle w:val="1"/>
              <w:shd w:val="clear" w:color="auto" w:fill="auto"/>
              <w:spacing w:before="0" w:line="240" w:lineRule="auto"/>
              <w:ind w:firstLine="709"/>
              <w:rPr>
                <w:rStyle w:val="TimesNewRoman7pt0pt"/>
                <w:rFonts w:eastAsia="Verdana"/>
                <w:color w:val="auto"/>
                <w:sz w:val="20"/>
                <w:szCs w:val="20"/>
                <w:lang w:val="uk-UA"/>
              </w:rPr>
            </w:pPr>
          </w:p>
        </w:tc>
        <w:tc>
          <w:tcPr>
            <w:tcW w:w="2835" w:type="dxa"/>
            <w:shd w:val="clear" w:color="auto" w:fill="FFFFFF"/>
          </w:tcPr>
          <w:p w:rsidR="00A560DF" w:rsidRPr="00B37F2A" w:rsidRDefault="00A560DF" w:rsidP="007E2CDE">
            <w:pPr>
              <w:pStyle w:val="1"/>
              <w:shd w:val="clear" w:color="auto" w:fill="auto"/>
              <w:spacing w:before="0" w:line="240" w:lineRule="auto"/>
              <w:rPr>
                <w:rStyle w:val="TimesNewRoman7pt0pt"/>
                <w:rFonts w:eastAsia="Verdana"/>
                <w:color w:val="auto"/>
                <w:sz w:val="20"/>
                <w:szCs w:val="20"/>
                <w:lang w:val="uk-UA"/>
              </w:rPr>
            </w:pPr>
            <w:r w:rsidRPr="00B37F2A">
              <w:rPr>
                <w:rStyle w:val="TimesNewRoman7pt0pt"/>
                <w:rFonts w:eastAsia="Verdana"/>
                <w:color w:val="auto"/>
                <w:sz w:val="20"/>
                <w:szCs w:val="20"/>
                <w:lang w:val="uk-UA"/>
              </w:rPr>
              <w:t>Ко</w:t>
            </w:r>
            <w:r w:rsidR="00B37F2A" w:rsidRPr="00B37F2A">
              <w:rPr>
                <w:rStyle w:val="TimesNewRoman7pt0pt"/>
                <w:rFonts w:eastAsia="Verdana"/>
                <w:color w:val="auto"/>
                <w:sz w:val="20"/>
                <w:szCs w:val="20"/>
                <w:lang w:val="uk-UA"/>
              </w:rPr>
              <w:t>е</w:t>
            </w:r>
            <w:r w:rsidR="007E2CDE" w:rsidRPr="00B37F2A">
              <w:rPr>
                <w:rStyle w:val="TimesNewRoman7pt0pt"/>
                <w:rFonts w:eastAsia="Verdana"/>
                <w:color w:val="auto"/>
                <w:sz w:val="20"/>
                <w:szCs w:val="20"/>
                <w:lang w:val="uk-UA"/>
              </w:rPr>
              <w:t>фіціє</w:t>
            </w:r>
            <w:r w:rsidRPr="00B37F2A">
              <w:rPr>
                <w:rStyle w:val="TimesNewRoman7pt0pt"/>
                <w:rFonts w:eastAsia="Verdana"/>
                <w:color w:val="auto"/>
                <w:sz w:val="20"/>
                <w:szCs w:val="20"/>
                <w:lang w:val="uk-UA"/>
              </w:rPr>
              <w:t>нт модел</w:t>
            </w:r>
            <w:r w:rsidR="007E2CDE" w:rsidRPr="00B37F2A">
              <w:rPr>
                <w:rStyle w:val="TimesNewRoman7pt0pt"/>
                <w:rFonts w:eastAsia="Verdana"/>
                <w:color w:val="auto"/>
                <w:sz w:val="20"/>
                <w:szCs w:val="20"/>
                <w:lang w:val="uk-UA"/>
              </w:rPr>
              <w:t>і</w:t>
            </w:r>
          </w:p>
        </w:tc>
        <w:tc>
          <w:tcPr>
            <w:tcW w:w="2977" w:type="dxa"/>
            <w:shd w:val="clear" w:color="auto" w:fill="FFFFFF"/>
          </w:tcPr>
          <w:p w:rsidR="00A560DF" w:rsidRPr="00B37F2A" w:rsidRDefault="00A560DF" w:rsidP="007E2CDE">
            <w:pPr>
              <w:pStyle w:val="1"/>
              <w:shd w:val="clear" w:color="auto" w:fill="auto"/>
              <w:spacing w:before="0" w:line="240" w:lineRule="auto"/>
              <w:jc w:val="right"/>
              <w:rPr>
                <w:rStyle w:val="TimesNewRoman7pt0pt"/>
                <w:rFonts w:eastAsia="Verdana"/>
                <w:color w:val="auto"/>
                <w:sz w:val="20"/>
                <w:szCs w:val="20"/>
                <w:vertAlign w:val="superscript"/>
                <w:lang w:val="uk-UA"/>
              </w:rPr>
            </w:pPr>
            <w:r w:rsidRPr="00B37F2A">
              <w:rPr>
                <w:rStyle w:val="TimesNewRoman7pt0pt"/>
                <w:rFonts w:eastAsia="Verdana"/>
                <w:color w:val="auto"/>
                <w:sz w:val="20"/>
                <w:szCs w:val="20"/>
                <w:lang w:val="uk-UA"/>
              </w:rPr>
              <w:t xml:space="preserve">Пункт </w:t>
            </w:r>
            <w:proofErr w:type="spellStart"/>
            <w:r w:rsidRPr="00B37F2A">
              <w:rPr>
                <w:rStyle w:val="TimesNewRoman7pt0pt"/>
                <w:rFonts w:eastAsia="Verdana"/>
                <w:color w:val="auto"/>
                <w:sz w:val="20"/>
                <w:szCs w:val="20"/>
                <w:lang w:val="uk-UA"/>
              </w:rPr>
              <w:t>фактора</w:t>
            </w:r>
            <w:proofErr w:type="spellEnd"/>
            <w:r w:rsidRPr="00B37F2A">
              <w:rPr>
                <w:rStyle w:val="TimesNewRoman7pt0pt"/>
                <w:rFonts w:eastAsia="Verdana"/>
                <w:color w:val="auto"/>
                <w:sz w:val="20"/>
                <w:szCs w:val="20"/>
                <w:lang w:val="uk-UA"/>
              </w:rPr>
              <w:t xml:space="preserve"> ри</w:t>
            </w:r>
            <w:r w:rsidR="007E2CDE" w:rsidRPr="00B37F2A">
              <w:rPr>
                <w:rStyle w:val="TimesNewRoman7pt0pt"/>
                <w:rFonts w:eastAsia="Verdana"/>
                <w:color w:val="auto"/>
                <w:sz w:val="20"/>
                <w:szCs w:val="20"/>
                <w:lang w:val="uk-UA"/>
              </w:rPr>
              <w:t>зику</w:t>
            </w:r>
            <w:r w:rsidRPr="00B37F2A">
              <w:rPr>
                <w:rStyle w:val="TimesNewRoman7pt0pt"/>
                <w:rFonts w:eastAsia="Verdana"/>
                <w:color w:val="auto"/>
                <w:sz w:val="20"/>
                <w:szCs w:val="20"/>
                <w:lang w:val="uk-UA"/>
              </w:rPr>
              <w:t xml:space="preserve"> </w:t>
            </w:r>
            <w:r w:rsidRPr="00B37F2A">
              <w:rPr>
                <w:rStyle w:val="TimesNewRoman7pt0pt"/>
                <w:rFonts w:eastAsia="Verdana"/>
                <w:color w:val="auto"/>
                <w:sz w:val="20"/>
                <w:szCs w:val="20"/>
                <w:vertAlign w:val="superscript"/>
                <w:lang w:val="uk-UA"/>
              </w:rPr>
              <w:t>1</w:t>
            </w:r>
          </w:p>
        </w:tc>
      </w:tr>
      <w:tr w:rsidR="007E2CDE" w:rsidRPr="00B37F2A" w:rsidTr="007E2CDE">
        <w:trPr>
          <w:trHeight w:hRule="exact" w:val="274"/>
        </w:trPr>
        <w:tc>
          <w:tcPr>
            <w:tcW w:w="3119" w:type="dxa"/>
            <w:shd w:val="clear" w:color="auto" w:fill="FFFFFF"/>
          </w:tcPr>
          <w:p w:rsidR="00A560DF" w:rsidRPr="00B37F2A" w:rsidRDefault="007E2CDE" w:rsidP="00832D2B">
            <w:pPr>
              <w:pStyle w:val="1"/>
              <w:shd w:val="clear" w:color="auto" w:fill="auto"/>
              <w:spacing w:before="0" w:line="240" w:lineRule="auto"/>
              <w:rPr>
                <w:rStyle w:val="TimesNewRoman7pt0pt"/>
                <w:rFonts w:eastAsia="Verdana"/>
                <w:color w:val="auto"/>
                <w:sz w:val="20"/>
                <w:szCs w:val="20"/>
                <w:lang w:val="uk-UA"/>
              </w:rPr>
            </w:pPr>
            <w:r w:rsidRPr="00B37F2A">
              <w:rPr>
                <w:rStyle w:val="TimesNewRoman7pt0pt"/>
                <w:rFonts w:eastAsia="Verdana"/>
                <w:color w:val="auto"/>
                <w:sz w:val="20"/>
                <w:szCs w:val="20"/>
                <w:lang w:val="uk-UA"/>
              </w:rPr>
              <w:t xml:space="preserve">Оцінка ризику </w:t>
            </w:r>
            <w:r w:rsidR="00A560DF" w:rsidRPr="00B37F2A">
              <w:rPr>
                <w:rStyle w:val="TimesNewRoman7pt0pt"/>
                <w:rFonts w:eastAsia="Verdana"/>
                <w:color w:val="auto"/>
                <w:sz w:val="20"/>
                <w:szCs w:val="20"/>
                <w:lang w:val="uk-UA"/>
              </w:rPr>
              <w:t>1</w:t>
            </w:r>
          </w:p>
        </w:tc>
        <w:tc>
          <w:tcPr>
            <w:tcW w:w="2835" w:type="dxa"/>
            <w:shd w:val="clear" w:color="auto" w:fill="FFFFFF"/>
          </w:tcPr>
          <w:p w:rsidR="00A560DF" w:rsidRPr="00B37F2A" w:rsidRDefault="00A560DF" w:rsidP="007E2CDE">
            <w:pPr>
              <w:pStyle w:val="1"/>
              <w:shd w:val="clear" w:color="auto" w:fill="auto"/>
              <w:spacing w:before="0" w:line="240" w:lineRule="auto"/>
              <w:rPr>
                <w:rStyle w:val="TimesNewRoman7pt0pt"/>
                <w:rFonts w:eastAsia="Verdana"/>
                <w:color w:val="auto"/>
                <w:sz w:val="20"/>
                <w:szCs w:val="20"/>
                <w:lang w:val="uk-UA"/>
              </w:rPr>
            </w:pPr>
          </w:p>
        </w:tc>
        <w:tc>
          <w:tcPr>
            <w:tcW w:w="2977" w:type="dxa"/>
            <w:shd w:val="clear" w:color="auto" w:fill="FFFFFF"/>
          </w:tcPr>
          <w:p w:rsidR="00A560DF" w:rsidRPr="00B37F2A" w:rsidRDefault="00A560DF" w:rsidP="007E2CDE">
            <w:pPr>
              <w:pStyle w:val="1"/>
              <w:shd w:val="clear" w:color="auto" w:fill="auto"/>
              <w:spacing w:before="0" w:line="240" w:lineRule="auto"/>
              <w:jc w:val="right"/>
              <w:rPr>
                <w:rStyle w:val="TimesNewRoman7pt0pt"/>
                <w:rFonts w:eastAsia="Verdana"/>
                <w:color w:val="auto"/>
                <w:sz w:val="20"/>
                <w:szCs w:val="20"/>
                <w:lang w:val="uk-UA"/>
              </w:rPr>
            </w:pPr>
          </w:p>
        </w:tc>
      </w:tr>
      <w:tr w:rsidR="007E2CDE" w:rsidRPr="00B37F2A" w:rsidTr="007E2CDE">
        <w:trPr>
          <w:trHeight w:hRule="exact" w:val="277"/>
        </w:trPr>
        <w:tc>
          <w:tcPr>
            <w:tcW w:w="3119" w:type="dxa"/>
            <w:shd w:val="clear" w:color="auto" w:fill="FFFFFF"/>
          </w:tcPr>
          <w:p w:rsidR="007E2CDE" w:rsidRPr="00B37F2A" w:rsidRDefault="007E2CDE" w:rsidP="007E2CDE">
            <w:pPr>
              <w:autoSpaceDE w:val="0"/>
              <w:autoSpaceDN w:val="0"/>
              <w:adjustRightInd w:val="0"/>
              <w:rPr>
                <w:sz w:val="20"/>
                <w:szCs w:val="20"/>
                <w:lang w:val="uk-UA"/>
              </w:rPr>
            </w:pPr>
            <w:r w:rsidRPr="00B37F2A">
              <w:rPr>
                <w:sz w:val="20"/>
                <w:szCs w:val="20"/>
                <w:lang w:val="uk-UA"/>
              </w:rPr>
              <w:t>Коди, пов'язані з курінням</w:t>
            </w:r>
          </w:p>
          <w:p w:rsidR="00A560DF" w:rsidRPr="00B37F2A" w:rsidRDefault="00A560DF" w:rsidP="00832D2B">
            <w:pPr>
              <w:rPr>
                <w:sz w:val="20"/>
                <w:szCs w:val="20"/>
                <w:lang w:val="uk-UA"/>
              </w:rPr>
            </w:pPr>
          </w:p>
        </w:tc>
        <w:tc>
          <w:tcPr>
            <w:tcW w:w="2835" w:type="dxa"/>
            <w:shd w:val="clear" w:color="auto" w:fill="FFFFFF"/>
          </w:tcPr>
          <w:p w:rsidR="00A560DF" w:rsidRPr="00B37F2A" w:rsidRDefault="00A560DF" w:rsidP="007E2CDE">
            <w:pPr>
              <w:pStyle w:val="1"/>
              <w:shd w:val="clear" w:color="auto" w:fill="auto"/>
              <w:spacing w:before="0" w:line="240" w:lineRule="auto"/>
              <w:jc w:val="center"/>
              <w:rPr>
                <w:rFonts w:ascii="Times New Roman" w:hAnsi="Times New Roman" w:cs="Times New Roman"/>
                <w:sz w:val="20"/>
                <w:szCs w:val="20"/>
                <w:lang w:val="uk-UA"/>
              </w:rPr>
            </w:pPr>
            <w:r w:rsidRPr="00B37F2A">
              <w:rPr>
                <w:rFonts w:ascii="Times New Roman" w:hAnsi="Times New Roman" w:cs="Times New Roman"/>
                <w:sz w:val="20"/>
                <w:szCs w:val="20"/>
                <w:lang w:val="uk-UA"/>
              </w:rPr>
              <w:t>0,43</w:t>
            </w:r>
          </w:p>
        </w:tc>
        <w:tc>
          <w:tcPr>
            <w:tcW w:w="2977" w:type="dxa"/>
            <w:shd w:val="clear" w:color="auto" w:fill="FFFFFF"/>
          </w:tcPr>
          <w:p w:rsidR="00A560DF" w:rsidRPr="00B37F2A" w:rsidRDefault="00A560DF" w:rsidP="007E2CDE">
            <w:pPr>
              <w:pStyle w:val="1"/>
              <w:shd w:val="clear" w:color="auto" w:fill="auto"/>
              <w:spacing w:before="0" w:line="240" w:lineRule="auto"/>
              <w:jc w:val="center"/>
              <w:rPr>
                <w:rStyle w:val="TimesNewRoman7pt0pt"/>
                <w:rFonts w:eastAsia="Verdana"/>
                <w:color w:val="auto"/>
                <w:sz w:val="20"/>
                <w:szCs w:val="20"/>
                <w:lang w:val="uk-UA"/>
              </w:rPr>
            </w:pPr>
            <w:r w:rsidRPr="00B37F2A">
              <w:rPr>
                <w:rStyle w:val="TimesNewRoman7pt0pt"/>
                <w:rFonts w:eastAsia="Verdana"/>
                <w:color w:val="auto"/>
                <w:sz w:val="20"/>
                <w:szCs w:val="20"/>
                <w:lang w:val="uk-UA"/>
              </w:rPr>
              <w:t>1</w:t>
            </w:r>
          </w:p>
        </w:tc>
      </w:tr>
      <w:tr w:rsidR="007E2CDE" w:rsidRPr="00B37F2A" w:rsidTr="007E2CDE">
        <w:trPr>
          <w:trHeight w:hRule="exact" w:val="296"/>
        </w:trPr>
        <w:tc>
          <w:tcPr>
            <w:tcW w:w="3119" w:type="dxa"/>
            <w:shd w:val="clear" w:color="auto" w:fill="FFFFFF"/>
          </w:tcPr>
          <w:p w:rsidR="00A560DF" w:rsidRPr="00B37F2A" w:rsidRDefault="007E2CDE" w:rsidP="00832D2B">
            <w:pPr>
              <w:pStyle w:val="1"/>
              <w:shd w:val="clear" w:color="auto" w:fill="auto"/>
              <w:spacing w:before="0" w:line="240" w:lineRule="auto"/>
              <w:rPr>
                <w:rStyle w:val="TimesNewRoman7pt0pt"/>
                <w:rFonts w:eastAsia="Verdana"/>
                <w:color w:val="auto"/>
                <w:sz w:val="20"/>
                <w:szCs w:val="20"/>
                <w:lang w:val="uk-UA"/>
              </w:rPr>
            </w:pPr>
            <w:r w:rsidRPr="00B37F2A">
              <w:rPr>
                <w:rStyle w:val="TimesNewRoman7pt0pt"/>
                <w:rFonts w:eastAsia="Verdana"/>
                <w:color w:val="auto"/>
                <w:sz w:val="20"/>
                <w:szCs w:val="20"/>
                <w:lang w:val="uk-UA"/>
              </w:rPr>
              <w:t>Вік на момент розвитку Г</w:t>
            </w:r>
            <w:r w:rsidR="00264150" w:rsidRPr="00B37F2A">
              <w:rPr>
                <w:rStyle w:val="TimesNewRoman7pt0pt"/>
                <w:rFonts w:eastAsia="Verdana"/>
                <w:color w:val="auto"/>
                <w:sz w:val="20"/>
                <w:szCs w:val="20"/>
                <w:lang w:val="uk-UA"/>
              </w:rPr>
              <w:t>П</w:t>
            </w:r>
            <w:r w:rsidR="00A560DF" w:rsidRPr="00B37F2A">
              <w:rPr>
                <w:rStyle w:val="TimesNewRoman7pt0pt"/>
                <w:rFonts w:eastAsia="Verdana"/>
                <w:color w:val="auto"/>
                <w:sz w:val="20"/>
                <w:szCs w:val="20"/>
                <w:lang w:val="uk-UA"/>
              </w:rPr>
              <w:t xml:space="preserve"> &lt; 55 </w:t>
            </w:r>
            <w:r w:rsidRPr="00B37F2A">
              <w:rPr>
                <w:rStyle w:val="TimesNewRoman7pt0pt"/>
                <w:rFonts w:eastAsia="Verdana"/>
                <w:color w:val="auto"/>
                <w:sz w:val="20"/>
                <w:szCs w:val="20"/>
                <w:lang w:val="uk-UA"/>
              </w:rPr>
              <w:t>р.</w:t>
            </w:r>
          </w:p>
        </w:tc>
        <w:tc>
          <w:tcPr>
            <w:tcW w:w="2835" w:type="dxa"/>
            <w:shd w:val="clear" w:color="auto" w:fill="FFFFFF"/>
          </w:tcPr>
          <w:p w:rsidR="00A560DF" w:rsidRPr="00B37F2A" w:rsidRDefault="00A560DF" w:rsidP="007E2CDE">
            <w:pPr>
              <w:pStyle w:val="1"/>
              <w:shd w:val="clear" w:color="auto" w:fill="auto"/>
              <w:spacing w:before="0" w:line="240" w:lineRule="auto"/>
              <w:jc w:val="center"/>
              <w:rPr>
                <w:rStyle w:val="TimesNewRoman7pt0pt"/>
                <w:rFonts w:eastAsia="Verdana"/>
                <w:color w:val="auto"/>
                <w:sz w:val="20"/>
                <w:szCs w:val="20"/>
                <w:lang w:val="uk-UA"/>
              </w:rPr>
            </w:pPr>
            <w:r w:rsidRPr="00B37F2A">
              <w:rPr>
                <w:rStyle w:val="TimesNewRoman7pt0pt"/>
                <w:rFonts w:eastAsia="Verdana"/>
                <w:color w:val="auto"/>
                <w:sz w:val="20"/>
                <w:szCs w:val="20"/>
                <w:lang w:val="uk-UA"/>
              </w:rPr>
              <w:t>0,89</w:t>
            </w:r>
          </w:p>
        </w:tc>
        <w:tc>
          <w:tcPr>
            <w:tcW w:w="2977" w:type="dxa"/>
            <w:shd w:val="clear" w:color="auto" w:fill="FFFFFF"/>
          </w:tcPr>
          <w:p w:rsidR="00A560DF" w:rsidRPr="00B37F2A" w:rsidRDefault="00A560DF" w:rsidP="007E2CDE">
            <w:pPr>
              <w:pStyle w:val="1"/>
              <w:shd w:val="clear" w:color="auto" w:fill="auto"/>
              <w:spacing w:before="0" w:line="240" w:lineRule="auto"/>
              <w:jc w:val="center"/>
              <w:rPr>
                <w:rStyle w:val="TimesNewRoman7pt0pt"/>
                <w:rFonts w:eastAsia="Verdana"/>
                <w:color w:val="auto"/>
                <w:sz w:val="20"/>
                <w:szCs w:val="20"/>
                <w:lang w:val="uk-UA"/>
              </w:rPr>
            </w:pPr>
            <w:r w:rsidRPr="00B37F2A">
              <w:rPr>
                <w:rStyle w:val="TimesNewRoman7pt0pt"/>
                <w:rFonts w:eastAsia="Verdana"/>
                <w:color w:val="auto"/>
                <w:sz w:val="20"/>
                <w:szCs w:val="20"/>
                <w:lang w:val="uk-UA"/>
              </w:rPr>
              <w:t>2</w:t>
            </w:r>
          </w:p>
        </w:tc>
      </w:tr>
      <w:tr w:rsidR="007E2CDE" w:rsidRPr="00B37F2A" w:rsidTr="00B37F2A">
        <w:trPr>
          <w:trHeight w:hRule="exact" w:val="551"/>
        </w:trPr>
        <w:tc>
          <w:tcPr>
            <w:tcW w:w="3119" w:type="dxa"/>
            <w:shd w:val="clear" w:color="auto" w:fill="FFFFFF"/>
          </w:tcPr>
          <w:p w:rsidR="00A560DF" w:rsidRPr="00B37F2A" w:rsidRDefault="007E2CDE" w:rsidP="007E2CDE">
            <w:pPr>
              <w:jc w:val="left"/>
              <w:rPr>
                <w:sz w:val="20"/>
                <w:szCs w:val="20"/>
                <w:lang w:val="uk-UA"/>
              </w:rPr>
            </w:pPr>
            <w:r w:rsidRPr="00B37F2A">
              <w:rPr>
                <w:sz w:val="20"/>
                <w:szCs w:val="20"/>
                <w:lang w:val="uk-UA"/>
              </w:rPr>
              <w:t>Коди, пов'язані із вживанням алкоголю</w:t>
            </w:r>
          </w:p>
        </w:tc>
        <w:tc>
          <w:tcPr>
            <w:tcW w:w="2835" w:type="dxa"/>
            <w:shd w:val="clear" w:color="auto" w:fill="FFFFFF"/>
          </w:tcPr>
          <w:p w:rsidR="00A560DF" w:rsidRPr="00B37F2A" w:rsidRDefault="00A560DF" w:rsidP="007E2CDE">
            <w:pPr>
              <w:pStyle w:val="1"/>
              <w:shd w:val="clear" w:color="auto" w:fill="auto"/>
              <w:spacing w:before="0" w:line="240" w:lineRule="auto"/>
              <w:jc w:val="center"/>
              <w:rPr>
                <w:rFonts w:ascii="Times New Roman" w:hAnsi="Times New Roman" w:cs="Times New Roman"/>
                <w:sz w:val="20"/>
                <w:szCs w:val="20"/>
                <w:lang w:val="uk-UA"/>
              </w:rPr>
            </w:pPr>
            <w:r w:rsidRPr="00B37F2A">
              <w:rPr>
                <w:rStyle w:val="TimesNewRoman7pt0pt"/>
                <w:rFonts w:eastAsia="Verdana"/>
                <w:color w:val="auto"/>
                <w:sz w:val="20"/>
                <w:szCs w:val="20"/>
                <w:lang w:val="uk-UA"/>
              </w:rPr>
              <w:t>1,13</w:t>
            </w:r>
          </w:p>
        </w:tc>
        <w:tc>
          <w:tcPr>
            <w:tcW w:w="2977" w:type="dxa"/>
            <w:shd w:val="clear" w:color="auto" w:fill="FFFFFF"/>
          </w:tcPr>
          <w:p w:rsidR="00A560DF" w:rsidRPr="00B37F2A" w:rsidRDefault="00A560DF" w:rsidP="007E2CDE">
            <w:pPr>
              <w:pStyle w:val="1"/>
              <w:shd w:val="clear" w:color="auto" w:fill="auto"/>
              <w:spacing w:before="0" w:line="240" w:lineRule="auto"/>
              <w:jc w:val="center"/>
              <w:rPr>
                <w:rFonts w:ascii="Times New Roman" w:hAnsi="Times New Roman" w:cs="Times New Roman"/>
                <w:sz w:val="20"/>
                <w:szCs w:val="20"/>
                <w:lang w:val="uk-UA"/>
              </w:rPr>
            </w:pPr>
            <w:r w:rsidRPr="00B37F2A">
              <w:rPr>
                <w:rStyle w:val="TimesNewRoman7pt0pt"/>
                <w:rFonts w:eastAsia="Verdana"/>
                <w:color w:val="auto"/>
                <w:sz w:val="20"/>
                <w:szCs w:val="20"/>
                <w:lang w:val="uk-UA"/>
              </w:rPr>
              <w:t>3</w:t>
            </w:r>
          </w:p>
        </w:tc>
      </w:tr>
      <w:tr w:rsidR="007E2CDE" w:rsidRPr="00B37F2A" w:rsidTr="007E2CDE">
        <w:trPr>
          <w:trHeight w:hRule="exact" w:val="292"/>
        </w:trPr>
        <w:tc>
          <w:tcPr>
            <w:tcW w:w="3119" w:type="dxa"/>
            <w:shd w:val="clear" w:color="auto" w:fill="FFFFFF"/>
          </w:tcPr>
          <w:p w:rsidR="00A560DF" w:rsidRPr="00B37F2A" w:rsidRDefault="00A560DF" w:rsidP="00832D2B">
            <w:pPr>
              <w:rPr>
                <w:sz w:val="20"/>
                <w:szCs w:val="20"/>
                <w:lang w:val="uk-UA"/>
              </w:rPr>
            </w:pPr>
            <w:r w:rsidRPr="00B37F2A">
              <w:rPr>
                <w:sz w:val="20"/>
                <w:szCs w:val="20"/>
                <w:lang w:val="uk-UA"/>
              </w:rPr>
              <w:t>Р</w:t>
            </w:r>
            <w:r w:rsidR="007E2CDE" w:rsidRPr="00B37F2A">
              <w:rPr>
                <w:sz w:val="20"/>
                <w:szCs w:val="20"/>
                <w:lang w:val="uk-UA"/>
              </w:rPr>
              <w:t>Г</w:t>
            </w:r>
            <w:r w:rsidRPr="00B37F2A">
              <w:rPr>
                <w:sz w:val="20"/>
                <w:szCs w:val="20"/>
                <w:lang w:val="uk-UA"/>
              </w:rPr>
              <w:t>П (присут</w:t>
            </w:r>
            <w:r w:rsidR="007E2CDE" w:rsidRPr="00B37F2A">
              <w:rPr>
                <w:sz w:val="20"/>
                <w:szCs w:val="20"/>
                <w:lang w:val="uk-UA"/>
              </w:rPr>
              <w:t>ній або ні</w:t>
            </w:r>
            <w:r w:rsidRPr="00B37F2A">
              <w:rPr>
                <w:sz w:val="20"/>
                <w:szCs w:val="20"/>
                <w:lang w:val="uk-UA"/>
              </w:rPr>
              <w:t>)</w:t>
            </w:r>
          </w:p>
        </w:tc>
        <w:tc>
          <w:tcPr>
            <w:tcW w:w="2835" w:type="dxa"/>
            <w:shd w:val="clear" w:color="auto" w:fill="FFFFFF"/>
          </w:tcPr>
          <w:p w:rsidR="00A560DF" w:rsidRPr="00B37F2A" w:rsidRDefault="00A560DF" w:rsidP="007E2CDE">
            <w:pPr>
              <w:pStyle w:val="1"/>
              <w:shd w:val="clear" w:color="auto" w:fill="auto"/>
              <w:spacing w:before="0" w:line="240" w:lineRule="auto"/>
              <w:jc w:val="center"/>
              <w:rPr>
                <w:rFonts w:ascii="Times New Roman" w:hAnsi="Times New Roman" w:cs="Times New Roman"/>
                <w:sz w:val="20"/>
                <w:szCs w:val="20"/>
                <w:lang w:val="uk-UA"/>
              </w:rPr>
            </w:pPr>
            <w:r w:rsidRPr="00B37F2A">
              <w:rPr>
                <w:rStyle w:val="TimesNewRoman7pt0pt"/>
                <w:rFonts w:eastAsia="Verdana"/>
                <w:color w:val="auto"/>
                <w:sz w:val="20"/>
                <w:szCs w:val="20"/>
                <w:lang w:val="uk-UA"/>
              </w:rPr>
              <w:t>2,16</w:t>
            </w:r>
          </w:p>
        </w:tc>
        <w:tc>
          <w:tcPr>
            <w:tcW w:w="2977" w:type="dxa"/>
            <w:shd w:val="clear" w:color="auto" w:fill="FFFFFF"/>
          </w:tcPr>
          <w:p w:rsidR="00A560DF" w:rsidRPr="00B37F2A" w:rsidRDefault="00A560DF" w:rsidP="007E2CDE">
            <w:pPr>
              <w:pStyle w:val="1"/>
              <w:shd w:val="clear" w:color="auto" w:fill="auto"/>
              <w:spacing w:before="0" w:line="240" w:lineRule="auto"/>
              <w:jc w:val="center"/>
              <w:rPr>
                <w:rFonts w:ascii="Times New Roman" w:hAnsi="Times New Roman" w:cs="Times New Roman"/>
                <w:sz w:val="20"/>
                <w:szCs w:val="20"/>
                <w:lang w:val="uk-UA"/>
              </w:rPr>
            </w:pPr>
            <w:r w:rsidRPr="00B37F2A">
              <w:rPr>
                <w:rStyle w:val="TimesNewRoman7pt0pt"/>
                <w:rFonts w:eastAsia="Verdana"/>
                <w:color w:val="auto"/>
                <w:sz w:val="20"/>
                <w:szCs w:val="20"/>
                <w:lang w:val="uk-UA"/>
              </w:rPr>
              <w:t>5</w:t>
            </w:r>
          </w:p>
        </w:tc>
      </w:tr>
      <w:tr w:rsidR="007E2CDE" w:rsidRPr="00B37F2A" w:rsidTr="007E2CDE">
        <w:trPr>
          <w:trHeight w:hRule="exact" w:val="281"/>
        </w:trPr>
        <w:tc>
          <w:tcPr>
            <w:tcW w:w="3119" w:type="dxa"/>
            <w:shd w:val="clear" w:color="auto" w:fill="FFFFFF"/>
          </w:tcPr>
          <w:p w:rsidR="00A560DF" w:rsidRPr="00B37F2A" w:rsidRDefault="007E2CDE" w:rsidP="00832D2B">
            <w:pPr>
              <w:rPr>
                <w:sz w:val="20"/>
                <w:szCs w:val="20"/>
                <w:lang w:val="uk-UA"/>
              </w:rPr>
            </w:pPr>
            <w:r w:rsidRPr="00B37F2A">
              <w:rPr>
                <w:rStyle w:val="TimesNewRoman7pt0pt"/>
                <w:rFonts w:eastAsia="Verdana"/>
                <w:color w:val="auto"/>
                <w:sz w:val="20"/>
                <w:szCs w:val="20"/>
                <w:lang w:val="uk-UA"/>
              </w:rPr>
              <w:t xml:space="preserve">Оцінка ризику </w:t>
            </w:r>
            <w:r w:rsidR="00A560DF" w:rsidRPr="00B37F2A">
              <w:rPr>
                <w:sz w:val="20"/>
                <w:szCs w:val="20"/>
                <w:lang w:val="uk-UA"/>
              </w:rPr>
              <w:t>2</w:t>
            </w:r>
          </w:p>
        </w:tc>
        <w:tc>
          <w:tcPr>
            <w:tcW w:w="2835" w:type="dxa"/>
            <w:shd w:val="clear" w:color="auto" w:fill="FFFFFF"/>
          </w:tcPr>
          <w:p w:rsidR="00A560DF" w:rsidRPr="00B37F2A" w:rsidRDefault="00A560DF" w:rsidP="007E2CDE">
            <w:pPr>
              <w:jc w:val="center"/>
              <w:rPr>
                <w:sz w:val="20"/>
                <w:szCs w:val="20"/>
                <w:lang w:val="uk-UA"/>
              </w:rPr>
            </w:pPr>
          </w:p>
        </w:tc>
        <w:tc>
          <w:tcPr>
            <w:tcW w:w="2977" w:type="dxa"/>
            <w:shd w:val="clear" w:color="auto" w:fill="FFFFFF"/>
          </w:tcPr>
          <w:p w:rsidR="00A560DF" w:rsidRPr="00B37F2A" w:rsidRDefault="00A560DF" w:rsidP="007E2CDE">
            <w:pPr>
              <w:jc w:val="center"/>
              <w:rPr>
                <w:sz w:val="20"/>
                <w:szCs w:val="20"/>
                <w:lang w:val="uk-UA"/>
              </w:rPr>
            </w:pPr>
          </w:p>
        </w:tc>
      </w:tr>
      <w:tr w:rsidR="007E2CDE" w:rsidRPr="00B37F2A" w:rsidTr="007E2CDE">
        <w:trPr>
          <w:trHeight w:hRule="exact" w:val="286"/>
        </w:trPr>
        <w:tc>
          <w:tcPr>
            <w:tcW w:w="3119" w:type="dxa"/>
            <w:shd w:val="clear" w:color="auto" w:fill="FFFFFF"/>
          </w:tcPr>
          <w:p w:rsidR="007E2CDE" w:rsidRPr="00B37F2A" w:rsidRDefault="007E2CDE" w:rsidP="007E2CDE">
            <w:pPr>
              <w:autoSpaceDE w:val="0"/>
              <w:autoSpaceDN w:val="0"/>
              <w:adjustRightInd w:val="0"/>
              <w:rPr>
                <w:sz w:val="20"/>
                <w:szCs w:val="20"/>
                <w:lang w:val="uk-UA"/>
              </w:rPr>
            </w:pPr>
            <w:r w:rsidRPr="00B37F2A">
              <w:rPr>
                <w:sz w:val="20"/>
                <w:szCs w:val="20"/>
                <w:lang w:val="uk-UA"/>
              </w:rPr>
              <w:t>Коди, пов'язані з курінням</w:t>
            </w:r>
          </w:p>
          <w:p w:rsidR="00A560DF" w:rsidRPr="00B37F2A" w:rsidRDefault="00A560DF" w:rsidP="00832D2B">
            <w:pPr>
              <w:rPr>
                <w:sz w:val="20"/>
                <w:szCs w:val="20"/>
                <w:lang w:val="uk-UA"/>
              </w:rPr>
            </w:pPr>
          </w:p>
        </w:tc>
        <w:tc>
          <w:tcPr>
            <w:tcW w:w="2835" w:type="dxa"/>
            <w:shd w:val="clear" w:color="auto" w:fill="FFFFFF"/>
          </w:tcPr>
          <w:p w:rsidR="00A560DF" w:rsidRPr="00B37F2A" w:rsidRDefault="00A560DF" w:rsidP="007E2CDE">
            <w:pPr>
              <w:pStyle w:val="1"/>
              <w:shd w:val="clear" w:color="auto" w:fill="auto"/>
              <w:spacing w:before="0" w:line="240" w:lineRule="auto"/>
              <w:jc w:val="center"/>
              <w:rPr>
                <w:rFonts w:ascii="Times New Roman" w:hAnsi="Times New Roman" w:cs="Times New Roman"/>
                <w:sz w:val="20"/>
                <w:szCs w:val="20"/>
                <w:lang w:val="uk-UA"/>
              </w:rPr>
            </w:pPr>
            <w:r w:rsidRPr="00B37F2A">
              <w:rPr>
                <w:rStyle w:val="TimesNewRoman7pt0pt"/>
                <w:rFonts w:eastAsia="Verdana"/>
                <w:color w:val="auto"/>
                <w:sz w:val="20"/>
                <w:szCs w:val="20"/>
                <w:lang w:val="uk-UA"/>
              </w:rPr>
              <w:t>0,39</w:t>
            </w:r>
          </w:p>
        </w:tc>
        <w:tc>
          <w:tcPr>
            <w:tcW w:w="2977" w:type="dxa"/>
            <w:shd w:val="clear" w:color="auto" w:fill="FFFFFF"/>
          </w:tcPr>
          <w:p w:rsidR="00A560DF" w:rsidRPr="00B37F2A" w:rsidRDefault="00A560DF" w:rsidP="007E2CDE">
            <w:pPr>
              <w:pStyle w:val="1"/>
              <w:shd w:val="clear" w:color="auto" w:fill="auto"/>
              <w:spacing w:before="0" w:line="240" w:lineRule="auto"/>
              <w:jc w:val="center"/>
              <w:rPr>
                <w:rFonts w:ascii="Times New Roman" w:hAnsi="Times New Roman" w:cs="Times New Roman"/>
                <w:sz w:val="20"/>
                <w:szCs w:val="20"/>
                <w:lang w:val="uk-UA"/>
              </w:rPr>
            </w:pPr>
            <w:r w:rsidRPr="00B37F2A">
              <w:rPr>
                <w:rStyle w:val="TimesNewRoman7pt0pt"/>
                <w:rFonts w:eastAsia="Verdana"/>
                <w:color w:val="auto"/>
                <w:sz w:val="20"/>
                <w:szCs w:val="20"/>
                <w:lang w:val="uk-UA"/>
              </w:rPr>
              <w:t>1</w:t>
            </w:r>
          </w:p>
        </w:tc>
      </w:tr>
      <w:tr w:rsidR="007E2CDE" w:rsidRPr="00B37F2A" w:rsidTr="007E2CDE">
        <w:trPr>
          <w:trHeight w:hRule="exact" w:val="276"/>
        </w:trPr>
        <w:tc>
          <w:tcPr>
            <w:tcW w:w="3119" w:type="dxa"/>
            <w:shd w:val="clear" w:color="auto" w:fill="FFFFFF"/>
          </w:tcPr>
          <w:p w:rsidR="00A560DF" w:rsidRPr="00B37F2A" w:rsidRDefault="007E2CDE" w:rsidP="00832D2B">
            <w:pPr>
              <w:rPr>
                <w:sz w:val="20"/>
                <w:szCs w:val="20"/>
                <w:lang w:val="uk-UA"/>
              </w:rPr>
            </w:pPr>
            <w:r w:rsidRPr="00B37F2A">
              <w:rPr>
                <w:rStyle w:val="TimesNewRoman7pt0pt"/>
                <w:rFonts w:eastAsia="Verdana"/>
                <w:color w:val="auto"/>
                <w:sz w:val="20"/>
                <w:szCs w:val="20"/>
                <w:lang w:val="uk-UA"/>
              </w:rPr>
              <w:t>Вік на момент розвитку ГП &lt; 55 р.</w:t>
            </w:r>
          </w:p>
        </w:tc>
        <w:tc>
          <w:tcPr>
            <w:tcW w:w="2835" w:type="dxa"/>
            <w:shd w:val="clear" w:color="auto" w:fill="FFFFFF"/>
          </w:tcPr>
          <w:p w:rsidR="00A560DF" w:rsidRPr="00B37F2A" w:rsidRDefault="00A560DF" w:rsidP="007E2CDE">
            <w:pPr>
              <w:pStyle w:val="1"/>
              <w:shd w:val="clear" w:color="auto" w:fill="auto"/>
              <w:spacing w:before="0" w:line="240" w:lineRule="auto"/>
              <w:jc w:val="center"/>
              <w:rPr>
                <w:rFonts w:ascii="Times New Roman" w:hAnsi="Times New Roman" w:cs="Times New Roman"/>
                <w:sz w:val="20"/>
                <w:szCs w:val="20"/>
                <w:lang w:val="uk-UA"/>
              </w:rPr>
            </w:pPr>
            <w:r w:rsidRPr="00B37F2A">
              <w:rPr>
                <w:rStyle w:val="TimesNewRoman7pt0pt"/>
                <w:rFonts w:eastAsia="Verdana"/>
                <w:color w:val="auto"/>
                <w:sz w:val="20"/>
                <w:szCs w:val="20"/>
                <w:lang w:val="uk-UA"/>
              </w:rPr>
              <w:t>0,71</w:t>
            </w:r>
          </w:p>
        </w:tc>
        <w:tc>
          <w:tcPr>
            <w:tcW w:w="2977" w:type="dxa"/>
            <w:shd w:val="clear" w:color="auto" w:fill="FFFFFF"/>
          </w:tcPr>
          <w:p w:rsidR="00A560DF" w:rsidRPr="00B37F2A" w:rsidRDefault="00A560DF" w:rsidP="007E2CDE">
            <w:pPr>
              <w:pStyle w:val="1"/>
              <w:shd w:val="clear" w:color="auto" w:fill="auto"/>
              <w:spacing w:before="0" w:line="240" w:lineRule="auto"/>
              <w:jc w:val="center"/>
              <w:rPr>
                <w:rFonts w:ascii="Times New Roman" w:hAnsi="Times New Roman" w:cs="Times New Roman"/>
                <w:sz w:val="20"/>
                <w:szCs w:val="20"/>
                <w:lang w:val="uk-UA"/>
              </w:rPr>
            </w:pPr>
            <w:r w:rsidRPr="00B37F2A">
              <w:rPr>
                <w:rStyle w:val="TimesNewRoman7pt0pt"/>
                <w:rFonts w:eastAsia="Verdana"/>
                <w:color w:val="auto"/>
                <w:sz w:val="20"/>
                <w:szCs w:val="20"/>
                <w:lang w:val="uk-UA"/>
              </w:rPr>
              <w:t>2</w:t>
            </w:r>
          </w:p>
        </w:tc>
      </w:tr>
      <w:tr w:rsidR="007E2CDE" w:rsidRPr="00B37F2A" w:rsidTr="00B37F2A">
        <w:trPr>
          <w:trHeight w:hRule="exact" w:val="421"/>
        </w:trPr>
        <w:tc>
          <w:tcPr>
            <w:tcW w:w="3119" w:type="dxa"/>
            <w:shd w:val="clear" w:color="auto" w:fill="FFFFFF"/>
          </w:tcPr>
          <w:p w:rsidR="00A560DF" w:rsidRPr="00B37F2A" w:rsidRDefault="007E2CDE" w:rsidP="007E2CDE">
            <w:pPr>
              <w:jc w:val="left"/>
              <w:rPr>
                <w:sz w:val="20"/>
                <w:szCs w:val="20"/>
                <w:lang w:val="uk-UA"/>
              </w:rPr>
            </w:pPr>
            <w:r w:rsidRPr="00B37F2A">
              <w:rPr>
                <w:sz w:val="20"/>
                <w:szCs w:val="20"/>
                <w:lang w:val="uk-UA"/>
              </w:rPr>
              <w:t>Коди, пов'язані із вживанням алкоголю</w:t>
            </w:r>
          </w:p>
        </w:tc>
        <w:tc>
          <w:tcPr>
            <w:tcW w:w="2835" w:type="dxa"/>
            <w:shd w:val="clear" w:color="auto" w:fill="FFFFFF"/>
          </w:tcPr>
          <w:p w:rsidR="00A560DF" w:rsidRPr="00B37F2A" w:rsidRDefault="00A560DF" w:rsidP="007E2CDE">
            <w:pPr>
              <w:pStyle w:val="1"/>
              <w:shd w:val="clear" w:color="auto" w:fill="auto"/>
              <w:spacing w:before="0" w:line="240" w:lineRule="auto"/>
              <w:jc w:val="center"/>
              <w:rPr>
                <w:rFonts w:ascii="Times New Roman" w:hAnsi="Times New Roman" w:cs="Times New Roman"/>
                <w:sz w:val="20"/>
                <w:szCs w:val="20"/>
                <w:lang w:val="uk-UA"/>
              </w:rPr>
            </w:pPr>
            <w:r w:rsidRPr="00B37F2A">
              <w:rPr>
                <w:rStyle w:val="TimesNewRoman7pt0pt"/>
                <w:rFonts w:eastAsia="Verdana"/>
                <w:color w:val="auto"/>
                <w:sz w:val="20"/>
                <w:szCs w:val="20"/>
                <w:lang w:val="uk-UA"/>
              </w:rPr>
              <w:t>0,98</w:t>
            </w:r>
          </w:p>
        </w:tc>
        <w:tc>
          <w:tcPr>
            <w:tcW w:w="2977" w:type="dxa"/>
            <w:shd w:val="clear" w:color="auto" w:fill="FFFFFF"/>
          </w:tcPr>
          <w:p w:rsidR="00A560DF" w:rsidRPr="00B37F2A" w:rsidRDefault="00A560DF" w:rsidP="007E2CDE">
            <w:pPr>
              <w:pStyle w:val="1"/>
              <w:shd w:val="clear" w:color="auto" w:fill="auto"/>
              <w:spacing w:before="0" w:line="240" w:lineRule="auto"/>
              <w:jc w:val="center"/>
              <w:rPr>
                <w:rFonts w:ascii="Times New Roman" w:hAnsi="Times New Roman" w:cs="Times New Roman"/>
                <w:sz w:val="20"/>
                <w:szCs w:val="20"/>
                <w:lang w:val="uk-UA"/>
              </w:rPr>
            </w:pPr>
            <w:r w:rsidRPr="00B37F2A">
              <w:rPr>
                <w:rStyle w:val="TimesNewRoman7pt0pt"/>
                <w:rFonts w:eastAsia="Verdana"/>
                <w:color w:val="auto"/>
                <w:sz w:val="20"/>
                <w:szCs w:val="20"/>
                <w:lang w:val="uk-UA"/>
              </w:rPr>
              <w:t>3</w:t>
            </w:r>
          </w:p>
        </w:tc>
      </w:tr>
      <w:tr w:rsidR="007E2CDE" w:rsidRPr="00B37F2A" w:rsidTr="00B37F2A">
        <w:trPr>
          <w:trHeight w:hRule="exact" w:val="286"/>
        </w:trPr>
        <w:tc>
          <w:tcPr>
            <w:tcW w:w="3119" w:type="dxa"/>
            <w:shd w:val="clear" w:color="auto" w:fill="FFFFFF"/>
          </w:tcPr>
          <w:p w:rsidR="00A560DF" w:rsidRPr="00B37F2A" w:rsidRDefault="00A560DF" w:rsidP="00832D2B">
            <w:pPr>
              <w:rPr>
                <w:sz w:val="20"/>
                <w:szCs w:val="20"/>
                <w:lang w:val="uk-UA"/>
              </w:rPr>
            </w:pPr>
            <w:r w:rsidRPr="00B37F2A">
              <w:rPr>
                <w:sz w:val="20"/>
                <w:szCs w:val="20"/>
                <w:lang w:val="uk-UA"/>
              </w:rPr>
              <w:t xml:space="preserve">Число </w:t>
            </w:r>
            <w:r w:rsidR="00264150" w:rsidRPr="00B37F2A">
              <w:rPr>
                <w:sz w:val="20"/>
                <w:szCs w:val="20"/>
                <w:lang w:val="uk-UA"/>
              </w:rPr>
              <w:t>рецидив</w:t>
            </w:r>
            <w:r w:rsidR="00B37F2A" w:rsidRPr="00B37F2A">
              <w:rPr>
                <w:sz w:val="20"/>
                <w:szCs w:val="20"/>
                <w:lang w:val="uk-UA"/>
              </w:rPr>
              <w:t>і</w:t>
            </w:r>
            <w:r w:rsidR="00264150" w:rsidRPr="00B37F2A">
              <w:rPr>
                <w:sz w:val="20"/>
                <w:szCs w:val="20"/>
                <w:lang w:val="uk-UA"/>
              </w:rPr>
              <w:t xml:space="preserve">в </w:t>
            </w:r>
            <w:r w:rsidR="00B37F2A" w:rsidRPr="00B37F2A">
              <w:rPr>
                <w:sz w:val="20"/>
                <w:szCs w:val="20"/>
                <w:lang w:val="uk-UA"/>
              </w:rPr>
              <w:t>Г</w:t>
            </w:r>
            <w:r w:rsidRPr="00B37F2A">
              <w:rPr>
                <w:sz w:val="20"/>
                <w:szCs w:val="20"/>
                <w:lang w:val="uk-UA"/>
              </w:rPr>
              <w:t>П</w:t>
            </w:r>
          </w:p>
        </w:tc>
        <w:tc>
          <w:tcPr>
            <w:tcW w:w="2835" w:type="dxa"/>
            <w:shd w:val="clear" w:color="auto" w:fill="FFFFFF"/>
          </w:tcPr>
          <w:p w:rsidR="00A560DF" w:rsidRPr="00B37F2A" w:rsidRDefault="00A560DF" w:rsidP="007E2CDE">
            <w:pPr>
              <w:jc w:val="center"/>
              <w:rPr>
                <w:sz w:val="20"/>
                <w:szCs w:val="20"/>
                <w:lang w:val="uk-UA"/>
              </w:rPr>
            </w:pPr>
          </w:p>
        </w:tc>
        <w:tc>
          <w:tcPr>
            <w:tcW w:w="2977" w:type="dxa"/>
            <w:shd w:val="clear" w:color="auto" w:fill="FFFFFF"/>
          </w:tcPr>
          <w:p w:rsidR="00A560DF" w:rsidRPr="00B37F2A" w:rsidRDefault="00A560DF" w:rsidP="007E2CDE">
            <w:pPr>
              <w:jc w:val="center"/>
              <w:rPr>
                <w:sz w:val="20"/>
                <w:szCs w:val="20"/>
                <w:lang w:val="uk-UA"/>
              </w:rPr>
            </w:pPr>
          </w:p>
        </w:tc>
      </w:tr>
      <w:tr w:rsidR="00B37F2A" w:rsidRPr="00B37F2A" w:rsidTr="007E2CDE">
        <w:trPr>
          <w:trHeight w:hRule="exact" w:val="284"/>
        </w:trPr>
        <w:tc>
          <w:tcPr>
            <w:tcW w:w="3119" w:type="dxa"/>
            <w:shd w:val="clear" w:color="auto" w:fill="FFFFFF"/>
          </w:tcPr>
          <w:p w:rsidR="00B37F2A" w:rsidRPr="00B37F2A" w:rsidRDefault="00B37F2A" w:rsidP="00B37F2A">
            <w:pPr>
              <w:jc w:val="left"/>
              <w:rPr>
                <w:sz w:val="20"/>
                <w:szCs w:val="20"/>
                <w:lang w:val="uk-UA"/>
              </w:rPr>
            </w:pPr>
            <w:r w:rsidRPr="00B37F2A">
              <w:rPr>
                <w:sz w:val="20"/>
                <w:szCs w:val="20"/>
                <w:lang w:val="uk-UA"/>
              </w:rPr>
              <w:t>2 епізоди</w:t>
            </w:r>
          </w:p>
        </w:tc>
        <w:tc>
          <w:tcPr>
            <w:tcW w:w="2835" w:type="dxa"/>
            <w:shd w:val="clear" w:color="auto" w:fill="FFFFFF"/>
          </w:tcPr>
          <w:p w:rsidR="00B37F2A" w:rsidRPr="00B37F2A" w:rsidRDefault="00B37F2A" w:rsidP="00B37F2A">
            <w:pPr>
              <w:pStyle w:val="1"/>
              <w:shd w:val="clear" w:color="auto" w:fill="auto"/>
              <w:spacing w:before="0" w:line="240" w:lineRule="auto"/>
              <w:jc w:val="center"/>
              <w:rPr>
                <w:rFonts w:ascii="Times New Roman" w:hAnsi="Times New Roman" w:cs="Times New Roman"/>
                <w:sz w:val="20"/>
                <w:szCs w:val="20"/>
                <w:lang w:val="uk-UA"/>
              </w:rPr>
            </w:pPr>
            <w:r w:rsidRPr="00B37F2A">
              <w:rPr>
                <w:rStyle w:val="TimesNewRoman7pt0pt"/>
                <w:rFonts w:eastAsia="Verdana"/>
                <w:color w:val="auto"/>
                <w:sz w:val="20"/>
                <w:szCs w:val="20"/>
                <w:lang w:val="uk-UA"/>
              </w:rPr>
              <w:t>1,62</w:t>
            </w:r>
          </w:p>
        </w:tc>
        <w:tc>
          <w:tcPr>
            <w:tcW w:w="2977" w:type="dxa"/>
            <w:shd w:val="clear" w:color="auto" w:fill="FFFFFF"/>
          </w:tcPr>
          <w:p w:rsidR="00B37F2A" w:rsidRPr="00B37F2A" w:rsidRDefault="00B37F2A" w:rsidP="00B37F2A">
            <w:pPr>
              <w:pStyle w:val="1"/>
              <w:shd w:val="clear" w:color="auto" w:fill="auto"/>
              <w:spacing w:before="0" w:line="240" w:lineRule="auto"/>
              <w:jc w:val="center"/>
              <w:rPr>
                <w:rFonts w:ascii="Times New Roman" w:hAnsi="Times New Roman" w:cs="Times New Roman"/>
                <w:sz w:val="20"/>
                <w:szCs w:val="20"/>
                <w:lang w:val="uk-UA"/>
              </w:rPr>
            </w:pPr>
            <w:r w:rsidRPr="00B37F2A">
              <w:rPr>
                <w:rStyle w:val="TimesNewRoman7pt0pt"/>
                <w:rFonts w:eastAsia="Verdana"/>
                <w:color w:val="auto"/>
                <w:sz w:val="20"/>
                <w:szCs w:val="20"/>
                <w:lang w:val="uk-UA"/>
              </w:rPr>
              <w:t>4</w:t>
            </w:r>
          </w:p>
        </w:tc>
      </w:tr>
      <w:tr w:rsidR="00B37F2A" w:rsidRPr="00B37F2A" w:rsidTr="007E2CDE">
        <w:trPr>
          <w:trHeight w:hRule="exact" w:val="287"/>
        </w:trPr>
        <w:tc>
          <w:tcPr>
            <w:tcW w:w="3119" w:type="dxa"/>
            <w:shd w:val="clear" w:color="auto" w:fill="FFFFFF"/>
          </w:tcPr>
          <w:p w:rsidR="00B37F2A" w:rsidRPr="00B37F2A" w:rsidRDefault="00B37F2A" w:rsidP="00B37F2A">
            <w:pPr>
              <w:jc w:val="left"/>
              <w:rPr>
                <w:sz w:val="20"/>
                <w:szCs w:val="20"/>
                <w:lang w:val="uk-UA"/>
              </w:rPr>
            </w:pPr>
            <w:r w:rsidRPr="00B37F2A">
              <w:rPr>
                <w:sz w:val="20"/>
                <w:szCs w:val="20"/>
                <w:lang w:val="uk-UA"/>
              </w:rPr>
              <w:t>3 епізоди</w:t>
            </w:r>
          </w:p>
        </w:tc>
        <w:tc>
          <w:tcPr>
            <w:tcW w:w="2835" w:type="dxa"/>
            <w:shd w:val="clear" w:color="auto" w:fill="FFFFFF"/>
          </w:tcPr>
          <w:p w:rsidR="00B37F2A" w:rsidRPr="00B37F2A" w:rsidRDefault="00B37F2A" w:rsidP="00B37F2A">
            <w:pPr>
              <w:pStyle w:val="1"/>
              <w:shd w:val="clear" w:color="auto" w:fill="auto"/>
              <w:spacing w:before="0" w:line="240" w:lineRule="auto"/>
              <w:jc w:val="center"/>
              <w:rPr>
                <w:rFonts w:ascii="Times New Roman" w:hAnsi="Times New Roman" w:cs="Times New Roman"/>
                <w:sz w:val="20"/>
                <w:szCs w:val="20"/>
                <w:lang w:val="uk-UA"/>
              </w:rPr>
            </w:pPr>
            <w:r w:rsidRPr="00B37F2A">
              <w:rPr>
                <w:rStyle w:val="TimesNewRoman7pt0pt"/>
                <w:rFonts w:eastAsia="Verdana"/>
                <w:color w:val="auto"/>
                <w:sz w:val="20"/>
                <w:szCs w:val="20"/>
                <w:lang w:val="uk-UA"/>
              </w:rPr>
              <w:t>2,14</w:t>
            </w:r>
          </w:p>
        </w:tc>
        <w:tc>
          <w:tcPr>
            <w:tcW w:w="2977" w:type="dxa"/>
            <w:shd w:val="clear" w:color="auto" w:fill="FFFFFF"/>
          </w:tcPr>
          <w:p w:rsidR="00B37F2A" w:rsidRPr="00B37F2A" w:rsidRDefault="00B37F2A" w:rsidP="00B37F2A">
            <w:pPr>
              <w:pStyle w:val="1"/>
              <w:shd w:val="clear" w:color="auto" w:fill="auto"/>
              <w:spacing w:before="0" w:line="240" w:lineRule="auto"/>
              <w:jc w:val="center"/>
              <w:rPr>
                <w:rFonts w:ascii="Times New Roman" w:hAnsi="Times New Roman" w:cs="Times New Roman"/>
                <w:sz w:val="20"/>
                <w:szCs w:val="20"/>
                <w:lang w:val="uk-UA"/>
              </w:rPr>
            </w:pPr>
            <w:r w:rsidRPr="00B37F2A">
              <w:rPr>
                <w:rStyle w:val="TimesNewRoman7pt0pt"/>
                <w:rFonts w:eastAsia="Verdana"/>
                <w:color w:val="auto"/>
                <w:sz w:val="20"/>
                <w:szCs w:val="20"/>
                <w:lang w:val="uk-UA"/>
              </w:rPr>
              <w:t>5</w:t>
            </w:r>
          </w:p>
        </w:tc>
      </w:tr>
      <w:tr w:rsidR="00B37F2A" w:rsidRPr="00B37F2A" w:rsidTr="007E2CDE">
        <w:trPr>
          <w:trHeight w:hRule="exact" w:val="278"/>
        </w:trPr>
        <w:tc>
          <w:tcPr>
            <w:tcW w:w="3119" w:type="dxa"/>
            <w:shd w:val="clear" w:color="auto" w:fill="FFFFFF"/>
          </w:tcPr>
          <w:p w:rsidR="00B37F2A" w:rsidRPr="00B37F2A" w:rsidRDefault="00B37F2A" w:rsidP="00B37F2A">
            <w:pPr>
              <w:jc w:val="left"/>
              <w:rPr>
                <w:sz w:val="20"/>
                <w:szCs w:val="20"/>
                <w:lang w:val="uk-UA"/>
              </w:rPr>
            </w:pPr>
            <w:r w:rsidRPr="00B37F2A">
              <w:rPr>
                <w:sz w:val="20"/>
                <w:szCs w:val="20"/>
                <w:lang w:val="uk-UA"/>
              </w:rPr>
              <w:t>&gt; 3 епізодів</w:t>
            </w:r>
          </w:p>
        </w:tc>
        <w:tc>
          <w:tcPr>
            <w:tcW w:w="2835" w:type="dxa"/>
            <w:shd w:val="clear" w:color="auto" w:fill="FFFFFF"/>
          </w:tcPr>
          <w:p w:rsidR="00B37F2A" w:rsidRPr="00B37F2A" w:rsidRDefault="00B37F2A" w:rsidP="00B37F2A">
            <w:pPr>
              <w:pStyle w:val="1"/>
              <w:shd w:val="clear" w:color="auto" w:fill="auto"/>
              <w:spacing w:before="0" w:line="240" w:lineRule="auto"/>
              <w:jc w:val="center"/>
              <w:rPr>
                <w:rFonts w:ascii="Times New Roman" w:hAnsi="Times New Roman" w:cs="Times New Roman"/>
                <w:sz w:val="20"/>
                <w:szCs w:val="20"/>
                <w:lang w:val="uk-UA"/>
              </w:rPr>
            </w:pPr>
            <w:r w:rsidRPr="00B37F2A">
              <w:rPr>
                <w:rStyle w:val="TimesNewRoman7pt0pt"/>
                <w:rFonts w:eastAsia="Verdana"/>
                <w:color w:val="auto"/>
                <w:sz w:val="20"/>
                <w:szCs w:val="20"/>
                <w:lang w:val="uk-UA"/>
              </w:rPr>
              <w:t>2,75</w:t>
            </w:r>
          </w:p>
        </w:tc>
        <w:tc>
          <w:tcPr>
            <w:tcW w:w="2977" w:type="dxa"/>
            <w:shd w:val="clear" w:color="auto" w:fill="FFFFFF"/>
          </w:tcPr>
          <w:p w:rsidR="00B37F2A" w:rsidRPr="00B37F2A" w:rsidRDefault="00B37F2A" w:rsidP="00B37F2A">
            <w:pPr>
              <w:pStyle w:val="1"/>
              <w:shd w:val="clear" w:color="auto" w:fill="auto"/>
              <w:spacing w:before="0" w:line="240" w:lineRule="auto"/>
              <w:jc w:val="center"/>
              <w:rPr>
                <w:rFonts w:ascii="Times New Roman" w:hAnsi="Times New Roman" w:cs="Times New Roman"/>
                <w:sz w:val="20"/>
                <w:szCs w:val="20"/>
                <w:lang w:val="uk-UA"/>
              </w:rPr>
            </w:pPr>
            <w:r w:rsidRPr="00B37F2A">
              <w:rPr>
                <w:rStyle w:val="TimesNewRoman7pt0pt"/>
                <w:rFonts w:eastAsia="Verdana"/>
                <w:color w:val="auto"/>
                <w:sz w:val="20"/>
                <w:szCs w:val="20"/>
                <w:lang w:val="uk-UA"/>
              </w:rPr>
              <w:t>7</w:t>
            </w:r>
          </w:p>
        </w:tc>
      </w:tr>
      <w:tr w:rsidR="007E2CDE" w:rsidRPr="00B37F2A" w:rsidTr="007E2CDE">
        <w:trPr>
          <w:trHeight w:hRule="exact" w:val="358"/>
        </w:trPr>
        <w:tc>
          <w:tcPr>
            <w:tcW w:w="3119" w:type="dxa"/>
            <w:tcBorders>
              <w:bottom w:val="single" w:sz="4" w:space="0" w:color="auto"/>
            </w:tcBorders>
            <w:shd w:val="clear" w:color="auto" w:fill="FFFFFF"/>
          </w:tcPr>
          <w:p w:rsidR="00A560DF" w:rsidRPr="00B37F2A" w:rsidRDefault="00A560DF" w:rsidP="005170AF">
            <w:pPr>
              <w:ind w:firstLine="709"/>
              <w:rPr>
                <w:sz w:val="20"/>
                <w:szCs w:val="20"/>
                <w:lang w:val="uk-UA"/>
              </w:rPr>
            </w:pPr>
          </w:p>
        </w:tc>
        <w:tc>
          <w:tcPr>
            <w:tcW w:w="2835" w:type="dxa"/>
            <w:tcBorders>
              <w:bottom w:val="single" w:sz="4" w:space="0" w:color="auto"/>
            </w:tcBorders>
            <w:shd w:val="clear" w:color="auto" w:fill="FFFFFF"/>
          </w:tcPr>
          <w:p w:rsidR="00A560DF" w:rsidRPr="00B37F2A" w:rsidRDefault="00A560DF" w:rsidP="007E2CDE">
            <w:pPr>
              <w:pStyle w:val="1"/>
              <w:shd w:val="clear" w:color="auto" w:fill="auto"/>
              <w:spacing w:before="0" w:line="240" w:lineRule="auto"/>
              <w:jc w:val="center"/>
              <w:rPr>
                <w:rFonts w:ascii="Times New Roman" w:hAnsi="Times New Roman" w:cs="Times New Roman"/>
                <w:sz w:val="20"/>
                <w:szCs w:val="20"/>
                <w:lang w:val="uk-UA"/>
              </w:rPr>
            </w:pPr>
            <w:r w:rsidRPr="00B37F2A">
              <w:rPr>
                <w:rStyle w:val="TimesNewRoman7pt0pt"/>
                <w:rFonts w:eastAsia="Verdana"/>
                <w:color w:val="auto"/>
                <w:sz w:val="20"/>
                <w:szCs w:val="20"/>
                <w:lang w:val="uk-UA"/>
              </w:rPr>
              <w:t>Вс</w:t>
            </w:r>
            <w:r w:rsidR="00B37F2A" w:rsidRPr="00B37F2A">
              <w:rPr>
                <w:rStyle w:val="TimesNewRoman7pt0pt"/>
                <w:rFonts w:eastAsia="Verdana"/>
                <w:color w:val="auto"/>
                <w:sz w:val="20"/>
                <w:szCs w:val="20"/>
                <w:lang w:val="uk-UA"/>
              </w:rPr>
              <w:t>ьо</w:t>
            </w:r>
            <w:r w:rsidRPr="00B37F2A">
              <w:rPr>
                <w:rStyle w:val="TimesNewRoman7pt0pt"/>
                <w:rFonts w:eastAsia="Verdana"/>
                <w:color w:val="auto"/>
                <w:sz w:val="20"/>
                <w:szCs w:val="20"/>
                <w:lang w:val="uk-UA"/>
              </w:rPr>
              <w:t>го</w:t>
            </w:r>
          </w:p>
        </w:tc>
        <w:tc>
          <w:tcPr>
            <w:tcW w:w="2977" w:type="dxa"/>
            <w:tcBorders>
              <w:bottom w:val="single" w:sz="4" w:space="0" w:color="auto"/>
            </w:tcBorders>
            <w:shd w:val="clear" w:color="auto" w:fill="FFFFFF"/>
          </w:tcPr>
          <w:p w:rsidR="00A560DF" w:rsidRPr="00B37F2A" w:rsidRDefault="00A560DF" w:rsidP="007E2CDE">
            <w:pPr>
              <w:pStyle w:val="1"/>
              <w:shd w:val="clear" w:color="auto" w:fill="auto"/>
              <w:spacing w:before="0" w:line="240" w:lineRule="auto"/>
              <w:jc w:val="center"/>
              <w:rPr>
                <w:rFonts w:ascii="Times New Roman" w:hAnsi="Times New Roman" w:cs="Times New Roman"/>
                <w:sz w:val="20"/>
                <w:szCs w:val="20"/>
                <w:lang w:val="uk-UA"/>
              </w:rPr>
            </w:pPr>
            <w:r w:rsidRPr="00B37F2A">
              <w:rPr>
                <w:rStyle w:val="TimesNewRoman7pt0pt"/>
                <w:rFonts w:eastAsia="Verdana"/>
                <w:color w:val="auto"/>
                <w:sz w:val="20"/>
                <w:szCs w:val="20"/>
                <w:lang w:val="uk-UA"/>
              </w:rPr>
              <w:t>13</w:t>
            </w:r>
          </w:p>
        </w:tc>
      </w:tr>
    </w:tbl>
    <w:p w:rsidR="00A560DF" w:rsidRPr="00B37F2A" w:rsidRDefault="00A560DF" w:rsidP="005170AF">
      <w:pPr>
        <w:autoSpaceDE w:val="0"/>
        <w:autoSpaceDN w:val="0"/>
        <w:adjustRightInd w:val="0"/>
        <w:ind w:firstLine="709"/>
        <w:rPr>
          <w:lang w:val="uk-UA"/>
        </w:rPr>
      </w:pPr>
      <w:r w:rsidRPr="00B37F2A">
        <w:rPr>
          <w:sz w:val="20"/>
          <w:szCs w:val="20"/>
          <w:vertAlign w:val="superscript"/>
          <w:lang w:val="uk-UA"/>
        </w:rPr>
        <w:t>1</w:t>
      </w:r>
      <w:r w:rsidRPr="00B37F2A">
        <w:rPr>
          <w:sz w:val="20"/>
          <w:szCs w:val="20"/>
          <w:lang w:val="uk-UA"/>
        </w:rPr>
        <w:t xml:space="preserve"> </w:t>
      </w:r>
      <w:r w:rsidR="00B37F2A" w:rsidRPr="00B37F2A">
        <w:rPr>
          <w:sz w:val="20"/>
          <w:szCs w:val="20"/>
          <w:lang w:val="uk-UA"/>
        </w:rPr>
        <w:t>Оцінка ризику була розрахована шляхом ділення кожного коефіцієнта моделі на найменший коефіцієнт в моделі і округлення відношення до цілого числа.</w:t>
      </w:r>
    </w:p>
    <w:p w:rsidR="00A560DF" w:rsidRPr="00BC641F" w:rsidRDefault="00344D66" w:rsidP="005170AF">
      <w:pPr>
        <w:autoSpaceDE w:val="0"/>
        <w:autoSpaceDN w:val="0"/>
        <w:adjustRightInd w:val="0"/>
        <w:ind w:firstLine="709"/>
      </w:pPr>
      <w:r w:rsidRPr="00BC641F">
        <w:rPr>
          <w:noProof/>
          <w:lang w:eastAsia="zh-CN"/>
        </w:rPr>
        <w:lastRenderedPageBreak/>
        <w:drawing>
          <wp:inline distT="0" distB="0" distL="0" distR="0" wp14:anchorId="3CB5E1F3" wp14:editId="28A9F02F">
            <wp:extent cx="4618241" cy="5294299"/>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9586" cy="5295841"/>
                    </a:xfrm>
                    <a:prstGeom prst="rect">
                      <a:avLst/>
                    </a:prstGeom>
                    <a:noFill/>
                    <a:ln>
                      <a:noFill/>
                    </a:ln>
                  </pic:spPr>
                </pic:pic>
              </a:graphicData>
            </a:graphic>
          </wp:inline>
        </w:drawing>
      </w:r>
    </w:p>
    <w:p w:rsidR="009B4801" w:rsidRPr="00BC641F" w:rsidRDefault="009B4801" w:rsidP="00B37F2A">
      <w:pPr>
        <w:autoSpaceDE w:val="0"/>
        <w:autoSpaceDN w:val="0"/>
        <w:adjustRightInd w:val="0"/>
      </w:pPr>
      <w:r w:rsidRPr="00BC641F">
        <w:t>Прим</w:t>
      </w:r>
      <w:proofErr w:type="spellStart"/>
      <w:r w:rsidR="00B37F2A">
        <w:rPr>
          <w:lang w:val="uk-UA"/>
        </w:rPr>
        <w:t>ітка</w:t>
      </w:r>
      <w:proofErr w:type="spellEnd"/>
      <w:r w:rsidRPr="00BC641F">
        <w:t>:</w:t>
      </w:r>
    </w:p>
    <w:tbl>
      <w:tblPr>
        <w:tblStyle w:val="a7"/>
        <w:tblW w:w="0" w:type="auto"/>
        <w:tblLook w:val="04A0" w:firstRow="1" w:lastRow="0" w:firstColumn="1" w:lastColumn="0" w:noHBand="0" w:noVBand="1"/>
      </w:tblPr>
      <w:tblGrid>
        <w:gridCol w:w="3681"/>
        <w:gridCol w:w="5664"/>
      </w:tblGrid>
      <w:tr w:rsidR="00344D66" w:rsidRPr="00BC641F" w:rsidTr="00B37F2A">
        <w:tc>
          <w:tcPr>
            <w:tcW w:w="3681" w:type="dxa"/>
          </w:tcPr>
          <w:p w:rsidR="00344D66" w:rsidRPr="00BC641F" w:rsidRDefault="00344D66" w:rsidP="00B37F2A">
            <w:pPr>
              <w:autoSpaceDE w:val="0"/>
              <w:autoSpaceDN w:val="0"/>
              <w:adjustRightInd w:val="0"/>
              <w:rPr>
                <w:lang w:val="en-US"/>
              </w:rPr>
            </w:pPr>
            <w:r w:rsidRPr="00BC641F">
              <w:rPr>
                <w:lang w:val="en-US"/>
              </w:rPr>
              <w:t>Sensitivity</w:t>
            </w:r>
          </w:p>
        </w:tc>
        <w:tc>
          <w:tcPr>
            <w:tcW w:w="5664" w:type="dxa"/>
          </w:tcPr>
          <w:p w:rsidR="00344D66" w:rsidRPr="00470540" w:rsidRDefault="00344D66" w:rsidP="00B37F2A">
            <w:pPr>
              <w:autoSpaceDE w:val="0"/>
              <w:autoSpaceDN w:val="0"/>
              <w:adjustRightInd w:val="0"/>
              <w:rPr>
                <w:lang w:val="uk-UA"/>
              </w:rPr>
            </w:pPr>
            <w:r w:rsidRPr="00470540">
              <w:rPr>
                <w:lang w:val="uk-UA"/>
              </w:rPr>
              <w:t>Чу</w:t>
            </w:r>
            <w:r w:rsidR="00B37F2A" w:rsidRPr="00470540">
              <w:rPr>
                <w:lang w:val="uk-UA"/>
              </w:rPr>
              <w:t>т</w:t>
            </w:r>
            <w:r w:rsidR="00470540" w:rsidRPr="00470540">
              <w:rPr>
                <w:lang w:val="uk-UA"/>
              </w:rPr>
              <w:t>ли</w:t>
            </w:r>
            <w:r w:rsidR="00B37F2A" w:rsidRPr="00470540">
              <w:rPr>
                <w:lang w:val="uk-UA"/>
              </w:rPr>
              <w:t>ві</w:t>
            </w:r>
            <w:r w:rsidRPr="00470540">
              <w:rPr>
                <w:lang w:val="uk-UA"/>
              </w:rPr>
              <w:t>сть</w:t>
            </w:r>
          </w:p>
        </w:tc>
      </w:tr>
      <w:tr w:rsidR="00344D66" w:rsidRPr="00BC641F" w:rsidTr="00B37F2A">
        <w:tc>
          <w:tcPr>
            <w:tcW w:w="3681" w:type="dxa"/>
          </w:tcPr>
          <w:p w:rsidR="00344D66" w:rsidRPr="00BC641F" w:rsidRDefault="00344D66" w:rsidP="00B37F2A">
            <w:pPr>
              <w:autoSpaceDE w:val="0"/>
              <w:autoSpaceDN w:val="0"/>
              <w:adjustRightInd w:val="0"/>
              <w:rPr>
                <w:lang w:val="en-US"/>
              </w:rPr>
            </w:pPr>
            <w:r w:rsidRPr="00BC641F">
              <w:rPr>
                <w:lang w:val="en-US"/>
              </w:rPr>
              <w:t>1-specificity</w:t>
            </w:r>
          </w:p>
        </w:tc>
        <w:tc>
          <w:tcPr>
            <w:tcW w:w="5664" w:type="dxa"/>
          </w:tcPr>
          <w:p w:rsidR="00344D66" w:rsidRPr="00BC641F" w:rsidRDefault="00344D66" w:rsidP="00B37F2A">
            <w:pPr>
              <w:autoSpaceDE w:val="0"/>
              <w:autoSpaceDN w:val="0"/>
              <w:adjustRightInd w:val="0"/>
            </w:pPr>
            <w:r w:rsidRPr="00BC641F">
              <w:t>1-специф</w:t>
            </w:r>
            <w:r w:rsidR="00B37F2A">
              <w:rPr>
                <w:lang w:val="uk-UA"/>
              </w:rPr>
              <w:t>і</w:t>
            </w:r>
            <w:proofErr w:type="spellStart"/>
            <w:r w:rsidRPr="00BC641F">
              <w:t>чн</w:t>
            </w:r>
            <w:proofErr w:type="spellEnd"/>
            <w:r w:rsidR="00B37F2A">
              <w:rPr>
                <w:lang w:val="uk-UA"/>
              </w:rPr>
              <w:t>і</w:t>
            </w:r>
            <w:proofErr w:type="spellStart"/>
            <w:r w:rsidRPr="00BC641F">
              <w:t>сть</w:t>
            </w:r>
            <w:proofErr w:type="spellEnd"/>
          </w:p>
        </w:tc>
      </w:tr>
      <w:tr w:rsidR="00344D66" w:rsidRPr="00BC641F" w:rsidTr="00B37F2A">
        <w:tc>
          <w:tcPr>
            <w:tcW w:w="3681" w:type="dxa"/>
          </w:tcPr>
          <w:p w:rsidR="00344D66" w:rsidRPr="00BC641F" w:rsidRDefault="00344D66" w:rsidP="00B37F2A">
            <w:pPr>
              <w:autoSpaceDE w:val="0"/>
              <w:autoSpaceDN w:val="0"/>
              <w:adjustRightInd w:val="0"/>
            </w:pPr>
            <w:r w:rsidRPr="00BC641F">
              <w:rPr>
                <w:lang w:val="en-US"/>
              </w:rPr>
              <w:t>Risk score 1 with AUC</w:t>
            </w:r>
          </w:p>
        </w:tc>
        <w:tc>
          <w:tcPr>
            <w:tcW w:w="5664" w:type="dxa"/>
          </w:tcPr>
          <w:p w:rsidR="00344D66" w:rsidRPr="00BC641F" w:rsidRDefault="00B37F2A" w:rsidP="00B37F2A">
            <w:pPr>
              <w:autoSpaceDE w:val="0"/>
              <w:autoSpaceDN w:val="0"/>
              <w:adjustRightInd w:val="0"/>
            </w:pPr>
            <w:r w:rsidRPr="00B37F2A">
              <w:rPr>
                <w:rStyle w:val="TimesNewRoman7pt0pt"/>
                <w:rFonts w:eastAsia="Verdana"/>
                <w:color w:val="auto"/>
                <w:sz w:val="24"/>
                <w:szCs w:val="24"/>
                <w:lang w:val="uk-UA"/>
              </w:rPr>
              <w:t xml:space="preserve">Оцінка ризику </w:t>
            </w:r>
            <w:r w:rsidR="00344D66" w:rsidRPr="00B37F2A">
              <w:t>1</w:t>
            </w:r>
            <w:r w:rsidR="00AD6571">
              <w:rPr>
                <w:lang w:val="uk-UA"/>
              </w:rPr>
              <w:t xml:space="preserve"> </w:t>
            </w:r>
            <w:r>
              <w:rPr>
                <w:lang w:val="uk-UA"/>
              </w:rPr>
              <w:t>і</w:t>
            </w:r>
            <w:r w:rsidR="00344D66" w:rsidRPr="00BC641F">
              <w:t xml:space="preserve"> </w:t>
            </w:r>
            <w:r>
              <w:rPr>
                <w:lang w:val="uk-UA"/>
              </w:rPr>
              <w:t xml:space="preserve">з </w:t>
            </w:r>
            <w:r w:rsidR="00344D66" w:rsidRPr="00BC641F">
              <w:rPr>
                <w:lang w:val="en-US"/>
              </w:rPr>
              <w:t>AUC</w:t>
            </w:r>
            <w:r w:rsidR="00D70292" w:rsidRPr="00BC641F">
              <w:t xml:space="preserve"> (</w:t>
            </w:r>
            <w:r w:rsidR="00D70292" w:rsidRPr="00470540">
              <w:rPr>
                <w:lang w:val="uk-UA"/>
              </w:rPr>
              <w:t>площ</w:t>
            </w:r>
            <w:r w:rsidRPr="00470540">
              <w:rPr>
                <w:lang w:val="uk-UA"/>
              </w:rPr>
              <w:t>ею</w:t>
            </w:r>
            <w:r w:rsidR="00D70292" w:rsidRPr="00470540">
              <w:rPr>
                <w:lang w:val="uk-UA"/>
              </w:rPr>
              <w:t xml:space="preserve"> п</w:t>
            </w:r>
            <w:r w:rsidRPr="00470540">
              <w:rPr>
                <w:lang w:val="uk-UA"/>
              </w:rPr>
              <w:t>ід</w:t>
            </w:r>
            <w:r w:rsidR="00D70292" w:rsidRPr="00470540">
              <w:rPr>
                <w:lang w:val="uk-UA"/>
              </w:rPr>
              <w:t xml:space="preserve"> крив</w:t>
            </w:r>
            <w:r w:rsidRPr="00470540">
              <w:rPr>
                <w:lang w:val="uk-UA"/>
              </w:rPr>
              <w:t>ою</w:t>
            </w:r>
            <w:r w:rsidR="00D70292" w:rsidRPr="00BC641F">
              <w:t>)</w:t>
            </w:r>
          </w:p>
        </w:tc>
      </w:tr>
    </w:tbl>
    <w:p w:rsidR="00344D66" w:rsidRPr="00BC641F" w:rsidRDefault="00344D66" w:rsidP="005170AF">
      <w:pPr>
        <w:autoSpaceDE w:val="0"/>
        <w:autoSpaceDN w:val="0"/>
        <w:adjustRightInd w:val="0"/>
        <w:ind w:firstLine="709"/>
      </w:pPr>
    </w:p>
    <w:p w:rsidR="00B37F2A" w:rsidRPr="00B37F2A" w:rsidRDefault="00344D66" w:rsidP="005170AF">
      <w:pPr>
        <w:autoSpaceDE w:val="0"/>
        <w:autoSpaceDN w:val="0"/>
        <w:adjustRightInd w:val="0"/>
        <w:ind w:firstLine="709"/>
        <w:rPr>
          <w:lang w:val="uk-UA"/>
        </w:rPr>
      </w:pPr>
      <w:r w:rsidRPr="00BC641F">
        <w:t>Рис</w:t>
      </w:r>
      <w:r w:rsidR="0008366A" w:rsidRPr="00BC641F">
        <w:t>.</w:t>
      </w:r>
      <w:r w:rsidRPr="00BC641F">
        <w:t xml:space="preserve"> 2</w:t>
      </w:r>
      <w:r w:rsidR="002C4288" w:rsidRPr="00BC641F">
        <w:t>.</w:t>
      </w:r>
      <w:r w:rsidRPr="00BC641F">
        <w:t xml:space="preserve"> </w:t>
      </w:r>
      <w:r w:rsidR="00B37F2A" w:rsidRPr="00B37F2A">
        <w:rPr>
          <w:lang w:val="uk-UA"/>
        </w:rPr>
        <w:t>Площа під кривою і 95% довірчий інтервал в різні кінцеві точки часу для оцінки ризику в деривац</w:t>
      </w:r>
      <w:r w:rsidR="00B37F2A">
        <w:rPr>
          <w:lang w:val="uk-UA"/>
        </w:rPr>
        <w:t>ійні</w:t>
      </w:r>
      <w:r w:rsidR="00B37F2A" w:rsidRPr="00B37F2A">
        <w:rPr>
          <w:lang w:val="uk-UA"/>
        </w:rPr>
        <w:t xml:space="preserve">й і </w:t>
      </w:r>
      <w:proofErr w:type="spellStart"/>
      <w:r w:rsidR="00B37F2A" w:rsidRPr="00B37F2A">
        <w:rPr>
          <w:lang w:val="uk-UA"/>
        </w:rPr>
        <w:t>валідаційн</w:t>
      </w:r>
      <w:r w:rsidR="00B37F2A">
        <w:rPr>
          <w:lang w:val="uk-UA"/>
        </w:rPr>
        <w:t>ій</w:t>
      </w:r>
      <w:proofErr w:type="spellEnd"/>
      <w:r w:rsidR="00B37F2A" w:rsidRPr="00B37F2A">
        <w:rPr>
          <w:lang w:val="uk-UA"/>
        </w:rPr>
        <w:t xml:space="preserve"> когортах. Дані представлені у вигляді площі під кривою (95% довірчий інтервал). A: Оцінки ризику 1 і 2 для прогнозування захворюваності </w:t>
      </w:r>
      <w:r w:rsidR="005960AD">
        <w:rPr>
          <w:lang w:val="uk-UA"/>
        </w:rPr>
        <w:t xml:space="preserve">на </w:t>
      </w:r>
      <w:r w:rsidR="00B37F2A" w:rsidRPr="00B37F2A">
        <w:rPr>
          <w:lang w:val="uk-UA"/>
        </w:rPr>
        <w:t xml:space="preserve">ХП через 3 роки в </w:t>
      </w:r>
      <w:r w:rsidR="005960AD" w:rsidRPr="00B37F2A">
        <w:rPr>
          <w:lang w:val="uk-UA"/>
        </w:rPr>
        <w:t>деривац</w:t>
      </w:r>
      <w:r w:rsidR="005960AD">
        <w:rPr>
          <w:lang w:val="uk-UA"/>
        </w:rPr>
        <w:t>ійні</w:t>
      </w:r>
      <w:r w:rsidR="005960AD" w:rsidRPr="00B37F2A">
        <w:rPr>
          <w:lang w:val="uk-UA"/>
        </w:rPr>
        <w:t>й</w:t>
      </w:r>
      <w:r w:rsidR="00B37F2A" w:rsidRPr="00B37F2A">
        <w:rPr>
          <w:lang w:val="uk-UA"/>
        </w:rPr>
        <w:t xml:space="preserve"> когорт</w:t>
      </w:r>
      <w:r w:rsidR="005960AD">
        <w:rPr>
          <w:lang w:val="uk-UA"/>
        </w:rPr>
        <w:t>і</w:t>
      </w:r>
      <w:r w:rsidR="00B37F2A" w:rsidRPr="00B37F2A">
        <w:rPr>
          <w:lang w:val="uk-UA"/>
        </w:rPr>
        <w:t xml:space="preserve">. B: Оцінки ризику 1 і 2 для прогнозування захворюваності </w:t>
      </w:r>
      <w:r w:rsidR="005960AD">
        <w:rPr>
          <w:lang w:val="uk-UA"/>
        </w:rPr>
        <w:t xml:space="preserve">на </w:t>
      </w:r>
      <w:r w:rsidR="00B37F2A" w:rsidRPr="00B37F2A">
        <w:rPr>
          <w:lang w:val="uk-UA"/>
        </w:rPr>
        <w:t xml:space="preserve">ХП через 5 років в </w:t>
      </w:r>
      <w:r w:rsidR="005960AD" w:rsidRPr="00B37F2A">
        <w:rPr>
          <w:lang w:val="uk-UA"/>
        </w:rPr>
        <w:t>деривац</w:t>
      </w:r>
      <w:r w:rsidR="005960AD">
        <w:rPr>
          <w:lang w:val="uk-UA"/>
        </w:rPr>
        <w:t>ійні</w:t>
      </w:r>
      <w:r w:rsidR="005960AD" w:rsidRPr="00B37F2A">
        <w:rPr>
          <w:lang w:val="uk-UA"/>
        </w:rPr>
        <w:t>й когорт</w:t>
      </w:r>
      <w:r w:rsidR="005960AD">
        <w:rPr>
          <w:lang w:val="uk-UA"/>
        </w:rPr>
        <w:t>і</w:t>
      </w:r>
      <w:r w:rsidR="00B37F2A" w:rsidRPr="00B37F2A">
        <w:rPr>
          <w:lang w:val="uk-UA"/>
        </w:rPr>
        <w:t xml:space="preserve">. C: Оцінки ризику 1 і 2 для прогнозування загальної захворюваності </w:t>
      </w:r>
      <w:r w:rsidR="005960AD">
        <w:rPr>
          <w:lang w:val="uk-UA"/>
        </w:rPr>
        <w:t xml:space="preserve">на </w:t>
      </w:r>
      <w:r w:rsidR="00B37F2A" w:rsidRPr="00B37F2A">
        <w:rPr>
          <w:lang w:val="uk-UA"/>
        </w:rPr>
        <w:t xml:space="preserve">ХП в </w:t>
      </w:r>
      <w:r w:rsidR="005960AD" w:rsidRPr="00B37F2A">
        <w:rPr>
          <w:lang w:val="uk-UA"/>
        </w:rPr>
        <w:t>деривац</w:t>
      </w:r>
      <w:r w:rsidR="005960AD">
        <w:rPr>
          <w:lang w:val="uk-UA"/>
        </w:rPr>
        <w:t>ійні</w:t>
      </w:r>
      <w:r w:rsidR="005960AD" w:rsidRPr="00B37F2A">
        <w:rPr>
          <w:lang w:val="uk-UA"/>
        </w:rPr>
        <w:t>й когорт</w:t>
      </w:r>
      <w:r w:rsidR="005960AD">
        <w:rPr>
          <w:lang w:val="uk-UA"/>
        </w:rPr>
        <w:t>і</w:t>
      </w:r>
      <w:r w:rsidR="00B37F2A" w:rsidRPr="00B37F2A">
        <w:rPr>
          <w:lang w:val="uk-UA"/>
        </w:rPr>
        <w:t xml:space="preserve">. D: Оцінки ризику 1 і 2 для прогнозування захворюваності </w:t>
      </w:r>
      <w:r w:rsidR="005960AD">
        <w:rPr>
          <w:lang w:val="uk-UA"/>
        </w:rPr>
        <w:t xml:space="preserve">на </w:t>
      </w:r>
      <w:r w:rsidR="00B37F2A" w:rsidRPr="00B37F2A">
        <w:rPr>
          <w:lang w:val="uk-UA"/>
        </w:rPr>
        <w:t xml:space="preserve">ХП через 3 роки </w:t>
      </w:r>
      <w:r w:rsidR="005960AD">
        <w:rPr>
          <w:lang w:val="uk-UA"/>
        </w:rPr>
        <w:t>у</w:t>
      </w:r>
      <w:r w:rsidR="00B37F2A" w:rsidRPr="00B37F2A">
        <w:rPr>
          <w:lang w:val="uk-UA"/>
        </w:rPr>
        <w:t xml:space="preserve"> </w:t>
      </w:r>
      <w:proofErr w:type="spellStart"/>
      <w:r w:rsidR="005960AD" w:rsidRPr="00B37F2A">
        <w:rPr>
          <w:lang w:val="uk-UA"/>
        </w:rPr>
        <w:t>валідаційн</w:t>
      </w:r>
      <w:r w:rsidR="005960AD">
        <w:rPr>
          <w:lang w:val="uk-UA"/>
        </w:rPr>
        <w:t>ій</w:t>
      </w:r>
      <w:proofErr w:type="spellEnd"/>
      <w:r w:rsidR="005960AD" w:rsidRPr="00B37F2A">
        <w:rPr>
          <w:lang w:val="uk-UA"/>
        </w:rPr>
        <w:t xml:space="preserve"> </w:t>
      </w:r>
      <w:r w:rsidR="00B37F2A" w:rsidRPr="00B37F2A">
        <w:rPr>
          <w:lang w:val="uk-UA"/>
        </w:rPr>
        <w:t>когорт</w:t>
      </w:r>
      <w:r w:rsidR="005960AD">
        <w:rPr>
          <w:lang w:val="uk-UA"/>
        </w:rPr>
        <w:t>і</w:t>
      </w:r>
      <w:r w:rsidR="00B37F2A" w:rsidRPr="00B37F2A">
        <w:rPr>
          <w:lang w:val="uk-UA"/>
        </w:rPr>
        <w:t xml:space="preserve">. E: Оцінки ризику 1 і 2 для прогнозування захворюваності </w:t>
      </w:r>
      <w:r w:rsidR="005960AD">
        <w:rPr>
          <w:lang w:val="uk-UA"/>
        </w:rPr>
        <w:t xml:space="preserve">на </w:t>
      </w:r>
      <w:r w:rsidR="00B37F2A" w:rsidRPr="00B37F2A">
        <w:rPr>
          <w:lang w:val="uk-UA"/>
        </w:rPr>
        <w:t xml:space="preserve">ХП через 5 років </w:t>
      </w:r>
      <w:r w:rsidR="005960AD">
        <w:rPr>
          <w:lang w:val="uk-UA"/>
        </w:rPr>
        <w:t>у</w:t>
      </w:r>
      <w:r w:rsidR="005960AD" w:rsidRPr="00B37F2A">
        <w:rPr>
          <w:lang w:val="uk-UA"/>
        </w:rPr>
        <w:t xml:space="preserve"> </w:t>
      </w:r>
      <w:proofErr w:type="spellStart"/>
      <w:r w:rsidR="005960AD" w:rsidRPr="00B37F2A">
        <w:rPr>
          <w:lang w:val="uk-UA"/>
        </w:rPr>
        <w:t>валідаційн</w:t>
      </w:r>
      <w:r w:rsidR="005960AD">
        <w:rPr>
          <w:lang w:val="uk-UA"/>
        </w:rPr>
        <w:t>ій</w:t>
      </w:r>
      <w:proofErr w:type="spellEnd"/>
      <w:r w:rsidR="005960AD" w:rsidRPr="00B37F2A">
        <w:rPr>
          <w:lang w:val="uk-UA"/>
        </w:rPr>
        <w:t xml:space="preserve"> когорт</w:t>
      </w:r>
      <w:r w:rsidR="005960AD">
        <w:rPr>
          <w:lang w:val="uk-UA"/>
        </w:rPr>
        <w:t>і</w:t>
      </w:r>
      <w:r w:rsidR="00B37F2A" w:rsidRPr="00B37F2A">
        <w:rPr>
          <w:lang w:val="uk-UA"/>
        </w:rPr>
        <w:t xml:space="preserve">. F: Оцінки ризику 1 і 2 для прогнозування загальної захворюваності </w:t>
      </w:r>
      <w:r w:rsidR="005960AD">
        <w:rPr>
          <w:lang w:val="uk-UA"/>
        </w:rPr>
        <w:t xml:space="preserve">на </w:t>
      </w:r>
      <w:r w:rsidR="00B37F2A" w:rsidRPr="00B37F2A">
        <w:rPr>
          <w:lang w:val="uk-UA"/>
        </w:rPr>
        <w:t xml:space="preserve">ХП </w:t>
      </w:r>
      <w:r w:rsidR="005960AD">
        <w:rPr>
          <w:lang w:val="uk-UA"/>
        </w:rPr>
        <w:t>у</w:t>
      </w:r>
      <w:r w:rsidR="005960AD" w:rsidRPr="00B37F2A">
        <w:rPr>
          <w:lang w:val="uk-UA"/>
        </w:rPr>
        <w:t xml:space="preserve"> </w:t>
      </w:r>
      <w:proofErr w:type="spellStart"/>
      <w:r w:rsidR="005960AD" w:rsidRPr="00B37F2A">
        <w:rPr>
          <w:lang w:val="uk-UA"/>
        </w:rPr>
        <w:t>валідаційн</w:t>
      </w:r>
      <w:r w:rsidR="005960AD">
        <w:rPr>
          <w:lang w:val="uk-UA"/>
        </w:rPr>
        <w:t>ій</w:t>
      </w:r>
      <w:proofErr w:type="spellEnd"/>
      <w:r w:rsidR="005960AD" w:rsidRPr="00B37F2A">
        <w:rPr>
          <w:lang w:val="uk-UA"/>
        </w:rPr>
        <w:t xml:space="preserve"> когорт</w:t>
      </w:r>
      <w:r w:rsidR="005960AD">
        <w:rPr>
          <w:lang w:val="uk-UA"/>
        </w:rPr>
        <w:t>і</w:t>
      </w:r>
      <w:r w:rsidR="00B37F2A" w:rsidRPr="00B37F2A">
        <w:rPr>
          <w:lang w:val="uk-UA"/>
        </w:rPr>
        <w:t>. AUC: площа під кривою; ROC: робоча характер</w:t>
      </w:r>
      <w:r w:rsidR="00470540">
        <w:rPr>
          <w:lang w:val="uk-UA"/>
        </w:rPr>
        <w:t>н</w:t>
      </w:r>
      <w:r w:rsidR="005960AD">
        <w:rPr>
          <w:lang w:val="uk-UA"/>
        </w:rPr>
        <w:t>а</w:t>
      </w:r>
      <w:r w:rsidR="00B37F2A" w:rsidRPr="00B37F2A">
        <w:rPr>
          <w:lang w:val="uk-UA"/>
        </w:rPr>
        <w:t xml:space="preserve"> крива.</w:t>
      </w:r>
    </w:p>
    <w:p w:rsidR="00B37F2A" w:rsidRPr="00B37F2A" w:rsidRDefault="00B37F2A" w:rsidP="005170AF">
      <w:pPr>
        <w:autoSpaceDE w:val="0"/>
        <w:autoSpaceDN w:val="0"/>
        <w:adjustRightInd w:val="0"/>
        <w:ind w:firstLine="709"/>
        <w:rPr>
          <w:lang w:val="uk-UA"/>
        </w:rPr>
      </w:pPr>
    </w:p>
    <w:p w:rsidR="00302860" w:rsidRPr="00BC641F" w:rsidRDefault="00302860" w:rsidP="005960AD">
      <w:pPr>
        <w:autoSpaceDE w:val="0"/>
        <w:autoSpaceDN w:val="0"/>
        <w:adjustRightInd w:val="0"/>
        <w:jc w:val="left"/>
      </w:pPr>
      <w:r w:rsidRPr="00BC641F">
        <w:rPr>
          <w:noProof/>
          <w:lang w:eastAsia="zh-CN"/>
        </w:rPr>
        <w:lastRenderedPageBreak/>
        <w:drawing>
          <wp:inline distT="0" distB="0" distL="0" distR="0" wp14:anchorId="6E5D9AC2" wp14:editId="1806EA02">
            <wp:extent cx="5940425" cy="2424017"/>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424017"/>
                    </a:xfrm>
                    <a:prstGeom prst="rect">
                      <a:avLst/>
                    </a:prstGeom>
                    <a:noFill/>
                    <a:ln>
                      <a:noFill/>
                    </a:ln>
                  </pic:spPr>
                </pic:pic>
              </a:graphicData>
            </a:graphic>
          </wp:inline>
        </w:drawing>
      </w:r>
      <w:r w:rsidR="009B4801" w:rsidRPr="00BC641F">
        <w:t>Прим</w:t>
      </w:r>
      <w:proofErr w:type="spellStart"/>
      <w:r w:rsidR="005960AD">
        <w:rPr>
          <w:lang w:val="uk-UA"/>
        </w:rPr>
        <w:t>ітка</w:t>
      </w:r>
      <w:proofErr w:type="spellEnd"/>
      <w:r w:rsidR="009B4801" w:rsidRPr="00BC641F">
        <w:t>:</w:t>
      </w:r>
    </w:p>
    <w:tbl>
      <w:tblPr>
        <w:tblStyle w:val="a7"/>
        <w:tblW w:w="0" w:type="auto"/>
        <w:tblLook w:val="04A0" w:firstRow="1" w:lastRow="0" w:firstColumn="1" w:lastColumn="0" w:noHBand="0" w:noVBand="1"/>
      </w:tblPr>
      <w:tblGrid>
        <w:gridCol w:w="4668"/>
        <w:gridCol w:w="4677"/>
      </w:tblGrid>
      <w:tr w:rsidR="00302860" w:rsidRPr="00BC641F" w:rsidTr="00302860">
        <w:tc>
          <w:tcPr>
            <w:tcW w:w="4785" w:type="dxa"/>
          </w:tcPr>
          <w:p w:rsidR="00302860" w:rsidRPr="00BC641F" w:rsidRDefault="00302860" w:rsidP="005960AD">
            <w:pPr>
              <w:autoSpaceDE w:val="0"/>
              <w:autoSpaceDN w:val="0"/>
              <w:adjustRightInd w:val="0"/>
              <w:rPr>
                <w:lang w:val="en-US"/>
              </w:rPr>
            </w:pPr>
            <w:r w:rsidRPr="00BC641F">
              <w:rPr>
                <w:lang w:val="en-US"/>
              </w:rPr>
              <w:t>The incidence rate (per 1000 person-year)</w:t>
            </w:r>
          </w:p>
        </w:tc>
        <w:tc>
          <w:tcPr>
            <w:tcW w:w="4786" w:type="dxa"/>
          </w:tcPr>
          <w:p w:rsidR="00302860" w:rsidRPr="005960AD" w:rsidRDefault="00302860" w:rsidP="005960AD">
            <w:pPr>
              <w:autoSpaceDE w:val="0"/>
              <w:autoSpaceDN w:val="0"/>
              <w:adjustRightInd w:val="0"/>
              <w:rPr>
                <w:lang w:val="uk-UA"/>
              </w:rPr>
            </w:pPr>
            <w:r w:rsidRPr="005960AD">
              <w:rPr>
                <w:lang w:val="uk-UA"/>
              </w:rPr>
              <w:t>Частота (на 100</w:t>
            </w:r>
            <w:r w:rsidR="00C95C81" w:rsidRPr="005960AD">
              <w:rPr>
                <w:lang w:val="uk-UA"/>
              </w:rPr>
              <w:t>0</w:t>
            </w:r>
            <w:r w:rsidRPr="005960AD">
              <w:rPr>
                <w:lang w:val="uk-UA"/>
              </w:rPr>
              <w:t xml:space="preserve"> </w:t>
            </w:r>
            <w:proofErr w:type="spellStart"/>
            <w:r w:rsidRPr="005960AD">
              <w:rPr>
                <w:lang w:val="uk-UA"/>
              </w:rPr>
              <w:t>пац</w:t>
            </w:r>
            <w:r w:rsidR="005960AD" w:rsidRPr="005960AD">
              <w:rPr>
                <w:lang w:val="uk-UA"/>
              </w:rPr>
              <w:t>ієнто</w:t>
            </w:r>
            <w:proofErr w:type="spellEnd"/>
            <w:r w:rsidRPr="005960AD">
              <w:rPr>
                <w:lang w:val="uk-UA"/>
              </w:rPr>
              <w:t>-</w:t>
            </w:r>
            <w:r w:rsidR="005960AD" w:rsidRPr="005960AD">
              <w:rPr>
                <w:lang w:val="uk-UA"/>
              </w:rPr>
              <w:t>років</w:t>
            </w:r>
            <w:r w:rsidRPr="005960AD">
              <w:rPr>
                <w:lang w:val="uk-UA"/>
              </w:rPr>
              <w:t>)</w:t>
            </w:r>
          </w:p>
        </w:tc>
      </w:tr>
      <w:tr w:rsidR="00302860" w:rsidRPr="00BC641F" w:rsidTr="00302860">
        <w:tc>
          <w:tcPr>
            <w:tcW w:w="4785" w:type="dxa"/>
          </w:tcPr>
          <w:p w:rsidR="00302860" w:rsidRPr="00BC641F" w:rsidRDefault="00302860" w:rsidP="005960AD">
            <w:pPr>
              <w:autoSpaceDE w:val="0"/>
              <w:autoSpaceDN w:val="0"/>
              <w:adjustRightInd w:val="0"/>
              <w:rPr>
                <w:lang w:val="en-US"/>
              </w:rPr>
            </w:pPr>
            <w:r w:rsidRPr="00BC641F">
              <w:rPr>
                <w:lang w:val="en-US"/>
              </w:rPr>
              <w:t>Derivation cohort</w:t>
            </w:r>
          </w:p>
        </w:tc>
        <w:tc>
          <w:tcPr>
            <w:tcW w:w="4786" w:type="dxa"/>
          </w:tcPr>
          <w:p w:rsidR="00302860" w:rsidRPr="005960AD" w:rsidRDefault="00302860" w:rsidP="005960AD">
            <w:pPr>
              <w:autoSpaceDE w:val="0"/>
              <w:autoSpaceDN w:val="0"/>
              <w:adjustRightInd w:val="0"/>
              <w:rPr>
                <w:lang w:val="uk-UA"/>
              </w:rPr>
            </w:pPr>
            <w:r w:rsidRPr="005960AD">
              <w:rPr>
                <w:lang w:val="uk-UA"/>
              </w:rPr>
              <w:t>Деривац</w:t>
            </w:r>
            <w:r w:rsidR="005960AD" w:rsidRPr="005960AD">
              <w:rPr>
                <w:lang w:val="uk-UA"/>
              </w:rPr>
              <w:t>ійна</w:t>
            </w:r>
            <w:r w:rsidRPr="005960AD">
              <w:rPr>
                <w:lang w:val="uk-UA"/>
              </w:rPr>
              <w:t xml:space="preserve"> когорта</w:t>
            </w:r>
            <w:r w:rsidR="007A4188" w:rsidRPr="005960AD">
              <w:rPr>
                <w:lang w:val="uk-UA"/>
              </w:rPr>
              <w:t xml:space="preserve"> </w:t>
            </w:r>
          </w:p>
        </w:tc>
      </w:tr>
      <w:tr w:rsidR="00302860" w:rsidRPr="00BC641F" w:rsidTr="00302860">
        <w:tc>
          <w:tcPr>
            <w:tcW w:w="4785" w:type="dxa"/>
          </w:tcPr>
          <w:p w:rsidR="00302860" w:rsidRPr="00BC641F" w:rsidRDefault="00302860" w:rsidP="005960AD">
            <w:pPr>
              <w:autoSpaceDE w:val="0"/>
              <w:autoSpaceDN w:val="0"/>
              <w:adjustRightInd w:val="0"/>
              <w:rPr>
                <w:lang w:val="en-US"/>
              </w:rPr>
            </w:pPr>
            <w:r w:rsidRPr="00BC641F">
              <w:rPr>
                <w:lang w:val="en-US"/>
              </w:rPr>
              <w:t>Validation cohort</w:t>
            </w:r>
          </w:p>
        </w:tc>
        <w:tc>
          <w:tcPr>
            <w:tcW w:w="4786" w:type="dxa"/>
          </w:tcPr>
          <w:p w:rsidR="00302860" w:rsidRPr="005960AD" w:rsidRDefault="00302860" w:rsidP="005960AD">
            <w:pPr>
              <w:autoSpaceDE w:val="0"/>
              <w:autoSpaceDN w:val="0"/>
              <w:adjustRightInd w:val="0"/>
              <w:rPr>
                <w:lang w:val="uk-UA"/>
              </w:rPr>
            </w:pPr>
            <w:proofErr w:type="spellStart"/>
            <w:r w:rsidRPr="005960AD">
              <w:rPr>
                <w:lang w:val="uk-UA"/>
              </w:rPr>
              <w:t>Вал</w:t>
            </w:r>
            <w:r w:rsidR="005960AD" w:rsidRPr="005960AD">
              <w:rPr>
                <w:lang w:val="uk-UA"/>
              </w:rPr>
              <w:t>ідаційна</w:t>
            </w:r>
            <w:proofErr w:type="spellEnd"/>
            <w:r w:rsidRPr="005960AD">
              <w:rPr>
                <w:lang w:val="uk-UA"/>
              </w:rPr>
              <w:t xml:space="preserve"> когорта</w:t>
            </w:r>
          </w:p>
        </w:tc>
      </w:tr>
      <w:tr w:rsidR="00302860" w:rsidRPr="00BC641F" w:rsidTr="00302860">
        <w:tc>
          <w:tcPr>
            <w:tcW w:w="4785" w:type="dxa"/>
          </w:tcPr>
          <w:p w:rsidR="00302860" w:rsidRPr="00BC641F" w:rsidRDefault="00302860" w:rsidP="005960AD">
            <w:pPr>
              <w:autoSpaceDE w:val="0"/>
              <w:autoSpaceDN w:val="0"/>
              <w:adjustRightInd w:val="0"/>
              <w:rPr>
                <w:lang w:val="en-US"/>
              </w:rPr>
            </w:pPr>
            <w:r w:rsidRPr="00BC641F">
              <w:rPr>
                <w:lang w:val="en-US"/>
              </w:rPr>
              <w:t>Total</w:t>
            </w:r>
          </w:p>
        </w:tc>
        <w:tc>
          <w:tcPr>
            <w:tcW w:w="4786" w:type="dxa"/>
          </w:tcPr>
          <w:p w:rsidR="00302860" w:rsidRPr="005960AD" w:rsidRDefault="00302860" w:rsidP="005960AD">
            <w:pPr>
              <w:autoSpaceDE w:val="0"/>
              <w:autoSpaceDN w:val="0"/>
              <w:adjustRightInd w:val="0"/>
              <w:rPr>
                <w:lang w:val="uk-UA"/>
              </w:rPr>
            </w:pPr>
            <w:r w:rsidRPr="005960AD">
              <w:rPr>
                <w:lang w:val="uk-UA"/>
              </w:rPr>
              <w:t>Вс</w:t>
            </w:r>
            <w:r w:rsidR="005960AD" w:rsidRPr="005960AD">
              <w:rPr>
                <w:lang w:val="uk-UA"/>
              </w:rPr>
              <w:t>ьо</w:t>
            </w:r>
            <w:r w:rsidRPr="005960AD">
              <w:rPr>
                <w:lang w:val="uk-UA"/>
              </w:rPr>
              <w:t>го</w:t>
            </w:r>
          </w:p>
        </w:tc>
      </w:tr>
      <w:tr w:rsidR="00302860" w:rsidRPr="00BC641F" w:rsidTr="00302860">
        <w:tc>
          <w:tcPr>
            <w:tcW w:w="4785" w:type="dxa"/>
          </w:tcPr>
          <w:p w:rsidR="00302860" w:rsidRPr="00BC641F" w:rsidRDefault="00302860" w:rsidP="005960AD">
            <w:pPr>
              <w:autoSpaceDE w:val="0"/>
              <w:autoSpaceDN w:val="0"/>
              <w:adjustRightInd w:val="0"/>
              <w:rPr>
                <w:lang w:val="en-US"/>
              </w:rPr>
            </w:pPr>
            <w:r w:rsidRPr="00BC641F">
              <w:rPr>
                <w:lang w:val="en-US"/>
              </w:rPr>
              <w:t>Low</w:t>
            </w:r>
          </w:p>
        </w:tc>
        <w:tc>
          <w:tcPr>
            <w:tcW w:w="4786" w:type="dxa"/>
          </w:tcPr>
          <w:p w:rsidR="00302860" w:rsidRPr="005960AD" w:rsidRDefault="00302860" w:rsidP="005960AD">
            <w:pPr>
              <w:autoSpaceDE w:val="0"/>
              <w:autoSpaceDN w:val="0"/>
              <w:adjustRightInd w:val="0"/>
              <w:rPr>
                <w:lang w:val="uk-UA"/>
              </w:rPr>
            </w:pPr>
            <w:r w:rsidRPr="005960AD">
              <w:rPr>
                <w:lang w:val="uk-UA"/>
              </w:rPr>
              <w:t>Низ</w:t>
            </w:r>
            <w:r w:rsidR="005960AD" w:rsidRPr="005960AD">
              <w:rPr>
                <w:lang w:val="uk-UA"/>
              </w:rPr>
              <w:t>ь</w:t>
            </w:r>
            <w:r w:rsidRPr="005960AD">
              <w:rPr>
                <w:lang w:val="uk-UA"/>
              </w:rPr>
              <w:t>к</w:t>
            </w:r>
            <w:r w:rsidR="005960AD" w:rsidRPr="005960AD">
              <w:rPr>
                <w:lang w:val="uk-UA"/>
              </w:rPr>
              <w:t>ий</w:t>
            </w:r>
          </w:p>
        </w:tc>
      </w:tr>
      <w:tr w:rsidR="00302860" w:rsidRPr="00BC641F" w:rsidTr="00302860">
        <w:tc>
          <w:tcPr>
            <w:tcW w:w="4785" w:type="dxa"/>
          </w:tcPr>
          <w:p w:rsidR="00302860" w:rsidRPr="00BC641F" w:rsidRDefault="00302860" w:rsidP="005960AD">
            <w:pPr>
              <w:autoSpaceDE w:val="0"/>
              <w:autoSpaceDN w:val="0"/>
              <w:adjustRightInd w:val="0"/>
              <w:rPr>
                <w:lang w:val="en-US"/>
              </w:rPr>
            </w:pPr>
            <w:r w:rsidRPr="00BC641F">
              <w:rPr>
                <w:lang w:val="en-US"/>
              </w:rPr>
              <w:t>Moderate</w:t>
            </w:r>
          </w:p>
        </w:tc>
        <w:tc>
          <w:tcPr>
            <w:tcW w:w="4786" w:type="dxa"/>
          </w:tcPr>
          <w:p w:rsidR="00302860" w:rsidRPr="005960AD" w:rsidRDefault="005960AD" w:rsidP="005960AD">
            <w:pPr>
              <w:autoSpaceDE w:val="0"/>
              <w:autoSpaceDN w:val="0"/>
              <w:adjustRightInd w:val="0"/>
              <w:rPr>
                <w:lang w:val="uk-UA"/>
              </w:rPr>
            </w:pPr>
            <w:r w:rsidRPr="005960AD">
              <w:rPr>
                <w:lang w:val="uk-UA"/>
              </w:rPr>
              <w:t>Помірний</w:t>
            </w:r>
          </w:p>
        </w:tc>
      </w:tr>
      <w:tr w:rsidR="00302860" w:rsidRPr="00BC641F" w:rsidTr="00302860">
        <w:tc>
          <w:tcPr>
            <w:tcW w:w="4785" w:type="dxa"/>
          </w:tcPr>
          <w:p w:rsidR="00302860" w:rsidRPr="00BC641F" w:rsidRDefault="00302860" w:rsidP="005960AD">
            <w:pPr>
              <w:autoSpaceDE w:val="0"/>
              <w:autoSpaceDN w:val="0"/>
              <w:adjustRightInd w:val="0"/>
              <w:rPr>
                <w:lang w:val="en-US"/>
              </w:rPr>
            </w:pPr>
            <w:r w:rsidRPr="00BC641F">
              <w:rPr>
                <w:lang w:val="en-US"/>
              </w:rPr>
              <w:t>High</w:t>
            </w:r>
          </w:p>
        </w:tc>
        <w:tc>
          <w:tcPr>
            <w:tcW w:w="4786" w:type="dxa"/>
          </w:tcPr>
          <w:p w:rsidR="00302860" w:rsidRPr="005960AD" w:rsidRDefault="00302860" w:rsidP="005960AD">
            <w:pPr>
              <w:autoSpaceDE w:val="0"/>
              <w:autoSpaceDN w:val="0"/>
              <w:adjustRightInd w:val="0"/>
              <w:rPr>
                <w:lang w:val="uk-UA"/>
              </w:rPr>
            </w:pPr>
            <w:r w:rsidRPr="005960AD">
              <w:rPr>
                <w:lang w:val="uk-UA"/>
              </w:rPr>
              <w:t>В</w:t>
            </w:r>
            <w:r w:rsidR="005960AD" w:rsidRPr="005960AD">
              <w:rPr>
                <w:lang w:val="uk-UA"/>
              </w:rPr>
              <w:t>и</w:t>
            </w:r>
            <w:r w:rsidRPr="005960AD">
              <w:rPr>
                <w:lang w:val="uk-UA"/>
              </w:rPr>
              <w:t>сокий</w:t>
            </w:r>
          </w:p>
        </w:tc>
      </w:tr>
      <w:tr w:rsidR="00302860" w:rsidRPr="00BC641F" w:rsidTr="00302860">
        <w:tc>
          <w:tcPr>
            <w:tcW w:w="4785" w:type="dxa"/>
          </w:tcPr>
          <w:p w:rsidR="00302860" w:rsidRPr="00BC641F" w:rsidRDefault="00302860" w:rsidP="005960AD">
            <w:pPr>
              <w:autoSpaceDE w:val="0"/>
              <w:autoSpaceDN w:val="0"/>
              <w:adjustRightInd w:val="0"/>
              <w:rPr>
                <w:lang w:val="en-US"/>
              </w:rPr>
            </w:pPr>
            <w:r w:rsidRPr="00BC641F">
              <w:rPr>
                <w:lang w:val="en-US"/>
              </w:rPr>
              <w:t>points</w:t>
            </w:r>
          </w:p>
        </w:tc>
        <w:tc>
          <w:tcPr>
            <w:tcW w:w="4786" w:type="dxa"/>
          </w:tcPr>
          <w:p w:rsidR="00302860" w:rsidRPr="005960AD" w:rsidRDefault="00302860" w:rsidP="005960AD">
            <w:pPr>
              <w:autoSpaceDE w:val="0"/>
              <w:autoSpaceDN w:val="0"/>
              <w:adjustRightInd w:val="0"/>
              <w:rPr>
                <w:lang w:val="uk-UA"/>
              </w:rPr>
            </w:pPr>
            <w:r w:rsidRPr="005960AD">
              <w:rPr>
                <w:lang w:val="uk-UA"/>
              </w:rPr>
              <w:t>бал</w:t>
            </w:r>
            <w:r w:rsidR="005960AD" w:rsidRPr="005960AD">
              <w:rPr>
                <w:lang w:val="uk-UA"/>
              </w:rPr>
              <w:t>і</w:t>
            </w:r>
            <w:r w:rsidRPr="005960AD">
              <w:rPr>
                <w:lang w:val="uk-UA"/>
              </w:rPr>
              <w:t>в</w:t>
            </w:r>
          </w:p>
        </w:tc>
      </w:tr>
      <w:tr w:rsidR="00302860" w:rsidRPr="00BC641F" w:rsidTr="00302860">
        <w:tc>
          <w:tcPr>
            <w:tcW w:w="4785" w:type="dxa"/>
          </w:tcPr>
          <w:p w:rsidR="00302860" w:rsidRPr="00BC641F" w:rsidRDefault="00302860" w:rsidP="005960AD">
            <w:pPr>
              <w:autoSpaceDE w:val="0"/>
              <w:autoSpaceDN w:val="0"/>
              <w:adjustRightInd w:val="0"/>
              <w:rPr>
                <w:lang w:val="en-US"/>
              </w:rPr>
            </w:pPr>
            <w:r w:rsidRPr="00BC641F">
              <w:rPr>
                <w:lang w:val="en-US"/>
              </w:rPr>
              <w:t>Risk category</w:t>
            </w:r>
          </w:p>
        </w:tc>
        <w:tc>
          <w:tcPr>
            <w:tcW w:w="4786" w:type="dxa"/>
          </w:tcPr>
          <w:p w:rsidR="00302860" w:rsidRPr="005960AD" w:rsidRDefault="00302860" w:rsidP="005960AD">
            <w:pPr>
              <w:autoSpaceDE w:val="0"/>
              <w:autoSpaceDN w:val="0"/>
              <w:adjustRightInd w:val="0"/>
              <w:rPr>
                <w:lang w:val="uk-UA"/>
              </w:rPr>
            </w:pPr>
            <w:r w:rsidRPr="005960AD">
              <w:rPr>
                <w:lang w:val="uk-UA"/>
              </w:rPr>
              <w:t>Категор</w:t>
            </w:r>
            <w:r w:rsidR="005960AD" w:rsidRPr="005960AD">
              <w:rPr>
                <w:lang w:val="uk-UA"/>
              </w:rPr>
              <w:t>і</w:t>
            </w:r>
            <w:r w:rsidRPr="005960AD">
              <w:rPr>
                <w:lang w:val="uk-UA"/>
              </w:rPr>
              <w:t>я ри</w:t>
            </w:r>
            <w:r w:rsidR="005960AD" w:rsidRPr="005960AD">
              <w:rPr>
                <w:lang w:val="uk-UA"/>
              </w:rPr>
              <w:t>зику</w:t>
            </w:r>
          </w:p>
        </w:tc>
      </w:tr>
    </w:tbl>
    <w:p w:rsidR="005960AD" w:rsidRDefault="005960AD" w:rsidP="005170AF">
      <w:pPr>
        <w:autoSpaceDE w:val="0"/>
        <w:autoSpaceDN w:val="0"/>
        <w:adjustRightInd w:val="0"/>
        <w:ind w:firstLine="709"/>
      </w:pPr>
    </w:p>
    <w:p w:rsidR="00302860" w:rsidRPr="005960AD" w:rsidRDefault="00302860" w:rsidP="005960AD">
      <w:pPr>
        <w:autoSpaceDE w:val="0"/>
        <w:autoSpaceDN w:val="0"/>
        <w:adjustRightInd w:val="0"/>
        <w:rPr>
          <w:lang w:val="uk-UA"/>
        </w:rPr>
      </w:pPr>
      <w:r w:rsidRPr="005960AD">
        <w:rPr>
          <w:lang w:val="uk-UA"/>
        </w:rPr>
        <w:t>Рис. 3</w:t>
      </w:r>
      <w:r w:rsidR="005960AD" w:rsidRPr="005960AD">
        <w:rPr>
          <w:lang w:val="uk-UA"/>
        </w:rPr>
        <w:t xml:space="preserve">. Рівні ризику і пов'язані з ним рівні захворюваності </w:t>
      </w:r>
      <w:r w:rsidR="005960AD">
        <w:rPr>
          <w:lang w:val="uk-UA"/>
        </w:rPr>
        <w:t xml:space="preserve">на </w:t>
      </w:r>
      <w:r w:rsidR="005960AD" w:rsidRPr="005960AD">
        <w:rPr>
          <w:lang w:val="uk-UA"/>
        </w:rPr>
        <w:t>ХП в деривац</w:t>
      </w:r>
      <w:r w:rsidR="005960AD">
        <w:rPr>
          <w:lang w:val="uk-UA"/>
        </w:rPr>
        <w:t>ійні</w:t>
      </w:r>
      <w:r w:rsidR="005960AD" w:rsidRPr="005960AD">
        <w:rPr>
          <w:lang w:val="uk-UA"/>
        </w:rPr>
        <w:t xml:space="preserve">й і </w:t>
      </w:r>
      <w:proofErr w:type="spellStart"/>
      <w:r w:rsidR="005960AD" w:rsidRPr="005960AD">
        <w:rPr>
          <w:lang w:val="uk-UA"/>
        </w:rPr>
        <w:t>валідацій</w:t>
      </w:r>
      <w:r w:rsidR="0045532E">
        <w:rPr>
          <w:lang w:val="uk-UA"/>
        </w:rPr>
        <w:t>н</w:t>
      </w:r>
      <w:r w:rsidR="005960AD">
        <w:rPr>
          <w:lang w:val="uk-UA"/>
        </w:rPr>
        <w:t>ій</w:t>
      </w:r>
      <w:proofErr w:type="spellEnd"/>
      <w:r w:rsidR="005960AD" w:rsidRPr="005960AD">
        <w:rPr>
          <w:lang w:val="uk-UA"/>
        </w:rPr>
        <w:t xml:space="preserve"> когортах. A: категорії ризику і пов'язані з ними рівні захворюваності</w:t>
      </w:r>
      <w:r w:rsidR="005960AD">
        <w:rPr>
          <w:lang w:val="uk-UA"/>
        </w:rPr>
        <w:t xml:space="preserve"> на</w:t>
      </w:r>
      <w:r w:rsidR="005960AD" w:rsidRPr="005960AD">
        <w:rPr>
          <w:lang w:val="uk-UA"/>
        </w:rPr>
        <w:t xml:space="preserve"> ХП в деривац</w:t>
      </w:r>
      <w:r w:rsidR="005960AD">
        <w:rPr>
          <w:lang w:val="uk-UA"/>
        </w:rPr>
        <w:t>ій</w:t>
      </w:r>
      <w:r w:rsidR="0045532E">
        <w:rPr>
          <w:lang w:val="uk-UA"/>
        </w:rPr>
        <w:t>ні</w:t>
      </w:r>
      <w:r w:rsidR="005960AD" w:rsidRPr="005960AD">
        <w:rPr>
          <w:lang w:val="uk-UA"/>
        </w:rPr>
        <w:t xml:space="preserve">й і </w:t>
      </w:r>
      <w:proofErr w:type="spellStart"/>
      <w:r w:rsidR="005960AD" w:rsidRPr="005960AD">
        <w:rPr>
          <w:lang w:val="uk-UA"/>
        </w:rPr>
        <w:t>валідаційн</w:t>
      </w:r>
      <w:r w:rsidR="0045532E">
        <w:rPr>
          <w:lang w:val="uk-UA"/>
        </w:rPr>
        <w:t>ій</w:t>
      </w:r>
      <w:proofErr w:type="spellEnd"/>
      <w:r w:rsidR="005960AD" w:rsidRPr="005960AD">
        <w:rPr>
          <w:lang w:val="uk-UA"/>
        </w:rPr>
        <w:t xml:space="preserve"> когортах, оцінка ризику 1. B: категорії ризику і пов'язані з ними рівні захворюваності </w:t>
      </w:r>
      <w:r w:rsidR="005960AD">
        <w:rPr>
          <w:lang w:val="uk-UA"/>
        </w:rPr>
        <w:t xml:space="preserve">на </w:t>
      </w:r>
      <w:r w:rsidR="005960AD" w:rsidRPr="005960AD">
        <w:rPr>
          <w:lang w:val="uk-UA"/>
        </w:rPr>
        <w:t>ХП в деривац</w:t>
      </w:r>
      <w:r w:rsidR="0045532E">
        <w:rPr>
          <w:lang w:val="uk-UA"/>
        </w:rPr>
        <w:t>ійні</w:t>
      </w:r>
      <w:r w:rsidR="005960AD" w:rsidRPr="005960AD">
        <w:rPr>
          <w:lang w:val="uk-UA"/>
        </w:rPr>
        <w:t xml:space="preserve">й і </w:t>
      </w:r>
      <w:proofErr w:type="spellStart"/>
      <w:r w:rsidR="005960AD" w:rsidRPr="005960AD">
        <w:rPr>
          <w:lang w:val="uk-UA"/>
        </w:rPr>
        <w:t>валідаційн</w:t>
      </w:r>
      <w:r w:rsidR="0045532E">
        <w:rPr>
          <w:lang w:val="uk-UA"/>
        </w:rPr>
        <w:t>ій</w:t>
      </w:r>
      <w:proofErr w:type="spellEnd"/>
      <w:r w:rsidR="005960AD" w:rsidRPr="005960AD">
        <w:rPr>
          <w:lang w:val="uk-UA"/>
        </w:rPr>
        <w:t xml:space="preserve"> когортах, оцінка ризику 2</w:t>
      </w:r>
    </w:p>
    <w:p w:rsidR="00302860" w:rsidRPr="00BC641F" w:rsidRDefault="00C03D0D" w:rsidP="005170AF">
      <w:pPr>
        <w:autoSpaceDE w:val="0"/>
        <w:autoSpaceDN w:val="0"/>
        <w:adjustRightInd w:val="0"/>
        <w:ind w:firstLine="709"/>
      </w:pPr>
      <w:r w:rsidRPr="00BC641F">
        <w:rPr>
          <w:noProof/>
          <w:lang w:eastAsia="zh-CN"/>
        </w:rPr>
        <w:drawing>
          <wp:inline distT="0" distB="0" distL="0" distR="0" wp14:anchorId="2AB88A67" wp14:editId="04A26A36">
            <wp:extent cx="4817889" cy="3738314"/>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9170" cy="3739308"/>
                    </a:xfrm>
                    <a:prstGeom prst="rect">
                      <a:avLst/>
                    </a:prstGeom>
                    <a:noFill/>
                    <a:ln>
                      <a:noFill/>
                    </a:ln>
                  </pic:spPr>
                </pic:pic>
              </a:graphicData>
            </a:graphic>
          </wp:inline>
        </w:drawing>
      </w:r>
    </w:p>
    <w:p w:rsidR="00393DFF" w:rsidRDefault="00393DFF" w:rsidP="0045532E">
      <w:pPr>
        <w:autoSpaceDE w:val="0"/>
        <w:autoSpaceDN w:val="0"/>
        <w:adjustRightInd w:val="0"/>
      </w:pPr>
    </w:p>
    <w:p w:rsidR="00393DFF" w:rsidRDefault="00393DFF" w:rsidP="0045532E">
      <w:pPr>
        <w:autoSpaceDE w:val="0"/>
        <w:autoSpaceDN w:val="0"/>
        <w:adjustRightInd w:val="0"/>
      </w:pPr>
    </w:p>
    <w:p w:rsidR="00C03D0D" w:rsidRPr="00BC641F" w:rsidRDefault="0045532E" w:rsidP="0045532E">
      <w:pPr>
        <w:autoSpaceDE w:val="0"/>
        <w:autoSpaceDN w:val="0"/>
        <w:adjustRightInd w:val="0"/>
      </w:pPr>
      <w:r w:rsidRPr="00BC641F">
        <w:lastRenderedPageBreak/>
        <w:t>Прим</w:t>
      </w:r>
      <w:proofErr w:type="spellStart"/>
      <w:r>
        <w:rPr>
          <w:lang w:val="uk-UA"/>
        </w:rPr>
        <w:t>ітка</w:t>
      </w:r>
      <w:proofErr w:type="spellEnd"/>
      <w:r w:rsidRPr="00BC641F">
        <w:t>:</w:t>
      </w:r>
    </w:p>
    <w:tbl>
      <w:tblPr>
        <w:tblStyle w:val="a7"/>
        <w:tblW w:w="0" w:type="auto"/>
        <w:tblLook w:val="04A0" w:firstRow="1" w:lastRow="0" w:firstColumn="1" w:lastColumn="0" w:noHBand="0" w:noVBand="1"/>
      </w:tblPr>
      <w:tblGrid>
        <w:gridCol w:w="4106"/>
        <w:gridCol w:w="5239"/>
      </w:tblGrid>
      <w:tr w:rsidR="00603831" w:rsidRPr="00BC641F" w:rsidTr="0045532E">
        <w:tc>
          <w:tcPr>
            <w:tcW w:w="4106" w:type="dxa"/>
          </w:tcPr>
          <w:p w:rsidR="00603831" w:rsidRPr="00BC641F" w:rsidRDefault="00603831" w:rsidP="0045532E">
            <w:pPr>
              <w:autoSpaceDE w:val="0"/>
              <w:autoSpaceDN w:val="0"/>
              <w:adjustRightInd w:val="0"/>
              <w:rPr>
                <w:lang w:val="en-US"/>
              </w:rPr>
            </w:pPr>
            <w:r w:rsidRPr="00BC641F">
              <w:rPr>
                <w:lang w:val="en-US"/>
              </w:rPr>
              <w:t>One minus cum survival</w:t>
            </w:r>
          </w:p>
        </w:tc>
        <w:tc>
          <w:tcPr>
            <w:tcW w:w="5239" w:type="dxa"/>
          </w:tcPr>
          <w:p w:rsidR="00603831" w:rsidRPr="00BC641F" w:rsidRDefault="00A73911" w:rsidP="0045532E">
            <w:pPr>
              <w:autoSpaceDE w:val="0"/>
              <w:autoSpaceDN w:val="0"/>
              <w:adjustRightInd w:val="0"/>
            </w:pPr>
            <w:r w:rsidRPr="00BC641F">
              <w:t>К</w:t>
            </w:r>
            <w:r w:rsidR="0092159A" w:rsidRPr="00BC641F">
              <w:t xml:space="preserve">рива </w:t>
            </w:r>
            <w:proofErr w:type="spellStart"/>
            <w:r w:rsidRPr="00BC641F">
              <w:t>Kaplan-Meier</w:t>
            </w:r>
            <w:proofErr w:type="spellEnd"/>
          </w:p>
        </w:tc>
      </w:tr>
      <w:tr w:rsidR="00603831" w:rsidRPr="00BC641F" w:rsidTr="0045532E">
        <w:tc>
          <w:tcPr>
            <w:tcW w:w="4106" w:type="dxa"/>
          </w:tcPr>
          <w:p w:rsidR="00603831" w:rsidRPr="00BC641F" w:rsidRDefault="00603831" w:rsidP="0045532E">
            <w:pPr>
              <w:autoSpaceDE w:val="0"/>
              <w:autoSpaceDN w:val="0"/>
              <w:adjustRightInd w:val="0"/>
              <w:rPr>
                <w:lang w:val="en-US"/>
              </w:rPr>
            </w:pPr>
            <w:r w:rsidRPr="00BC641F">
              <w:rPr>
                <w:lang w:val="en-US"/>
              </w:rPr>
              <w:t>Risk category based on risk score</w:t>
            </w:r>
          </w:p>
        </w:tc>
        <w:tc>
          <w:tcPr>
            <w:tcW w:w="5239" w:type="dxa"/>
          </w:tcPr>
          <w:p w:rsidR="00603831" w:rsidRPr="0045532E" w:rsidRDefault="00603831" w:rsidP="0045532E">
            <w:pPr>
              <w:autoSpaceDE w:val="0"/>
              <w:autoSpaceDN w:val="0"/>
              <w:adjustRightInd w:val="0"/>
              <w:rPr>
                <w:lang w:val="uk-UA"/>
              </w:rPr>
            </w:pPr>
            <w:r w:rsidRPr="0045532E">
              <w:rPr>
                <w:lang w:val="uk-UA"/>
              </w:rPr>
              <w:t>Категор</w:t>
            </w:r>
            <w:r w:rsidR="0045532E" w:rsidRPr="0045532E">
              <w:rPr>
                <w:lang w:val="uk-UA"/>
              </w:rPr>
              <w:t>і</w:t>
            </w:r>
            <w:r w:rsidRPr="0045532E">
              <w:rPr>
                <w:lang w:val="uk-UA"/>
              </w:rPr>
              <w:t>я ри</w:t>
            </w:r>
            <w:r w:rsidR="0045532E" w:rsidRPr="0045532E">
              <w:rPr>
                <w:lang w:val="uk-UA"/>
              </w:rPr>
              <w:t>зику</w:t>
            </w:r>
            <w:r w:rsidRPr="0045532E">
              <w:rPr>
                <w:lang w:val="uk-UA"/>
              </w:rPr>
              <w:t xml:space="preserve"> на основ</w:t>
            </w:r>
            <w:r w:rsidR="0045532E" w:rsidRPr="0045532E">
              <w:rPr>
                <w:lang w:val="uk-UA"/>
              </w:rPr>
              <w:t>і</w:t>
            </w:r>
            <w:r w:rsidRPr="0045532E">
              <w:rPr>
                <w:lang w:val="uk-UA"/>
              </w:rPr>
              <w:t xml:space="preserve"> оц</w:t>
            </w:r>
            <w:r w:rsidR="0045532E" w:rsidRPr="0045532E">
              <w:rPr>
                <w:lang w:val="uk-UA"/>
              </w:rPr>
              <w:t>і</w:t>
            </w:r>
            <w:r w:rsidRPr="0045532E">
              <w:rPr>
                <w:lang w:val="uk-UA"/>
              </w:rPr>
              <w:t>нки ри</w:t>
            </w:r>
            <w:r w:rsidR="0045532E" w:rsidRPr="0045532E">
              <w:rPr>
                <w:lang w:val="uk-UA"/>
              </w:rPr>
              <w:t>зику</w:t>
            </w:r>
          </w:p>
        </w:tc>
      </w:tr>
      <w:tr w:rsidR="0045532E" w:rsidRPr="00BC641F" w:rsidTr="0045532E">
        <w:tc>
          <w:tcPr>
            <w:tcW w:w="4106" w:type="dxa"/>
          </w:tcPr>
          <w:p w:rsidR="0045532E" w:rsidRPr="00BC641F" w:rsidRDefault="0045532E" w:rsidP="0045532E">
            <w:pPr>
              <w:autoSpaceDE w:val="0"/>
              <w:autoSpaceDN w:val="0"/>
              <w:adjustRightInd w:val="0"/>
              <w:rPr>
                <w:lang w:val="en-US"/>
              </w:rPr>
            </w:pPr>
            <w:r w:rsidRPr="00BC641F">
              <w:rPr>
                <w:lang w:val="en-US"/>
              </w:rPr>
              <w:t>Low</w:t>
            </w:r>
          </w:p>
        </w:tc>
        <w:tc>
          <w:tcPr>
            <w:tcW w:w="5239" w:type="dxa"/>
          </w:tcPr>
          <w:p w:rsidR="0045532E" w:rsidRPr="0045532E" w:rsidRDefault="0045532E" w:rsidP="0045532E">
            <w:pPr>
              <w:autoSpaceDE w:val="0"/>
              <w:autoSpaceDN w:val="0"/>
              <w:adjustRightInd w:val="0"/>
              <w:rPr>
                <w:lang w:val="uk-UA"/>
              </w:rPr>
            </w:pPr>
            <w:r w:rsidRPr="0045532E">
              <w:rPr>
                <w:lang w:val="uk-UA"/>
              </w:rPr>
              <w:t>Низький</w:t>
            </w:r>
          </w:p>
        </w:tc>
      </w:tr>
      <w:tr w:rsidR="0045532E" w:rsidRPr="00BC641F" w:rsidTr="0045532E">
        <w:tc>
          <w:tcPr>
            <w:tcW w:w="4106" w:type="dxa"/>
          </w:tcPr>
          <w:p w:rsidR="0045532E" w:rsidRPr="00BC641F" w:rsidRDefault="0045532E" w:rsidP="0045532E">
            <w:pPr>
              <w:autoSpaceDE w:val="0"/>
              <w:autoSpaceDN w:val="0"/>
              <w:adjustRightInd w:val="0"/>
              <w:rPr>
                <w:lang w:val="en-US"/>
              </w:rPr>
            </w:pPr>
            <w:r w:rsidRPr="00BC641F">
              <w:rPr>
                <w:lang w:val="en-US"/>
              </w:rPr>
              <w:t>Moderate</w:t>
            </w:r>
          </w:p>
        </w:tc>
        <w:tc>
          <w:tcPr>
            <w:tcW w:w="5239" w:type="dxa"/>
          </w:tcPr>
          <w:p w:rsidR="0045532E" w:rsidRPr="0045532E" w:rsidRDefault="0045532E" w:rsidP="0045532E">
            <w:pPr>
              <w:autoSpaceDE w:val="0"/>
              <w:autoSpaceDN w:val="0"/>
              <w:adjustRightInd w:val="0"/>
              <w:rPr>
                <w:lang w:val="uk-UA"/>
              </w:rPr>
            </w:pPr>
            <w:r w:rsidRPr="0045532E">
              <w:rPr>
                <w:lang w:val="uk-UA"/>
              </w:rPr>
              <w:t>Помірний</w:t>
            </w:r>
          </w:p>
        </w:tc>
      </w:tr>
      <w:tr w:rsidR="0045532E" w:rsidRPr="00BC641F" w:rsidTr="0045532E">
        <w:tc>
          <w:tcPr>
            <w:tcW w:w="4106" w:type="dxa"/>
          </w:tcPr>
          <w:p w:rsidR="0045532E" w:rsidRPr="00BC641F" w:rsidRDefault="0045532E" w:rsidP="0045532E">
            <w:pPr>
              <w:autoSpaceDE w:val="0"/>
              <w:autoSpaceDN w:val="0"/>
              <w:adjustRightInd w:val="0"/>
              <w:rPr>
                <w:lang w:val="en-US"/>
              </w:rPr>
            </w:pPr>
            <w:r w:rsidRPr="00BC641F">
              <w:rPr>
                <w:lang w:val="en-US"/>
              </w:rPr>
              <w:t>High</w:t>
            </w:r>
          </w:p>
        </w:tc>
        <w:tc>
          <w:tcPr>
            <w:tcW w:w="5239" w:type="dxa"/>
          </w:tcPr>
          <w:p w:rsidR="0045532E" w:rsidRPr="0045532E" w:rsidRDefault="0045532E" w:rsidP="0045532E">
            <w:pPr>
              <w:autoSpaceDE w:val="0"/>
              <w:autoSpaceDN w:val="0"/>
              <w:adjustRightInd w:val="0"/>
              <w:rPr>
                <w:lang w:val="uk-UA"/>
              </w:rPr>
            </w:pPr>
            <w:r w:rsidRPr="0045532E">
              <w:rPr>
                <w:lang w:val="uk-UA"/>
              </w:rPr>
              <w:t>Високий</w:t>
            </w:r>
          </w:p>
        </w:tc>
      </w:tr>
      <w:tr w:rsidR="00603831" w:rsidRPr="00BC641F" w:rsidTr="0045532E">
        <w:tc>
          <w:tcPr>
            <w:tcW w:w="4106" w:type="dxa"/>
          </w:tcPr>
          <w:p w:rsidR="00603831" w:rsidRPr="00BC641F" w:rsidRDefault="00603831" w:rsidP="0045532E">
            <w:pPr>
              <w:autoSpaceDE w:val="0"/>
              <w:autoSpaceDN w:val="0"/>
              <w:adjustRightInd w:val="0"/>
              <w:rPr>
                <w:lang w:val="en-US"/>
              </w:rPr>
            </w:pPr>
            <w:r w:rsidRPr="00BC641F">
              <w:rPr>
                <w:lang w:val="en-US"/>
              </w:rPr>
              <w:t>Log-rank P-value</w:t>
            </w:r>
          </w:p>
        </w:tc>
        <w:tc>
          <w:tcPr>
            <w:tcW w:w="5239" w:type="dxa"/>
          </w:tcPr>
          <w:p w:rsidR="00603831" w:rsidRPr="0045532E" w:rsidRDefault="00197A51" w:rsidP="0045532E">
            <w:pPr>
              <w:autoSpaceDE w:val="0"/>
              <w:autoSpaceDN w:val="0"/>
              <w:adjustRightInd w:val="0"/>
              <w:rPr>
                <w:lang w:val="uk-UA"/>
              </w:rPr>
            </w:pPr>
            <w:proofErr w:type="spellStart"/>
            <w:r w:rsidRPr="0045532E">
              <w:rPr>
                <w:lang w:val="uk-UA"/>
              </w:rPr>
              <w:t>Лог</w:t>
            </w:r>
            <w:proofErr w:type="spellEnd"/>
            <w:r w:rsidR="007E31E8" w:rsidRPr="0045532E">
              <w:rPr>
                <w:lang w:val="uk-UA"/>
              </w:rPr>
              <w:t>-</w:t>
            </w:r>
            <w:r w:rsidRPr="0045532E">
              <w:rPr>
                <w:lang w:val="uk-UA"/>
              </w:rPr>
              <w:t>рангове значен</w:t>
            </w:r>
            <w:r w:rsidR="0045532E" w:rsidRPr="0045532E">
              <w:rPr>
                <w:lang w:val="uk-UA"/>
              </w:rPr>
              <w:t xml:space="preserve">ня </w:t>
            </w:r>
            <w:r w:rsidRPr="0045532E">
              <w:rPr>
                <w:lang w:val="uk-UA"/>
              </w:rPr>
              <w:t>Р</w:t>
            </w:r>
          </w:p>
        </w:tc>
      </w:tr>
      <w:tr w:rsidR="00603831" w:rsidRPr="00BC641F" w:rsidTr="0045532E">
        <w:tc>
          <w:tcPr>
            <w:tcW w:w="4106" w:type="dxa"/>
          </w:tcPr>
          <w:p w:rsidR="00603831" w:rsidRPr="00BC641F" w:rsidRDefault="00603831" w:rsidP="0045532E">
            <w:pPr>
              <w:autoSpaceDE w:val="0"/>
              <w:autoSpaceDN w:val="0"/>
              <w:adjustRightInd w:val="0"/>
            </w:pPr>
            <w:r w:rsidRPr="00BC641F">
              <w:rPr>
                <w:lang w:val="en-US"/>
              </w:rPr>
              <w:t>Follow-up time</w:t>
            </w:r>
          </w:p>
        </w:tc>
        <w:tc>
          <w:tcPr>
            <w:tcW w:w="5239" w:type="dxa"/>
          </w:tcPr>
          <w:p w:rsidR="00603831" w:rsidRPr="0045532E" w:rsidRDefault="00603831" w:rsidP="0045532E">
            <w:pPr>
              <w:autoSpaceDE w:val="0"/>
              <w:autoSpaceDN w:val="0"/>
              <w:adjustRightInd w:val="0"/>
              <w:rPr>
                <w:lang w:val="uk-UA"/>
              </w:rPr>
            </w:pPr>
            <w:r w:rsidRPr="0045532E">
              <w:rPr>
                <w:lang w:val="uk-UA"/>
              </w:rPr>
              <w:t>Пер</w:t>
            </w:r>
            <w:r w:rsidR="0045532E" w:rsidRPr="0045532E">
              <w:rPr>
                <w:lang w:val="uk-UA"/>
              </w:rPr>
              <w:t>і</w:t>
            </w:r>
            <w:r w:rsidRPr="0045532E">
              <w:rPr>
                <w:lang w:val="uk-UA"/>
              </w:rPr>
              <w:t xml:space="preserve">од </w:t>
            </w:r>
            <w:r w:rsidR="0045532E" w:rsidRPr="0045532E">
              <w:rPr>
                <w:lang w:val="uk-UA"/>
              </w:rPr>
              <w:t>спостереженн</w:t>
            </w:r>
            <w:r w:rsidRPr="0045532E">
              <w:rPr>
                <w:lang w:val="uk-UA"/>
              </w:rPr>
              <w:t>я (</w:t>
            </w:r>
            <w:r w:rsidR="0045532E" w:rsidRPr="0045532E">
              <w:rPr>
                <w:lang w:val="uk-UA"/>
              </w:rPr>
              <w:t>роки</w:t>
            </w:r>
            <w:r w:rsidRPr="0045532E">
              <w:rPr>
                <w:lang w:val="uk-UA"/>
              </w:rPr>
              <w:t>)</w:t>
            </w:r>
          </w:p>
        </w:tc>
      </w:tr>
    </w:tbl>
    <w:p w:rsidR="00302860" w:rsidRPr="00BC641F" w:rsidRDefault="00302860" w:rsidP="005170AF">
      <w:pPr>
        <w:autoSpaceDE w:val="0"/>
        <w:autoSpaceDN w:val="0"/>
        <w:adjustRightInd w:val="0"/>
        <w:ind w:firstLine="709"/>
      </w:pPr>
    </w:p>
    <w:p w:rsidR="00302860" w:rsidRDefault="00197A51" w:rsidP="005170AF">
      <w:pPr>
        <w:autoSpaceDE w:val="0"/>
        <w:autoSpaceDN w:val="0"/>
        <w:adjustRightInd w:val="0"/>
        <w:ind w:firstLine="709"/>
        <w:rPr>
          <w:lang w:val="uk-UA"/>
        </w:rPr>
      </w:pPr>
      <w:r w:rsidRPr="00BC641F">
        <w:t>Рис</w:t>
      </w:r>
      <w:r w:rsidR="002C4288" w:rsidRPr="00BC641F">
        <w:t>.</w:t>
      </w:r>
      <w:r w:rsidRPr="00BC641F">
        <w:t xml:space="preserve"> 4</w:t>
      </w:r>
      <w:r w:rsidR="00A73911" w:rsidRPr="00BC641F">
        <w:t>.</w:t>
      </w:r>
      <w:r w:rsidR="00E52426" w:rsidRPr="00BC641F">
        <w:rPr>
          <w:b/>
        </w:rPr>
        <w:t xml:space="preserve"> </w:t>
      </w:r>
      <w:r w:rsidR="0045532E" w:rsidRPr="0045532E">
        <w:rPr>
          <w:lang w:val="uk-UA"/>
        </w:rPr>
        <w:t xml:space="preserve">Крива </w:t>
      </w:r>
      <w:proofErr w:type="spellStart"/>
      <w:r w:rsidR="0045532E" w:rsidRPr="0045532E">
        <w:rPr>
          <w:lang w:val="uk-UA"/>
        </w:rPr>
        <w:t>Kaplan-Meier</w:t>
      </w:r>
      <w:proofErr w:type="spellEnd"/>
      <w:r w:rsidR="0045532E" w:rsidRPr="0045532E">
        <w:rPr>
          <w:lang w:val="uk-UA"/>
        </w:rPr>
        <w:t xml:space="preserve"> захворюваності на ХП для категорії ризику в </w:t>
      </w:r>
      <w:r w:rsidR="0045532E" w:rsidRPr="005960AD">
        <w:rPr>
          <w:lang w:val="uk-UA"/>
        </w:rPr>
        <w:t>деривац</w:t>
      </w:r>
      <w:r w:rsidR="0045532E">
        <w:rPr>
          <w:lang w:val="uk-UA"/>
        </w:rPr>
        <w:t>ійні</w:t>
      </w:r>
      <w:r w:rsidR="0045532E" w:rsidRPr="005960AD">
        <w:rPr>
          <w:lang w:val="uk-UA"/>
        </w:rPr>
        <w:t xml:space="preserve">й і </w:t>
      </w:r>
      <w:proofErr w:type="spellStart"/>
      <w:r w:rsidR="0045532E" w:rsidRPr="005960AD">
        <w:rPr>
          <w:lang w:val="uk-UA"/>
        </w:rPr>
        <w:t>валідацій</w:t>
      </w:r>
      <w:r w:rsidR="0045532E">
        <w:rPr>
          <w:lang w:val="uk-UA"/>
        </w:rPr>
        <w:t>ній</w:t>
      </w:r>
      <w:proofErr w:type="spellEnd"/>
      <w:r w:rsidR="0045532E" w:rsidRPr="005960AD">
        <w:rPr>
          <w:lang w:val="uk-UA"/>
        </w:rPr>
        <w:t xml:space="preserve"> когортах</w:t>
      </w:r>
      <w:r w:rsidR="0045532E" w:rsidRPr="0045532E">
        <w:rPr>
          <w:lang w:val="uk-UA"/>
        </w:rPr>
        <w:t xml:space="preserve">. A: Крива </w:t>
      </w:r>
      <w:proofErr w:type="spellStart"/>
      <w:r w:rsidR="0045532E" w:rsidRPr="0045532E">
        <w:rPr>
          <w:lang w:val="uk-UA"/>
        </w:rPr>
        <w:t>Kaplan-Meier</w:t>
      </w:r>
      <w:proofErr w:type="spellEnd"/>
      <w:r w:rsidR="0045532E" w:rsidRPr="0045532E">
        <w:rPr>
          <w:lang w:val="uk-UA"/>
        </w:rPr>
        <w:t xml:space="preserve"> для ХП для категорії ризику, заснована на оцінці ризику 1 в дерив</w:t>
      </w:r>
      <w:r w:rsidR="0045532E">
        <w:rPr>
          <w:lang w:val="uk-UA"/>
        </w:rPr>
        <w:t>аційні</w:t>
      </w:r>
      <w:r w:rsidR="0045532E" w:rsidRPr="0045532E">
        <w:rPr>
          <w:lang w:val="uk-UA"/>
        </w:rPr>
        <w:t>й когорт</w:t>
      </w:r>
      <w:r w:rsidR="0045532E">
        <w:rPr>
          <w:lang w:val="uk-UA"/>
        </w:rPr>
        <w:t>і</w:t>
      </w:r>
      <w:r w:rsidR="0045532E" w:rsidRPr="0045532E">
        <w:rPr>
          <w:lang w:val="uk-UA"/>
        </w:rPr>
        <w:t xml:space="preserve">. B: крива </w:t>
      </w:r>
      <w:proofErr w:type="spellStart"/>
      <w:r w:rsidR="0045532E" w:rsidRPr="0045532E">
        <w:rPr>
          <w:lang w:val="uk-UA"/>
        </w:rPr>
        <w:t>Kaplan-Meier</w:t>
      </w:r>
      <w:proofErr w:type="spellEnd"/>
      <w:r w:rsidR="0045532E" w:rsidRPr="0045532E">
        <w:rPr>
          <w:lang w:val="uk-UA"/>
        </w:rPr>
        <w:t xml:space="preserve"> для ХП для категорії ризику, заснована на оцінці ризику 2 в дерив</w:t>
      </w:r>
      <w:r w:rsidR="0045532E">
        <w:rPr>
          <w:lang w:val="uk-UA"/>
        </w:rPr>
        <w:t>аційні</w:t>
      </w:r>
      <w:r w:rsidR="0045532E" w:rsidRPr="0045532E">
        <w:rPr>
          <w:lang w:val="uk-UA"/>
        </w:rPr>
        <w:t>й когорт</w:t>
      </w:r>
      <w:r w:rsidR="0045532E">
        <w:rPr>
          <w:lang w:val="uk-UA"/>
        </w:rPr>
        <w:t>і</w:t>
      </w:r>
      <w:r w:rsidR="0045532E" w:rsidRPr="0045532E">
        <w:rPr>
          <w:lang w:val="uk-UA"/>
        </w:rPr>
        <w:t xml:space="preserve">. C: крива </w:t>
      </w:r>
      <w:proofErr w:type="spellStart"/>
      <w:r w:rsidR="0045532E" w:rsidRPr="0045532E">
        <w:rPr>
          <w:lang w:val="uk-UA"/>
        </w:rPr>
        <w:t>Kaplan-Meier</w:t>
      </w:r>
      <w:proofErr w:type="spellEnd"/>
      <w:r w:rsidR="0045532E" w:rsidRPr="0045532E">
        <w:rPr>
          <w:lang w:val="uk-UA"/>
        </w:rPr>
        <w:t xml:space="preserve"> для ХП для категорії ризику, заснована на оцінці ризику 1 2 </w:t>
      </w:r>
      <w:r w:rsidR="0045532E">
        <w:rPr>
          <w:lang w:val="uk-UA"/>
        </w:rPr>
        <w:t>у</w:t>
      </w:r>
      <w:r w:rsidR="0045532E" w:rsidRPr="0045532E">
        <w:rPr>
          <w:lang w:val="uk-UA"/>
        </w:rPr>
        <w:t xml:space="preserve"> </w:t>
      </w:r>
      <w:proofErr w:type="spellStart"/>
      <w:r w:rsidR="0045532E" w:rsidRPr="0045532E">
        <w:rPr>
          <w:lang w:val="uk-UA"/>
        </w:rPr>
        <w:t>валідаці</w:t>
      </w:r>
      <w:r w:rsidR="0045532E">
        <w:rPr>
          <w:lang w:val="uk-UA"/>
        </w:rPr>
        <w:t>йні</w:t>
      </w:r>
      <w:r w:rsidR="0045532E" w:rsidRPr="0045532E">
        <w:rPr>
          <w:lang w:val="uk-UA"/>
        </w:rPr>
        <w:t>й</w:t>
      </w:r>
      <w:proofErr w:type="spellEnd"/>
      <w:r w:rsidR="0045532E" w:rsidRPr="0045532E">
        <w:rPr>
          <w:lang w:val="uk-UA"/>
        </w:rPr>
        <w:t xml:space="preserve"> когорт</w:t>
      </w:r>
      <w:r w:rsidR="0045532E">
        <w:rPr>
          <w:lang w:val="uk-UA"/>
        </w:rPr>
        <w:t>і</w:t>
      </w:r>
      <w:r w:rsidR="0045532E" w:rsidRPr="0045532E">
        <w:rPr>
          <w:lang w:val="uk-UA"/>
        </w:rPr>
        <w:t xml:space="preserve">. D: крива </w:t>
      </w:r>
      <w:proofErr w:type="spellStart"/>
      <w:r w:rsidR="0045532E" w:rsidRPr="0045532E">
        <w:rPr>
          <w:lang w:val="uk-UA"/>
        </w:rPr>
        <w:t>Kaplan-Meier</w:t>
      </w:r>
      <w:proofErr w:type="spellEnd"/>
      <w:r w:rsidR="0045532E" w:rsidRPr="0045532E">
        <w:rPr>
          <w:lang w:val="uk-UA"/>
        </w:rPr>
        <w:t xml:space="preserve"> для ХП для категорії ризику, заснована на оцінці ризику 2 </w:t>
      </w:r>
      <w:r w:rsidR="0045532E">
        <w:rPr>
          <w:lang w:val="uk-UA"/>
        </w:rPr>
        <w:t>у</w:t>
      </w:r>
      <w:r w:rsidR="0045532E" w:rsidRPr="0045532E">
        <w:rPr>
          <w:lang w:val="uk-UA"/>
        </w:rPr>
        <w:t xml:space="preserve"> </w:t>
      </w:r>
      <w:proofErr w:type="spellStart"/>
      <w:r w:rsidR="0045532E" w:rsidRPr="0045532E">
        <w:rPr>
          <w:lang w:val="uk-UA"/>
        </w:rPr>
        <w:t>валідаці</w:t>
      </w:r>
      <w:r w:rsidR="0045532E">
        <w:rPr>
          <w:lang w:val="uk-UA"/>
        </w:rPr>
        <w:t>йні</w:t>
      </w:r>
      <w:r w:rsidR="0045532E" w:rsidRPr="0045532E">
        <w:rPr>
          <w:lang w:val="uk-UA"/>
        </w:rPr>
        <w:t>й</w:t>
      </w:r>
      <w:proofErr w:type="spellEnd"/>
      <w:r w:rsidR="0045532E" w:rsidRPr="0045532E">
        <w:rPr>
          <w:lang w:val="uk-UA"/>
        </w:rPr>
        <w:t xml:space="preserve"> когорт</w:t>
      </w:r>
      <w:r w:rsidR="0045532E">
        <w:rPr>
          <w:lang w:val="uk-UA"/>
        </w:rPr>
        <w:t>і</w:t>
      </w:r>
      <w:r w:rsidR="0045532E" w:rsidRPr="0045532E">
        <w:rPr>
          <w:lang w:val="uk-UA"/>
        </w:rPr>
        <w:t>.</w:t>
      </w:r>
    </w:p>
    <w:p w:rsidR="0045532E" w:rsidRDefault="0045532E" w:rsidP="005170AF">
      <w:pPr>
        <w:autoSpaceDE w:val="0"/>
        <w:autoSpaceDN w:val="0"/>
        <w:adjustRightInd w:val="0"/>
        <w:ind w:firstLine="709"/>
        <w:rPr>
          <w:lang w:val="uk-UA"/>
        </w:rPr>
      </w:pPr>
    </w:p>
    <w:p w:rsidR="0045532E" w:rsidRPr="0045532E" w:rsidRDefault="0045532E" w:rsidP="0045532E">
      <w:pPr>
        <w:autoSpaceDE w:val="0"/>
        <w:autoSpaceDN w:val="0"/>
        <w:adjustRightInd w:val="0"/>
        <w:ind w:firstLine="709"/>
        <w:rPr>
          <w:b/>
          <w:lang w:val="uk-UA"/>
        </w:rPr>
      </w:pPr>
      <w:r w:rsidRPr="0045532E">
        <w:rPr>
          <w:b/>
          <w:lang w:val="uk-UA"/>
        </w:rPr>
        <w:t>ОБГОВОРЕННЯ</w:t>
      </w:r>
    </w:p>
    <w:p w:rsidR="0045532E" w:rsidRPr="0045532E" w:rsidRDefault="0045532E" w:rsidP="0045532E">
      <w:pPr>
        <w:autoSpaceDE w:val="0"/>
        <w:autoSpaceDN w:val="0"/>
        <w:adjustRightInd w:val="0"/>
        <w:ind w:firstLine="709"/>
        <w:rPr>
          <w:lang w:val="uk-UA"/>
        </w:rPr>
      </w:pPr>
      <w:r w:rsidRPr="0045532E">
        <w:rPr>
          <w:lang w:val="uk-UA"/>
        </w:rPr>
        <w:t xml:space="preserve">У цьому дослідженні ми визначили </w:t>
      </w:r>
      <w:r w:rsidR="00AB753B">
        <w:rPr>
          <w:lang w:val="uk-UA"/>
        </w:rPr>
        <w:t xml:space="preserve">РГП, </w:t>
      </w:r>
      <w:r w:rsidRPr="0045532E">
        <w:rPr>
          <w:lang w:val="uk-UA"/>
        </w:rPr>
        <w:t xml:space="preserve"> споживання алкоголю, вік початку &lt;</w:t>
      </w:r>
      <w:r>
        <w:rPr>
          <w:lang w:val="uk-UA"/>
        </w:rPr>
        <w:t xml:space="preserve"> </w:t>
      </w:r>
      <w:r w:rsidRPr="0045532E">
        <w:rPr>
          <w:lang w:val="uk-UA"/>
        </w:rPr>
        <w:t xml:space="preserve">55 років і куріння як 4 основні чинники ризику для розвитку ХП </w:t>
      </w:r>
      <w:r>
        <w:rPr>
          <w:lang w:val="uk-UA"/>
        </w:rPr>
        <w:t>впродовж</w:t>
      </w:r>
      <w:r w:rsidRPr="0045532E">
        <w:rPr>
          <w:lang w:val="uk-UA"/>
        </w:rPr>
        <w:t xml:space="preserve"> середнього періоду спостереження 6,13 ± 3,53 років у дорослих пацієнтів з епізодами </w:t>
      </w:r>
      <w:proofErr w:type="spellStart"/>
      <w:r w:rsidRPr="0045532E">
        <w:rPr>
          <w:lang w:val="uk-UA"/>
        </w:rPr>
        <w:t>небіліарного</w:t>
      </w:r>
      <w:proofErr w:type="spellEnd"/>
      <w:r w:rsidRPr="0045532E">
        <w:rPr>
          <w:lang w:val="uk-UA"/>
        </w:rPr>
        <w:t xml:space="preserve">, необструктивного </w:t>
      </w:r>
      <w:r w:rsidR="00865038">
        <w:rPr>
          <w:lang w:val="uk-UA"/>
        </w:rPr>
        <w:t>ГП.</w:t>
      </w:r>
      <w:r w:rsidRPr="0045532E">
        <w:rPr>
          <w:lang w:val="uk-UA"/>
        </w:rPr>
        <w:t xml:space="preserve"> Наскільки нам відомо, це перше популяційн</w:t>
      </w:r>
      <w:r>
        <w:rPr>
          <w:lang w:val="uk-UA"/>
        </w:rPr>
        <w:t>е</w:t>
      </w:r>
      <w:r w:rsidRPr="0045532E">
        <w:rPr>
          <w:lang w:val="uk-UA"/>
        </w:rPr>
        <w:t xml:space="preserve"> </w:t>
      </w:r>
      <w:r w:rsidR="00CA5E26">
        <w:rPr>
          <w:lang w:val="uk-UA"/>
        </w:rPr>
        <w:t>широ</w:t>
      </w:r>
      <w:r w:rsidRPr="0045532E">
        <w:rPr>
          <w:lang w:val="uk-UA"/>
        </w:rPr>
        <w:t xml:space="preserve">комасштабне </w:t>
      </w:r>
      <w:proofErr w:type="spellStart"/>
      <w:r w:rsidRPr="0045532E">
        <w:rPr>
          <w:lang w:val="uk-UA"/>
        </w:rPr>
        <w:t>когортне</w:t>
      </w:r>
      <w:proofErr w:type="spellEnd"/>
      <w:r w:rsidRPr="0045532E">
        <w:rPr>
          <w:lang w:val="uk-UA"/>
        </w:rPr>
        <w:t xml:space="preserve"> дослідження, присвячене вивченню факторів ризику розвитку ХП в етнічн</w:t>
      </w:r>
      <w:r w:rsidR="00470540">
        <w:rPr>
          <w:lang w:val="uk-UA"/>
        </w:rPr>
        <w:t>ій</w:t>
      </w:r>
      <w:r w:rsidRPr="0045532E">
        <w:rPr>
          <w:lang w:val="uk-UA"/>
        </w:rPr>
        <w:t xml:space="preserve"> груп</w:t>
      </w:r>
      <w:r w:rsidR="00470540">
        <w:rPr>
          <w:lang w:val="uk-UA"/>
        </w:rPr>
        <w:t>і</w:t>
      </w:r>
      <w:r w:rsidRPr="0045532E">
        <w:rPr>
          <w:lang w:val="uk-UA"/>
        </w:rPr>
        <w:t xml:space="preserve"> китайців [12, 32]. Крім того, ми розробили першу модель оцінки прогнозу для ХП, яка проста і корисна в клінічній практиці (таблиця 3).</w:t>
      </w:r>
    </w:p>
    <w:p w:rsidR="0045532E" w:rsidRPr="0045532E" w:rsidRDefault="0045532E" w:rsidP="0045532E">
      <w:pPr>
        <w:autoSpaceDE w:val="0"/>
        <w:autoSpaceDN w:val="0"/>
        <w:adjustRightInd w:val="0"/>
        <w:ind w:firstLine="709"/>
        <w:rPr>
          <w:lang w:val="uk-UA"/>
        </w:rPr>
      </w:pPr>
      <w:r w:rsidRPr="0045532E">
        <w:rPr>
          <w:lang w:val="uk-UA"/>
        </w:rPr>
        <w:t>Природний перебіг Р</w:t>
      </w:r>
      <w:r w:rsidR="00AB753B">
        <w:rPr>
          <w:lang w:val="uk-UA"/>
        </w:rPr>
        <w:t xml:space="preserve">ГП </w:t>
      </w:r>
      <w:r w:rsidRPr="0045532E">
        <w:rPr>
          <w:lang w:val="uk-UA"/>
        </w:rPr>
        <w:t xml:space="preserve">все ще перебуває в стадії обговорення, а частота прогресування </w:t>
      </w:r>
      <w:r w:rsidR="00AB753B">
        <w:rPr>
          <w:lang w:val="uk-UA"/>
        </w:rPr>
        <w:t xml:space="preserve">ГП </w:t>
      </w:r>
      <w:r w:rsidRPr="0045532E">
        <w:rPr>
          <w:lang w:val="uk-UA"/>
        </w:rPr>
        <w:t xml:space="preserve">до ХП варіює із середнім інтервалом 3,5-5,5 років і залежить від етіології панкреатиту [11, 17, 19, 24, 28]. У нашому популяційному </w:t>
      </w:r>
      <w:proofErr w:type="spellStart"/>
      <w:r w:rsidRPr="0045532E">
        <w:rPr>
          <w:lang w:val="uk-UA"/>
        </w:rPr>
        <w:t>когортно</w:t>
      </w:r>
      <w:r w:rsidR="00470540">
        <w:rPr>
          <w:lang w:val="uk-UA"/>
        </w:rPr>
        <w:t>му</w:t>
      </w:r>
      <w:proofErr w:type="spellEnd"/>
      <w:r w:rsidRPr="0045532E">
        <w:rPr>
          <w:lang w:val="uk-UA"/>
        </w:rPr>
        <w:t xml:space="preserve"> дослідженн</w:t>
      </w:r>
      <w:r w:rsidR="00470540">
        <w:rPr>
          <w:lang w:val="uk-UA"/>
        </w:rPr>
        <w:t>і</w:t>
      </w:r>
      <w:r w:rsidRPr="0045532E">
        <w:rPr>
          <w:lang w:val="uk-UA"/>
        </w:rPr>
        <w:t xml:space="preserve"> частота прогресування </w:t>
      </w:r>
      <w:r w:rsidR="00AB753B">
        <w:rPr>
          <w:lang w:val="uk-UA"/>
        </w:rPr>
        <w:t xml:space="preserve">ГП </w:t>
      </w:r>
      <w:r w:rsidRPr="0045532E">
        <w:rPr>
          <w:lang w:val="uk-UA"/>
        </w:rPr>
        <w:t xml:space="preserve">до ХП склала 4,65% протягом середнього періоду спостереження 6,13 ± 3,53 років (таблиця 1). Ця частота аналогічна тій, про яку повідомлялося в </w:t>
      </w:r>
      <w:proofErr w:type="spellStart"/>
      <w:r w:rsidRPr="0045532E">
        <w:rPr>
          <w:lang w:val="uk-UA"/>
        </w:rPr>
        <w:t>проспективному</w:t>
      </w:r>
      <w:proofErr w:type="spellEnd"/>
      <w:r w:rsidRPr="0045532E">
        <w:rPr>
          <w:lang w:val="uk-UA"/>
        </w:rPr>
        <w:t xml:space="preserve"> дослідженні, проведеному в Німеччині, причому частота прогресування </w:t>
      </w:r>
      <w:r w:rsidR="00AB753B">
        <w:rPr>
          <w:lang w:val="uk-UA"/>
        </w:rPr>
        <w:t xml:space="preserve">ГП </w:t>
      </w:r>
      <w:r w:rsidRPr="0045532E">
        <w:rPr>
          <w:lang w:val="uk-UA"/>
        </w:rPr>
        <w:t xml:space="preserve">до ХП відзначалася приблизно у 4% всіх пацієнтів </w:t>
      </w:r>
      <w:r w:rsidR="00470540">
        <w:rPr>
          <w:lang w:val="uk-UA"/>
        </w:rPr>
        <w:t>впродовж</w:t>
      </w:r>
      <w:r w:rsidRPr="0045532E">
        <w:rPr>
          <w:lang w:val="uk-UA"/>
        </w:rPr>
        <w:t xml:space="preserve"> 20-річного періоду [19]. В нашій когорті у 12,8% (142/1094) пацієнтів з Р</w:t>
      </w:r>
      <w:r w:rsidR="00AB753B">
        <w:rPr>
          <w:lang w:val="uk-UA"/>
        </w:rPr>
        <w:t xml:space="preserve">ГП </w:t>
      </w:r>
      <w:r w:rsidRPr="0045532E">
        <w:rPr>
          <w:lang w:val="uk-UA"/>
        </w:rPr>
        <w:t xml:space="preserve">(необструктивна, </w:t>
      </w:r>
      <w:proofErr w:type="spellStart"/>
      <w:r w:rsidRPr="0045532E">
        <w:rPr>
          <w:lang w:val="uk-UA"/>
        </w:rPr>
        <w:t>небіліарн</w:t>
      </w:r>
      <w:r w:rsidR="00470540">
        <w:rPr>
          <w:lang w:val="uk-UA"/>
        </w:rPr>
        <w:t>а</w:t>
      </w:r>
      <w:proofErr w:type="spellEnd"/>
      <w:r w:rsidRPr="0045532E">
        <w:rPr>
          <w:lang w:val="uk-UA"/>
        </w:rPr>
        <w:t xml:space="preserve"> етіологія) </w:t>
      </w:r>
      <w:r w:rsidR="00470540">
        <w:rPr>
          <w:lang w:val="uk-UA"/>
        </w:rPr>
        <w:t>впродовж</w:t>
      </w:r>
      <w:r w:rsidRPr="0045532E">
        <w:rPr>
          <w:lang w:val="uk-UA"/>
        </w:rPr>
        <w:t xml:space="preserve"> періоду спостереження розвинувся ХП, тоді як тільки у 1,2% (32/2645) пацієнтів (необструктивно</w:t>
      </w:r>
      <w:r w:rsidR="00470540">
        <w:rPr>
          <w:lang w:val="uk-UA"/>
        </w:rPr>
        <w:t>ї</w:t>
      </w:r>
      <w:r w:rsidRPr="0045532E">
        <w:rPr>
          <w:lang w:val="uk-UA"/>
        </w:rPr>
        <w:t xml:space="preserve">, </w:t>
      </w:r>
      <w:proofErr w:type="spellStart"/>
      <w:r w:rsidRPr="0045532E">
        <w:rPr>
          <w:lang w:val="uk-UA"/>
        </w:rPr>
        <w:t>небіліарно</w:t>
      </w:r>
      <w:r w:rsidR="00470540">
        <w:rPr>
          <w:lang w:val="uk-UA"/>
        </w:rPr>
        <w:t>ї</w:t>
      </w:r>
      <w:proofErr w:type="spellEnd"/>
      <w:r w:rsidRPr="0045532E">
        <w:rPr>
          <w:lang w:val="uk-UA"/>
        </w:rPr>
        <w:t xml:space="preserve"> етіології) розвинувся ХП </w:t>
      </w:r>
      <w:r w:rsidR="00470540">
        <w:rPr>
          <w:lang w:val="uk-UA"/>
        </w:rPr>
        <w:t>впродовж</w:t>
      </w:r>
      <w:r w:rsidRPr="0045532E">
        <w:rPr>
          <w:lang w:val="uk-UA"/>
        </w:rPr>
        <w:t xml:space="preserve"> періоду спостереження тільки після одного епізоду </w:t>
      </w:r>
      <w:r w:rsidR="00AB753B">
        <w:rPr>
          <w:lang w:val="uk-UA"/>
        </w:rPr>
        <w:t xml:space="preserve">ГП </w:t>
      </w:r>
      <w:r w:rsidRPr="0045532E">
        <w:rPr>
          <w:lang w:val="uk-UA"/>
        </w:rPr>
        <w:t xml:space="preserve">(рис. 1). У мета-аналізі, проведеному в 2015 році S.J. </w:t>
      </w:r>
      <w:proofErr w:type="spellStart"/>
      <w:r w:rsidRPr="0045532E">
        <w:rPr>
          <w:lang w:val="uk-UA"/>
        </w:rPr>
        <w:t>Sankaran</w:t>
      </w:r>
      <w:proofErr w:type="spellEnd"/>
      <w:r w:rsidRPr="0045532E">
        <w:rPr>
          <w:lang w:val="uk-UA"/>
        </w:rPr>
        <w:t xml:space="preserve"> </w:t>
      </w:r>
      <w:proofErr w:type="spellStart"/>
      <w:r w:rsidRPr="0045532E">
        <w:rPr>
          <w:lang w:val="uk-UA"/>
        </w:rPr>
        <w:t>et</w:t>
      </w:r>
      <w:proofErr w:type="spellEnd"/>
      <w:r w:rsidRPr="0045532E">
        <w:rPr>
          <w:lang w:val="uk-UA"/>
        </w:rPr>
        <w:t xml:space="preserve"> </w:t>
      </w:r>
      <w:proofErr w:type="spellStart"/>
      <w:r w:rsidRPr="0045532E">
        <w:rPr>
          <w:lang w:val="uk-UA"/>
        </w:rPr>
        <w:t>al</w:t>
      </w:r>
      <w:proofErr w:type="spellEnd"/>
      <w:r w:rsidRPr="0045532E">
        <w:rPr>
          <w:lang w:val="uk-UA"/>
        </w:rPr>
        <w:t xml:space="preserve">. [27], у 10% пацієнтів з одним епізодом </w:t>
      </w:r>
      <w:r w:rsidR="00AB753B">
        <w:rPr>
          <w:lang w:val="uk-UA"/>
        </w:rPr>
        <w:t xml:space="preserve">ГП </w:t>
      </w:r>
      <w:r w:rsidRPr="0045532E">
        <w:rPr>
          <w:lang w:val="uk-UA"/>
        </w:rPr>
        <w:t>і у 36% пацієнтів з Р</w:t>
      </w:r>
      <w:r w:rsidR="00AB753B">
        <w:rPr>
          <w:lang w:val="uk-UA"/>
        </w:rPr>
        <w:t xml:space="preserve">ГП </w:t>
      </w:r>
      <w:r w:rsidRPr="0045532E">
        <w:rPr>
          <w:lang w:val="uk-UA"/>
        </w:rPr>
        <w:t>розвинувся ХП, незалежно від етіології. У нашому дослідженні частота ХП була набагато вищ</w:t>
      </w:r>
      <w:r w:rsidR="00470540">
        <w:rPr>
          <w:lang w:val="uk-UA"/>
        </w:rPr>
        <w:t>ою</w:t>
      </w:r>
      <w:r w:rsidRPr="0045532E">
        <w:rPr>
          <w:lang w:val="uk-UA"/>
        </w:rPr>
        <w:t xml:space="preserve"> серед пацієнтів, які пережили другий напад </w:t>
      </w:r>
      <w:r w:rsidR="00865038">
        <w:rPr>
          <w:lang w:val="uk-UA"/>
        </w:rPr>
        <w:t>ГП,</w:t>
      </w:r>
      <w:r w:rsidR="00CA5E26">
        <w:rPr>
          <w:lang w:val="uk-UA"/>
        </w:rPr>
        <w:t xml:space="preserve"> </w:t>
      </w:r>
      <w:r w:rsidRPr="0045532E">
        <w:rPr>
          <w:lang w:val="uk-UA"/>
        </w:rPr>
        <w:t xml:space="preserve">ніж серед пацієнтів після одного епізоду </w:t>
      </w:r>
      <w:r w:rsidR="00AB753B">
        <w:rPr>
          <w:lang w:val="uk-UA"/>
        </w:rPr>
        <w:t xml:space="preserve">ГП </w:t>
      </w:r>
      <w:r w:rsidRPr="0045532E">
        <w:rPr>
          <w:lang w:val="uk-UA"/>
        </w:rPr>
        <w:t>(</w:t>
      </w:r>
      <w:r w:rsidR="00CA5E26">
        <w:rPr>
          <w:lang w:val="uk-UA"/>
        </w:rPr>
        <w:t>В</w:t>
      </w:r>
      <w:r w:rsidRPr="0045532E">
        <w:rPr>
          <w:lang w:val="uk-UA"/>
        </w:rPr>
        <w:t>Р: 8,65; 95% ДІ: 5,2-13,38; P &lt;</w:t>
      </w:r>
      <w:r w:rsidR="00470540">
        <w:rPr>
          <w:lang w:val="uk-UA"/>
        </w:rPr>
        <w:t xml:space="preserve"> </w:t>
      </w:r>
      <w:r w:rsidRPr="0045532E">
        <w:rPr>
          <w:lang w:val="uk-UA"/>
        </w:rPr>
        <w:t xml:space="preserve">0,001), що узгоджується </w:t>
      </w:r>
      <w:r w:rsidR="00470540">
        <w:rPr>
          <w:lang w:val="uk-UA"/>
        </w:rPr>
        <w:t>і</w:t>
      </w:r>
      <w:r w:rsidRPr="0045532E">
        <w:rPr>
          <w:lang w:val="uk-UA"/>
        </w:rPr>
        <w:t>з декількома дослідженнями у європейців [19, 27].</w:t>
      </w:r>
    </w:p>
    <w:p w:rsidR="0045532E" w:rsidRPr="0045532E" w:rsidRDefault="0045532E" w:rsidP="0045532E">
      <w:pPr>
        <w:autoSpaceDE w:val="0"/>
        <w:autoSpaceDN w:val="0"/>
        <w:adjustRightInd w:val="0"/>
        <w:ind w:firstLine="709"/>
        <w:rPr>
          <w:lang w:val="uk-UA"/>
        </w:rPr>
      </w:pPr>
      <w:r w:rsidRPr="0045532E">
        <w:rPr>
          <w:lang w:val="uk-UA"/>
        </w:rPr>
        <w:t>Наш багатовимірний аналіз показав, що ризик прогресування до ХП бу</w:t>
      </w:r>
      <w:r w:rsidR="00470540">
        <w:rPr>
          <w:lang w:val="uk-UA"/>
        </w:rPr>
        <w:t>в</w:t>
      </w:r>
      <w:r w:rsidRPr="0045532E">
        <w:rPr>
          <w:lang w:val="uk-UA"/>
        </w:rPr>
        <w:t xml:space="preserve"> вищ</w:t>
      </w:r>
      <w:r w:rsidR="00470540">
        <w:rPr>
          <w:lang w:val="uk-UA"/>
        </w:rPr>
        <w:t>им</w:t>
      </w:r>
      <w:r w:rsidRPr="0045532E">
        <w:rPr>
          <w:lang w:val="uk-UA"/>
        </w:rPr>
        <w:t xml:space="preserve"> серед пацієнтів </w:t>
      </w:r>
      <w:r w:rsidR="00470540">
        <w:rPr>
          <w:lang w:val="uk-UA"/>
        </w:rPr>
        <w:t>і</w:t>
      </w:r>
      <w:r w:rsidRPr="0045532E">
        <w:rPr>
          <w:lang w:val="uk-UA"/>
        </w:rPr>
        <w:t xml:space="preserve">з </w:t>
      </w:r>
      <w:r w:rsidR="00AB753B">
        <w:rPr>
          <w:lang w:val="uk-UA"/>
        </w:rPr>
        <w:t xml:space="preserve">РГП, </w:t>
      </w:r>
      <w:r w:rsidRPr="0045532E">
        <w:rPr>
          <w:lang w:val="uk-UA"/>
        </w:rPr>
        <w:t xml:space="preserve"> осіб, які зловживали алкоголем, курців і молод</w:t>
      </w:r>
      <w:r w:rsidR="00470540">
        <w:rPr>
          <w:lang w:val="uk-UA"/>
        </w:rPr>
        <w:t>ш</w:t>
      </w:r>
      <w:r w:rsidRPr="0045532E">
        <w:rPr>
          <w:lang w:val="uk-UA"/>
        </w:rPr>
        <w:t xml:space="preserve">их пацієнтів з віком розвитку </w:t>
      </w:r>
      <w:r w:rsidR="00AB753B">
        <w:rPr>
          <w:lang w:val="uk-UA"/>
        </w:rPr>
        <w:t xml:space="preserve">ГП </w:t>
      </w:r>
      <w:r w:rsidRPr="0045532E">
        <w:rPr>
          <w:lang w:val="uk-UA"/>
        </w:rPr>
        <w:t>&lt;</w:t>
      </w:r>
      <w:r w:rsidR="00470540">
        <w:rPr>
          <w:lang w:val="uk-UA"/>
        </w:rPr>
        <w:t xml:space="preserve"> </w:t>
      </w:r>
      <w:r w:rsidRPr="0045532E">
        <w:rPr>
          <w:lang w:val="uk-UA"/>
        </w:rPr>
        <w:t xml:space="preserve">55 років, що оцінювалося з використанням кодів, пов'язаних </w:t>
      </w:r>
      <w:r w:rsidR="00470540">
        <w:rPr>
          <w:lang w:val="uk-UA"/>
        </w:rPr>
        <w:t>і</w:t>
      </w:r>
      <w:r w:rsidRPr="0045532E">
        <w:rPr>
          <w:lang w:val="uk-UA"/>
        </w:rPr>
        <w:t xml:space="preserve">з вживанням алкоголю, і кодів, пов'язаних </w:t>
      </w:r>
      <w:r w:rsidR="00470540">
        <w:rPr>
          <w:lang w:val="uk-UA"/>
        </w:rPr>
        <w:t>і</w:t>
      </w:r>
      <w:r w:rsidRPr="0045532E">
        <w:rPr>
          <w:lang w:val="uk-UA"/>
        </w:rPr>
        <w:t xml:space="preserve">з курінням, як сурогатів встановлення вживання алкоголю і звички до паління, відповідно. Останнім часом більшість лікарів визнали, що куріння [23, 37] також є важливим фактором ризику розвитку ХП поряд </w:t>
      </w:r>
      <w:r w:rsidR="00470540">
        <w:rPr>
          <w:lang w:val="uk-UA"/>
        </w:rPr>
        <w:t>і</w:t>
      </w:r>
      <w:r w:rsidRPr="0045532E">
        <w:rPr>
          <w:lang w:val="uk-UA"/>
        </w:rPr>
        <w:t>з Р</w:t>
      </w:r>
      <w:r w:rsidR="00AB753B">
        <w:rPr>
          <w:lang w:val="uk-UA"/>
        </w:rPr>
        <w:t xml:space="preserve">ГП </w:t>
      </w:r>
      <w:r w:rsidRPr="0045532E">
        <w:rPr>
          <w:lang w:val="uk-UA"/>
        </w:rPr>
        <w:t xml:space="preserve">[11, 19, 27] і вживанням алкоголю [13, 25]. У нашому популяційному </w:t>
      </w:r>
      <w:proofErr w:type="spellStart"/>
      <w:r w:rsidRPr="0045532E">
        <w:rPr>
          <w:lang w:val="uk-UA"/>
        </w:rPr>
        <w:t>когортно</w:t>
      </w:r>
      <w:r w:rsidR="00470540">
        <w:rPr>
          <w:lang w:val="uk-UA"/>
        </w:rPr>
        <w:t>му</w:t>
      </w:r>
      <w:proofErr w:type="spellEnd"/>
      <w:r w:rsidRPr="0045532E">
        <w:rPr>
          <w:lang w:val="uk-UA"/>
        </w:rPr>
        <w:t xml:space="preserve"> дослідженн</w:t>
      </w:r>
      <w:r w:rsidR="00470540">
        <w:rPr>
          <w:lang w:val="uk-UA"/>
        </w:rPr>
        <w:t>і</w:t>
      </w:r>
      <w:r w:rsidRPr="0045532E">
        <w:rPr>
          <w:lang w:val="uk-UA"/>
        </w:rPr>
        <w:t xml:space="preserve"> багатовимірний аналіз підтвердив, що на додаток до споживання алкоголю і </w:t>
      </w:r>
      <w:r w:rsidR="00AB753B">
        <w:rPr>
          <w:lang w:val="uk-UA"/>
        </w:rPr>
        <w:t xml:space="preserve">РГП, </w:t>
      </w:r>
      <w:r w:rsidRPr="0045532E">
        <w:rPr>
          <w:lang w:val="uk-UA"/>
        </w:rPr>
        <w:t xml:space="preserve"> куріння було незалежним чинником ризику ХП у етнічного населення Китаю (</w:t>
      </w:r>
      <w:r w:rsidR="00470540">
        <w:rPr>
          <w:lang w:val="uk-UA"/>
        </w:rPr>
        <w:t>В</w:t>
      </w:r>
      <w:r w:rsidRPr="0045532E">
        <w:rPr>
          <w:lang w:val="uk-UA"/>
        </w:rPr>
        <w:t>Р: 1,53; 95% ДІ: 1,04-2,25; P =0,029).</w:t>
      </w:r>
    </w:p>
    <w:p w:rsidR="0045532E" w:rsidRDefault="0045532E" w:rsidP="0045532E">
      <w:pPr>
        <w:autoSpaceDE w:val="0"/>
        <w:autoSpaceDN w:val="0"/>
        <w:adjustRightInd w:val="0"/>
        <w:ind w:firstLine="709"/>
        <w:rPr>
          <w:lang w:val="uk-UA"/>
        </w:rPr>
      </w:pPr>
      <w:r w:rsidRPr="0045532E">
        <w:rPr>
          <w:lang w:val="uk-UA"/>
        </w:rPr>
        <w:t xml:space="preserve">Пацієнтам </w:t>
      </w:r>
      <w:r w:rsidR="00470540">
        <w:rPr>
          <w:lang w:val="uk-UA"/>
        </w:rPr>
        <w:t>і</w:t>
      </w:r>
      <w:r w:rsidRPr="0045532E">
        <w:rPr>
          <w:lang w:val="uk-UA"/>
        </w:rPr>
        <w:t>з Р</w:t>
      </w:r>
      <w:r w:rsidR="00AB753B">
        <w:rPr>
          <w:lang w:val="uk-UA"/>
        </w:rPr>
        <w:t xml:space="preserve">ГП </w:t>
      </w:r>
      <w:r w:rsidRPr="0045532E">
        <w:rPr>
          <w:lang w:val="uk-UA"/>
        </w:rPr>
        <w:t>бу</w:t>
      </w:r>
      <w:r w:rsidR="00470540">
        <w:rPr>
          <w:lang w:val="uk-UA"/>
        </w:rPr>
        <w:t>ла</w:t>
      </w:r>
      <w:r w:rsidRPr="0045532E">
        <w:rPr>
          <w:lang w:val="uk-UA"/>
        </w:rPr>
        <w:t xml:space="preserve"> при</w:t>
      </w:r>
      <w:r w:rsidR="00470540">
        <w:rPr>
          <w:lang w:val="uk-UA"/>
        </w:rPr>
        <w:t>своєна</w:t>
      </w:r>
      <w:r w:rsidRPr="0045532E">
        <w:rPr>
          <w:lang w:val="uk-UA"/>
        </w:rPr>
        <w:t xml:space="preserve"> найвищ</w:t>
      </w:r>
      <w:r w:rsidR="00470540">
        <w:rPr>
          <w:lang w:val="uk-UA"/>
        </w:rPr>
        <w:t>а</w:t>
      </w:r>
      <w:r w:rsidRPr="0045532E">
        <w:rPr>
          <w:lang w:val="uk-UA"/>
        </w:rPr>
        <w:t xml:space="preserve"> оцінка ризику в нашій моделі прогнозування (таблиця 3). Пацієнти </w:t>
      </w:r>
      <w:r w:rsidR="00470540">
        <w:rPr>
          <w:lang w:val="uk-UA"/>
        </w:rPr>
        <w:t>і</w:t>
      </w:r>
      <w:r w:rsidRPr="0045532E">
        <w:rPr>
          <w:lang w:val="uk-UA"/>
        </w:rPr>
        <w:t>з Р</w:t>
      </w:r>
      <w:r w:rsidR="00AB753B">
        <w:rPr>
          <w:lang w:val="uk-UA"/>
        </w:rPr>
        <w:t xml:space="preserve">ГП </w:t>
      </w:r>
      <w:r w:rsidRPr="0045532E">
        <w:rPr>
          <w:lang w:val="uk-UA"/>
        </w:rPr>
        <w:t xml:space="preserve">в нашій когорті можуть представляти </w:t>
      </w:r>
      <w:r w:rsidRPr="0045532E">
        <w:rPr>
          <w:lang w:val="uk-UA"/>
        </w:rPr>
        <w:lastRenderedPageBreak/>
        <w:t>сприйнятливу популяцію, що має мутації генів або несприятливі алелі генів PRSS1, CFTR, SPINK1, CTRC і CASR, що робить їх більш чутливими до факторів навколишнього середовища, таки</w:t>
      </w:r>
      <w:r w:rsidR="00CA5E26">
        <w:rPr>
          <w:lang w:val="uk-UA"/>
        </w:rPr>
        <w:t>х</w:t>
      </w:r>
      <w:r w:rsidRPr="0045532E">
        <w:rPr>
          <w:lang w:val="uk-UA"/>
        </w:rPr>
        <w:t xml:space="preserve"> як вплив алкоголю або куріння [2, 6, 14 , 17, 25, 33, 35]. V. </w:t>
      </w:r>
      <w:proofErr w:type="spellStart"/>
      <w:r w:rsidRPr="0045532E">
        <w:rPr>
          <w:lang w:val="uk-UA"/>
        </w:rPr>
        <w:t>Keim</w:t>
      </w:r>
      <w:proofErr w:type="spellEnd"/>
      <w:r w:rsidRPr="0045532E">
        <w:rPr>
          <w:lang w:val="uk-UA"/>
        </w:rPr>
        <w:t xml:space="preserve"> [17] повідомив, що взаємодія між екологічними і генетичними факторами (тобто N34S + алкоголь або PRSS1 + куріння) ще </w:t>
      </w:r>
      <w:r w:rsidR="00D42104">
        <w:rPr>
          <w:lang w:val="uk-UA"/>
        </w:rPr>
        <w:t>підвищує</w:t>
      </w:r>
      <w:r w:rsidRPr="0045532E">
        <w:rPr>
          <w:lang w:val="uk-UA"/>
        </w:rPr>
        <w:t xml:space="preserve"> ймовірність розвитку ХП. Крім того, A.V. </w:t>
      </w:r>
      <w:proofErr w:type="spellStart"/>
      <w:r w:rsidRPr="0045532E">
        <w:rPr>
          <w:lang w:val="uk-UA"/>
        </w:rPr>
        <w:t>Polonikov</w:t>
      </w:r>
      <w:proofErr w:type="spellEnd"/>
      <w:r w:rsidRPr="0045532E">
        <w:rPr>
          <w:lang w:val="uk-UA"/>
        </w:rPr>
        <w:t xml:space="preserve"> </w:t>
      </w:r>
      <w:proofErr w:type="spellStart"/>
      <w:r w:rsidRPr="0045532E">
        <w:rPr>
          <w:lang w:val="uk-UA"/>
        </w:rPr>
        <w:t>et</w:t>
      </w:r>
      <w:proofErr w:type="spellEnd"/>
      <w:r w:rsidRPr="0045532E">
        <w:rPr>
          <w:lang w:val="uk-UA"/>
        </w:rPr>
        <w:t xml:space="preserve"> </w:t>
      </w:r>
      <w:proofErr w:type="spellStart"/>
      <w:r w:rsidRPr="0045532E">
        <w:rPr>
          <w:lang w:val="uk-UA"/>
        </w:rPr>
        <w:t>al</w:t>
      </w:r>
      <w:proofErr w:type="spellEnd"/>
      <w:r w:rsidRPr="0045532E">
        <w:rPr>
          <w:lang w:val="uk-UA"/>
        </w:rPr>
        <w:t xml:space="preserve">. [25] показали, що курці з генотипом -408CC мають підвищений ризик розвитку </w:t>
      </w:r>
      <w:r w:rsidR="00AB753B">
        <w:rPr>
          <w:lang w:val="uk-UA"/>
        </w:rPr>
        <w:t xml:space="preserve">ГП </w:t>
      </w:r>
      <w:r w:rsidRPr="0045532E">
        <w:rPr>
          <w:lang w:val="uk-UA"/>
        </w:rPr>
        <w:t>[відношення шансів (</w:t>
      </w:r>
      <w:r w:rsidR="00D42104">
        <w:rPr>
          <w:lang w:val="uk-UA"/>
        </w:rPr>
        <w:t>В</w:t>
      </w:r>
      <w:r w:rsidRPr="0045532E">
        <w:rPr>
          <w:lang w:val="uk-UA"/>
        </w:rPr>
        <w:t>Ш): 2,07], в той час як у некур</w:t>
      </w:r>
      <w:r w:rsidR="00D42104">
        <w:rPr>
          <w:lang w:val="uk-UA"/>
        </w:rPr>
        <w:t>ців</w:t>
      </w:r>
      <w:r w:rsidRPr="0045532E">
        <w:rPr>
          <w:lang w:val="uk-UA"/>
        </w:rPr>
        <w:t xml:space="preserve"> ризик захворювання</w:t>
      </w:r>
      <w:r w:rsidR="00D42104" w:rsidRPr="00D42104">
        <w:rPr>
          <w:lang w:val="uk-UA"/>
        </w:rPr>
        <w:t xml:space="preserve"> </w:t>
      </w:r>
      <w:r w:rsidR="00D42104" w:rsidRPr="0045532E">
        <w:rPr>
          <w:lang w:val="uk-UA"/>
        </w:rPr>
        <w:t>відсутній</w:t>
      </w:r>
      <w:r w:rsidRPr="0045532E">
        <w:rPr>
          <w:lang w:val="uk-UA"/>
        </w:rPr>
        <w:t xml:space="preserve">. Генетичні чинники ризику не є рідкісними серед пацієнтів </w:t>
      </w:r>
      <w:r w:rsidR="00D42104">
        <w:rPr>
          <w:lang w:val="uk-UA"/>
        </w:rPr>
        <w:t>і</w:t>
      </w:r>
      <w:r w:rsidRPr="0045532E">
        <w:rPr>
          <w:lang w:val="uk-UA"/>
        </w:rPr>
        <w:t xml:space="preserve">з ХП, і приблизно у 25% з них вони проявляються [17]. Ми висунули гіпотезу, що у частини пацієнтів </w:t>
      </w:r>
      <w:r w:rsidR="00D42104">
        <w:rPr>
          <w:lang w:val="uk-UA"/>
        </w:rPr>
        <w:t>і</w:t>
      </w:r>
      <w:r w:rsidRPr="0045532E">
        <w:rPr>
          <w:lang w:val="uk-UA"/>
        </w:rPr>
        <w:t>з Р</w:t>
      </w:r>
      <w:r w:rsidR="00AB753B">
        <w:rPr>
          <w:lang w:val="uk-UA"/>
        </w:rPr>
        <w:t xml:space="preserve">ГП </w:t>
      </w:r>
      <w:r w:rsidRPr="0045532E">
        <w:rPr>
          <w:lang w:val="uk-UA"/>
        </w:rPr>
        <w:t xml:space="preserve">є деякі генетичні порушення, і взаємодія між генетичними факторами і зовнішніми факторами (алкоголь, куріння) сприяють прогресуванню до ХП. Таким чином, не дивлячись на те, що більшість пацієнтів </w:t>
      </w:r>
      <w:r w:rsidR="00D42104">
        <w:rPr>
          <w:lang w:val="uk-UA"/>
        </w:rPr>
        <w:t>і</w:t>
      </w:r>
      <w:r w:rsidRPr="0045532E">
        <w:rPr>
          <w:lang w:val="uk-UA"/>
        </w:rPr>
        <w:t>з генетичними факторами ризику демонструють дуже повільне прогресування природного перебігу захворювання і завжди мають Р</w:t>
      </w:r>
      <w:r w:rsidR="00AB753B">
        <w:rPr>
          <w:lang w:val="uk-UA"/>
        </w:rPr>
        <w:t xml:space="preserve">ГП </w:t>
      </w:r>
      <w:r w:rsidRPr="0045532E">
        <w:rPr>
          <w:lang w:val="uk-UA"/>
        </w:rPr>
        <w:t>в молодості [17], такі фактори навколишнього середовища, як куріння, можуть запускати або прискорювати розвиток ХП на тлі генетичних порушень.</w:t>
      </w:r>
    </w:p>
    <w:p w:rsidR="00393DFF" w:rsidRPr="00393DFF" w:rsidRDefault="00393DFF" w:rsidP="00393DFF">
      <w:pPr>
        <w:autoSpaceDE w:val="0"/>
        <w:autoSpaceDN w:val="0"/>
        <w:adjustRightInd w:val="0"/>
        <w:ind w:firstLine="709"/>
        <w:rPr>
          <w:lang w:val="uk-UA"/>
        </w:rPr>
      </w:pPr>
      <w:r w:rsidRPr="00393DFF">
        <w:rPr>
          <w:lang w:val="uk-UA"/>
        </w:rPr>
        <w:t xml:space="preserve">В даному дослідженні ми виявили, що вік розвитку </w:t>
      </w:r>
      <w:r w:rsidR="00AB753B">
        <w:rPr>
          <w:lang w:val="uk-UA"/>
        </w:rPr>
        <w:t xml:space="preserve">ГП </w:t>
      </w:r>
      <w:r w:rsidRPr="00393DFF">
        <w:rPr>
          <w:lang w:val="uk-UA"/>
        </w:rPr>
        <w:t>&lt;</w:t>
      </w:r>
      <w:r w:rsidRPr="00AB753B">
        <w:rPr>
          <w:lang w:val="uk-UA"/>
        </w:rPr>
        <w:t xml:space="preserve"> </w:t>
      </w:r>
      <w:r w:rsidRPr="00393DFF">
        <w:rPr>
          <w:lang w:val="uk-UA"/>
        </w:rPr>
        <w:t xml:space="preserve">55 років є одним </w:t>
      </w:r>
      <w:r>
        <w:rPr>
          <w:lang w:val="uk-UA"/>
        </w:rPr>
        <w:t>і</w:t>
      </w:r>
      <w:r w:rsidRPr="00393DFF">
        <w:rPr>
          <w:lang w:val="uk-UA"/>
        </w:rPr>
        <w:t>з факторів ризику розвитку ХП. У перехресному дослідженні було встановлено, що більш молодий вік (</w:t>
      </w:r>
      <w:r>
        <w:rPr>
          <w:lang w:val="uk-UA"/>
        </w:rPr>
        <w:t>В</w:t>
      </w:r>
      <w:r w:rsidRPr="00393DFF">
        <w:rPr>
          <w:lang w:val="uk-UA"/>
        </w:rPr>
        <w:t>Ш: 0,80; ДІ 95%: 0,68-0,94) незалежно пов'язаний з підвищеним ризиком розвитку рецидив</w:t>
      </w:r>
      <w:r>
        <w:rPr>
          <w:lang w:val="uk-UA"/>
        </w:rPr>
        <w:t>н</w:t>
      </w:r>
      <w:r w:rsidRPr="00393DFF">
        <w:rPr>
          <w:lang w:val="uk-UA"/>
        </w:rPr>
        <w:t xml:space="preserve">ого панкреатиту [1]. Іншими словами, це дослідження показало, що старший вік є захисним фактором від рецидиву. У </w:t>
      </w:r>
      <w:proofErr w:type="spellStart"/>
      <w:r w:rsidRPr="00393DFF">
        <w:rPr>
          <w:lang w:val="uk-UA"/>
        </w:rPr>
        <w:t>проспективному</w:t>
      </w:r>
      <w:proofErr w:type="spellEnd"/>
      <w:r w:rsidRPr="00393DFF">
        <w:rPr>
          <w:lang w:val="uk-UA"/>
        </w:rPr>
        <w:t xml:space="preserve"> дослідженні з 30-річним спостереженням, проведеному за датськими реєстр</w:t>
      </w:r>
      <w:r>
        <w:rPr>
          <w:lang w:val="uk-UA"/>
        </w:rPr>
        <w:t>ами</w:t>
      </w:r>
      <w:r w:rsidRPr="00393DFF">
        <w:rPr>
          <w:lang w:val="uk-UA"/>
        </w:rPr>
        <w:t xml:space="preserve">, було відзначено, що ризик прогресування до ХП знижувався зі збільшенням віку - щороку ризик зменшувався на 2% [20], тобто вік розвитку </w:t>
      </w:r>
      <w:r w:rsidR="00AB753B">
        <w:rPr>
          <w:lang w:val="uk-UA"/>
        </w:rPr>
        <w:t xml:space="preserve">ГП </w:t>
      </w:r>
      <w:r w:rsidRPr="00393DFF">
        <w:rPr>
          <w:lang w:val="uk-UA"/>
        </w:rPr>
        <w:t xml:space="preserve">є важливою позицією при оцінці можливості розвитку ХП. P. </w:t>
      </w:r>
      <w:proofErr w:type="spellStart"/>
      <w:r w:rsidRPr="00393DFF">
        <w:rPr>
          <w:lang w:val="uk-UA"/>
        </w:rPr>
        <w:t>Layer</w:t>
      </w:r>
      <w:proofErr w:type="spellEnd"/>
      <w:r w:rsidRPr="00393DFF">
        <w:rPr>
          <w:lang w:val="uk-UA"/>
        </w:rPr>
        <w:t xml:space="preserve"> </w:t>
      </w:r>
      <w:proofErr w:type="spellStart"/>
      <w:r w:rsidRPr="00393DFF">
        <w:rPr>
          <w:lang w:val="uk-UA"/>
        </w:rPr>
        <w:t>et</w:t>
      </w:r>
      <w:proofErr w:type="spellEnd"/>
      <w:r w:rsidRPr="00393DFF">
        <w:rPr>
          <w:lang w:val="uk-UA"/>
        </w:rPr>
        <w:t xml:space="preserve"> </w:t>
      </w:r>
      <w:proofErr w:type="spellStart"/>
      <w:r w:rsidRPr="00393DFF">
        <w:rPr>
          <w:lang w:val="uk-UA"/>
        </w:rPr>
        <w:t>al</w:t>
      </w:r>
      <w:proofErr w:type="spellEnd"/>
      <w:r w:rsidRPr="00393DFF">
        <w:rPr>
          <w:lang w:val="uk-UA"/>
        </w:rPr>
        <w:t xml:space="preserve">. [20] опублікували статтю в журналі </w:t>
      </w:r>
      <w:proofErr w:type="spellStart"/>
      <w:r w:rsidRPr="00393DFF">
        <w:rPr>
          <w:lang w:val="uk-UA"/>
        </w:rPr>
        <w:t>Gastroenterology</w:t>
      </w:r>
      <w:proofErr w:type="spellEnd"/>
      <w:r w:rsidRPr="00393DFF">
        <w:rPr>
          <w:lang w:val="uk-UA"/>
        </w:rPr>
        <w:t xml:space="preserve">, в якій було показано, що у пацієнтів </w:t>
      </w:r>
      <w:r>
        <w:rPr>
          <w:lang w:val="uk-UA"/>
        </w:rPr>
        <w:t>і</w:t>
      </w:r>
      <w:r w:rsidRPr="00393DFF">
        <w:rPr>
          <w:lang w:val="uk-UA"/>
        </w:rPr>
        <w:t xml:space="preserve">з раннім і пізнім </w:t>
      </w:r>
      <w:proofErr w:type="spellStart"/>
      <w:r>
        <w:rPr>
          <w:lang w:val="uk-UA"/>
        </w:rPr>
        <w:t>ідіопатични</w:t>
      </w:r>
      <w:r w:rsidRPr="00393DFF">
        <w:rPr>
          <w:lang w:val="uk-UA"/>
        </w:rPr>
        <w:t>м</w:t>
      </w:r>
      <w:proofErr w:type="spellEnd"/>
      <w:r w:rsidRPr="00393DFF">
        <w:rPr>
          <w:lang w:val="uk-UA"/>
        </w:rPr>
        <w:t xml:space="preserve"> ХП середній вік початку виникнення симптомів становить 19 і 56 років, відповідно, у той час як у більшості пацієнтів з алкогольним ХП середній вік розвитку хвороби становив 43,9 року; це дозволяє припустити, що у більшості пацієнтів з необструктивним </w:t>
      </w:r>
      <w:proofErr w:type="spellStart"/>
      <w:r w:rsidRPr="00393DFF">
        <w:rPr>
          <w:lang w:val="uk-UA"/>
        </w:rPr>
        <w:t>небіліарн</w:t>
      </w:r>
      <w:r>
        <w:rPr>
          <w:lang w:val="uk-UA"/>
        </w:rPr>
        <w:t>им</w:t>
      </w:r>
      <w:proofErr w:type="spellEnd"/>
      <w:r w:rsidRPr="00393DFF">
        <w:rPr>
          <w:lang w:val="uk-UA"/>
        </w:rPr>
        <w:t xml:space="preserve"> ХП захворювання починається в середньому віці. Результат цього дослідження узгоджується з нашими висновками про те, що вік настання &lt;</w:t>
      </w:r>
      <w:r>
        <w:rPr>
          <w:lang w:val="uk-UA"/>
        </w:rPr>
        <w:t xml:space="preserve"> </w:t>
      </w:r>
      <w:r w:rsidRPr="00393DFF">
        <w:rPr>
          <w:lang w:val="uk-UA"/>
        </w:rPr>
        <w:t xml:space="preserve">55 років є одним </w:t>
      </w:r>
      <w:r>
        <w:rPr>
          <w:lang w:val="uk-UA"/>
        </w:rPr>
        <w:t>і</w:t>
      </w:r>
      <w:r w:rsidRPr="00393DFF">
        <w:rPr>
          <w:lang w:val="uk-UA"/>
        </w:rPr>
        <w:t>з факторів ризику розвитку ХП.</w:t>
      </w:r>
    </w:p>
    <w:p w:rsidR="00393DFF" w:rsidRDefault="00393DFF" w:rsidP="00393DFF">
      <w:pPr>
        <w:autoSpaceDE w:val="0"/>
        <w:autoSpaceDN w:val="0"/>
        <w:adjustRightInd w:val="0"/>
        <w:ind w:firstLine="709"/>
        <w:rPr>
          <w:lang w:val="uk-UA"/>
        </w:rPr>
      </w:pPr>
      <w:r w:rsidRPr="00393DFF">
        <w:rPr>
          <w:lang w:val="uk-UA"/>
        </w:rPr>
        <w:t xml:space="preserve">Загалом, ХП є постійний деструктивний, запальний процес, який в кінцевому підсумку призводить до незворотного порушення ендокринної та екзокринної функцій </w:t>
      </w:r>
      <w:r w:rsidR="00865038">
        <w:rPr>
          <w:lang w:val="uk-UA"/>
        </w:rPr>
        <w:t>підшлункової залози.</w:t>
      </w:r>
      <w:r w:rsidRPr="00393DFF">
        <w:rPr>
          <w:lang w:val="uk-UA"/>
        </w:rPr>
        <w:t xml:space="preserve"> Навпаки, ранній ХП - це захворювання, визначення якого сформульовано в 2009 році, його перебіг можна змінити при адекватному втручанн</w:t>
      </w:r>
      <w:r>
        <w:rPr>
          <w:lang w:val="uk-UA"/>
        </w:rPr>
        <w:t>і</w:t>
      </w:r>
      <w:r w:rsidRPr="00393DFF">
        <w:rPr>
          <w:lang w:val="uk-UA"/>
        </w:rPr>
        <w:t xml:space="preserve"> [38]. Використовуючи нашу модель оцінки прогнозу для ХП, ми змогли розділити наших пацієнтів на різні категорії і організувати подальші обстеження, такі як функціональне тестування </w:t>
      </w:r>
      <w:r w:rsidR="00865038">
        <w:rPr>
          <w:lang w:val="uk-UA"/>
        </w:rPr>
        <w:t>підшлункової залози</w:t>
      </w:r>
      <w:r w:rsidRPr="00393DFF">
        <w:rPr>
          <w:lang w:val="uk-UA"/>
        </w:rPr>
        <w:t xml:space="preserve"> або ендоскопічне ультразвукове дослідження після </w:t>
      </w:r>
      <w:r w:rsidR="00AB753B">
        <w:rPr>
          <w:lang w:val="uk-UA"/>
        </w:rPr>
        <w:t xml:space="preserve">ГП </w:t>
      </w:r>
      <w:r w:rsidRPr="00393DFF">
        <w:rPr>
          <w:lang w:val="uk-UA"/>
        </w:rPr>
        <w:t xml:space="preserve">для категорії високого ризику (рівень захворюваності близько 31 на 1000 людино-років на основі нашого дослідження) для виявлення ХП [16] якомога раніше і визначення оптимального періоду спостереження для пацієнтів з </w:t>
      </w:r>
      <w:r w:rsidR="00AB753B">
        <w:rPr>
          <w:lang w:val="uk-UA"/>
        </w:rPr>
        <w:t xml:space="preserve">ГП </w:t>
      </w:r>
      <w:r w:rsidRPr="00393DFF">
        <w:rPr>
          <w:lang w:val="uk-UA"/>
        </w:rPr>
        <w:t xml:space="preserve">з </w:t>
      </w:r>
      <w:proofErr w:type="spellStart"/>
      <w:r w:rsidRPr="00393DFF">
        <w:rPr>
          <w:lang w:val="uk-UA"/>
        </w:rPr>
        <w:t>небіліарно</w:t>
      </w:r>
      <w:r w:rsidR="0032776B">
        <w:rPr>
          <w:lang w:val="uk-UA"/>
        </w:rPr>
        <w:t>ю</w:t>
      </w:r>
      <w:proofErr w:type="spellEnd"/>
      <w:r w:rsidRPr="00393DFF">
        <w:rPr>
          <w:lang w:val="uk-UA"/>
        </w:rPr>
        <w:t>, необструктивно</w:t>
      </w:r>
      <w:r w:rsidR="0032776B">
        <w:rPr>
          <w:lang w:val="uk-UA"/>
        </w:rPr>
        <w:t>ю</w:t>
      </w:r>
      <w:r w:rsidRPr="00393DFF">
        <w:rPr>
          <w:lang w:val="uk-UA"/>
        </w:rPr>
        <w:t xml:space="preserve"> етіологією.</w:t>
      </w:r>
    </w:p>
    <w:p w:rsidR="0032776B" w:rsidRPr="0032776B" w:rsidRDefault="0032776B" w:rsidP="0032776B">
      <w:pPr>
        <w:autoSpaceDE w:val="0"/>
        <w:autoSpaceDN w:val="0"/>
        <w:adjustRightInd w:val="0"/>
        <w:ind w:firstLine="709"/>
        <w:rPr>
          <w:b/>
          <w:lang w:val="uk-UA"/>
        </w:rPr>
      </w:pPr>
      <w:r w:rsidRPr="0032776B">
        <w:rPr>
          <w:b/>
          <w:lang w:val="uk-UA"/>
        </w:rPr>
        <w:t>Обмеження дослідження</w:t>
      </w:r>
    </w:p>
    <w:p w:rsidR="0032776B" w:rsidRPr="0032776B" w:rsidRDefault="0032776B" w:rsidP="0032776B">
      <w:pPr>
        <w:autoSpaceDE w:val="0"/>
        <w:autoSpaceDN w:val="0"/>
        <w:adjustRightInd w:val="0"/>
        <w:ind w:firstLine="709"/>
        <w:rPr>
          <w:lang w:val="uk-UA"/>
        </w:rPr>
      </w:pPr>
      <w:r w:rsidRPr="0032776B">
        <w:rPr>
          <w:lang w:val="uk-UA"/>
        </w:rPr>
        <w:t xml:space="preserve">По-перше, визначення захворювання </w:t>
      </w:r>
      <w:r>
        <w:rPr>
          <w:lang w:val="uk-UA"/>
        </w:rPr>
        <w:t>ґ</w:t>
      </w:r>
      <w:r w:rsidRPr="0032776B">
        <w:rPr>
          <w:lang w:val="uk-UA"/>
        </w:rPr>
        <w:t xml:space="preserve">рунтувалося на кодах ICD-9-CM, привласнених NHIRD [9, 26]. Проте, дані NHIRD щодо діагнозу </w:t>
      </w:r>
      <w:r w:rsidR="00AB753B">
        <w:rPr>
          <w:lang w:val="uk-UA"/>
        </w:rPr>
        <w:t xml:space="preserve">ГП </w:t>
      </w:r>
      <w:r w:rsidRPr="0032776B">
        <w:rPr>
          <w:lang w:val="uk-UA"/>
        </w:rPr>
        <w:t xml:space="preserve">та інших супутніх захворювань були використані у відповідних дослідженнях </w:t>
      </w:r>
      <w:r w:rsidR="00AB753B">
        <w:rPr>
          <w:lang w:val="uk-UA"/>
        </w:rPr>
        <w:t xml:space="preserve">ГП </w:t>
      </w:r>
      <w:r w:rsidRPr="0032776B">
        <w:rPr>
          <w:lang w:val="uk-UA"/>
        </w:rPr>
        <w:t xml:space="preserve">і довели свою надійність [18, 21, 29, 30, 31]. Крім того, для постановки діагнозу </w:t>
      </w:r>
      <w:r w:rsidR="00AB753B">
        <w:rPr>
          <w:lang w:val="uk-UA"/>
        </w:rPr>
        <w:t xml:space="preserve">ГП </w:t>
      </w:r>
      <w:r w:rsidRPr="0032776B">
        <w:rPr>
          <w:lang w:val="uk-UA"/>
        </w:rPr>
        <w:t xml:space="preserve">ми включали тільки госпіталізованих пацієнтів з діагнозом </w:t>
      </w:r>
      <w:r w:rsidR="00AB753B">
        <w:rPr>
          <w:lang w:val="uk-UA"/>
        </w:rPr>
        <w:t xml:space="preserve">ГП </w:t>
      </w:r>
      <w:r w:rsidRPr="0032776B">
        <w:rPr>
          <w:lang w:val="uk-UA"/>
        </w:rPr>
        <w:t xml:space="preserve">і виключили всіх амбулаторних пацієнтів і пацієнтів з попереднім ХП, </w:t>
      </w:r>
      <w:proofErr w:type="spellStart"/>
      <w:r w:rsidRPr="0032776B">
        <w:rPr>
          <w:lang w:val="uk-UA"/>
        </w:rPr>
        <w:t>біліарним</w:t>
      </w:r>
      <w:proofErr w:type="spellEnd"/>
      <w:r w:rsidRPr="0032776B">
        <w:rPr>
          <w:lang w:val="uk-UA"/>
        </w:rPr>
        <w:t xml:space="preserve"> панкреатитом та обструктивним панкреатитом, щоб уникнути переоцінки випадків </w:t>
      </w:r>
      <w:r w:rsidR="00865038">
        <w:rPr>
          <w:lang w:val="uk-UA"/>
        </w:rPr>
        <w:t>ГП.</w:t>
      </w:r>
      <w:r w:rsidRPr="0032776B">
        <w:rPr>
          <w:lang w:val="uk-UA"/>
        </w:rPr>
        <w:t xml:space="preserve"> Щоб забезпечити об'єктивність діагнозу ХП, пацієнти з ХП, включені в наше дослідження, також повинні були пройти дослідження візуалізації, такі як динамічна КТ черевної порожнини або МРТ черевної порожнини в період 3 місяців до постановки діагнозу ХП. Іншими словами, в нашому дослідженні діагноз ХП не тільки </w:t>
      </w:r>
      <w:r w:rsidRPr="0032776B">
        <w:rPr>
          <w:lang w:val="uk-UA"/>
        </w:rPr>
        <w:lastRenderedPageBreak/>
        <w:t>залежав від кодування ICD-9-CM, але також був підтверджений за допомогою КТ або МРТ-дослідження.</w:t>
      </w:r>
    </w:p>
    <w:p w:rsidR="0032776B" w:rsidRPr="0032776B" w:rsidRDefault="0032776B" w:rsidP="0032776B">
      <w:pPr>
        <w:autoSpaceDE w:val="0"/>
        <w:autoSpaceDN w:val="0"/>
        <w:adjustRightInd w:val="0"/>
        <w:ind w:firstLine="709"/>
        <w:rPr>
          <w:lang w:val="uk-UA"/>
        </w:rPr>
      </w:pPr>
      <w:r w:rsidRPr="0032776B">
        <w:rPr>
          <w:lang w:val="uk-UA"/>
        </w:rPr>
        <w:t xml:space="preserve">По-друге, куріння і вживання алкоголю </w:t>
      </w:r>
      <w:r>
        <w:rPr>
          <w:lang w:val="uk-UA"/>
        </w:rPr>
        <w:t>ґ</w:t>
      </w:r>
      <w:r w:rsidRPr="0032776B">
        <w:rPr>
          <w:lang w:val="uk-UA"/>
        </w:rPr>
        <w:t>рунтувалися на кодах ICD-9-CM, які могли недооцінювати фактичну поширеність куріння і вживання алкоголю. Проте, поширеність вживання алкоголю і куріння в нашому дослідженні дуже близькі до того, про який повідомлялося в іншому національному популяційному дослідженні на Тайвані, в якому також використовувалися коди, пов'язані з вживанням алкоголю, і коди, пов'язані з курінням, відповідно [31]. З огляду на</w:t>
      </w:r>
      <w:r>
        <w:rPr>
          <w:lang w:val="uk-UA"/>
        </w:rPr>
        <w:t xml:space="preserve"> те</w:t>
      </w:r>
      <w:r w:rsidRPr="0032776B">
        <w:rPr>
          <w:lang w:val="uk-UA"/>
        </w:rPr>
        <w:t xml:space="preserve">, що метою нашого дослідження було вивчення шкідливих звичок пацієнтів і кількості епізодів </w:t>
      </w:r>
      <w:r w:rsidR="00AB753B">
        <w:rPr>
          <w:lang w:val="uk-UA"/>
        </w:rPr>
        <w:t xml:space="preserve">ГП </w:t>
      </w:r>
      <w:r w:rsidRPr="0032776B">
        <w:rPr>
          <w:lang w:val="uk-UA"/>
        </w:rPr>
        <w:t>для розвитку ХП, інформація, отримана на основі кодів ICD-9-CM, була достатньою для нашої мети. Крім того, оскільки ми використовували консервативні статистичні методи для аналізу даних, вплив споживання алкоголю і куріння можна було тільки недооцінювати, а не переоцінювати. По-третє, через потенційну систематичн</w:t>
      </w:r>
      <w:r w:rsidR="009E4F3E">
        <w:rPr>
          <w:lang w:val="uk-UA"/>
        </w:rPr>
        <w:t>у</w:t>
      </w:r>
      <w:r w:rsidRPr="0032776B">
        <w:rPr>
          <w:lang w:val="uk-UA"/>
        </w:rPr>
        <w:t xml:space="preserve"> помилк</w:t>
      </w:r>
      <w:r w:rsidR="009E4F3E">
        <w:rPr>
          <w:lang w:val="uk-UA"/>
        </w:rPr>
        <w:t>у</w:t>
      </w:r>
      <w:r w:rsidRPr="0032776B">
        <w:rPr>
          <w:lang w:val="uk-UA"/>
        </w:rPr>
        <w:t xml:space="preserve"> результати, отримані в ретроспективному </w:t>
      </w:r>
      <w:proofErr w:type="spellStart"/>
      <w:r w:rsidRPr="0032776B">
        <w:rPr>
          <w:lang w:val="uk-UA"/>
        </w:rPr>
        <w:t>когортно</w:t>
      </w:r>
      <w:r w:rsidR="009E4F3E">
        <w:rPr>
          <w:lang w:val="uk-UA"/>
        </w:rPr>
        <w:t>му</w:t>
      </w:r>
      <w:proofErr w:type="spellEnd"/>
      <w:r w:rsidRPr="0032776B">
        <w:rPr>
          <w:lang w:val="uk-UA"/>
        </w:rPr>
        <w:t xml:space="preserve"> дослідженн</w:t>
      </w:r>
      <w:r w:rsidR="009E4F3E">
        <w:rPr>
          <w:lang w:val="uk-UA"/>
        </w:rPr>
        <w:t>і</w:t>
      </w:r>
      <w:r w:rsidRPr="0032776B">
        <w:rPr>
          <w:lang w:val="uk-UA"/>
        </w:rPr>
        <w:t>, як правило, мають ни</w:t>
      </w:r>
      <w:r w:rsidR="009E4F3E">
        <w:rPr>
          <w:lang w:val="uk-UA"/>
        </w:rPr>
        <w:t>жчу</w:t>
      </w:r>
      <w:r w:rsidRPr="0032776B">
        <w:rPr>
          <w:lang w:val="uk-UA"/>
        </w:rPr>
        <w:t xml:space="preserve"> статистичн</w:t>
      </w:r>
      <w:r w:rsidR="00D86D1F">
        <w:rPr>
          <w:lang w:val="uk-UA"/>
        </w:rPr>
        <w:t>у</w:t>
      </w:r>
      <w:r w:rsidRPr="0032776B">
        <w:rPr>
          <w:lang w:val="uk-UA"/>
        </w:rPr>
        <w:t xml:space="preserve"> якість, ніж результати </w:t>
      </w:r>
      <w:proofErr w:type="spellStart"/>
      <w:r w:rsidRPr="0032776B">
        <w:rPr>
          <w:lang w:val="uk-UA"/>
        </w:rPr>
        <w:t>проспективних</w:t>
      </w:r>
      <w:proofErr w:type="spellEnd"/>
      <w:r w:rsidRPr="0032776B">
        <w:rPr>
          <w:lang w:val="uk-UA"/>
        </w:rPr>
        <w:t xml:space="preserve"> досліджень. По-четверте, оскільки на початку ми виключили пацієнтів </w:t>
      </w:r>
      <w:r w:rsidR="009E4F3E">
        <w:rPr>
          <w:lang w:val="uk-UA"/>
        </w:rPr>
        <w:t>і</w:t>
      </w:r>
      <w:r w:rsidRPr="0032776B">
        <w:rPr>
          <w:lang w:val="uk-UA"/>
        </w:rPr>
        <w:t xml:space="preserve">з </w:t>
      </w:r>
      <w:proofErr w:type="spellStart"/>
      <w:r w:rsidRPr="0032776B">
        <w:rPr>
          <w:lang w:val="uk-UA"/>
        </w:rPr>
        <w:t>біліарним</w:t>
      </w:r>
      <w:proofErr w:type="spellEnd"/>
      <w:r w:rsidRPr="0032776B">
        <w:rPr>
          <w:lang w:val="uk-UA"/>
        </w:rPr>
        <w:t xml:space="preserve"> і обструктивним панкреатитом, розроблена нами оцінка не може бути застосована у пацієнтів </w:t>
      </w:r>
      <w:r w:rsidR="009E4F3E">
        <w:rPr>
          <w:lang w:val="uk-UA"/>
        </w:rPr>
        <w:t>і</w:t>
      </w:r>
      <w:r w:rsidRPr="0032776B">
        <w:rPr>
          <w:lang w:val="uk-UA"/>
        </w:rPr>
        <w:t xml:space="preserve">з </w:t>
      </w:r>
      <w:proofErr w:type="spellStart"/>
      <w:r w:rsidRPr="0032776B">
        <w:rPr>
          <w:lang w:val="uk-UA"/>
        </w:rPr>
        <w:t>біліарним</w:t>
      </w:r>
      <w:proofErr w:type="spellEnd"/>
      <w:r w:rsidRPr="0032776B">
        <w:rPr>
          <w:lang w:val="uk-UA"/>
        </w:rPr>
        <w:t xml:space="preserve"> або обструктивним панкреатитом. Однак, щоб оцінити достовірність наших результатів, ми включили пацієнтів </w:t>
      </w:r>
      <w:r w:rsidR="009E4F3E">
        <w:rPr>
          <w:lang w:val="uk-UA"/>
        </w:rPr>
        <w:t>і</w:t>
      </w:r>
      <w:r w:rsidRPr="0032776B">
        <w:rPr>
          <w:lang w:val="uk-UA"/>
        </w:rPr>
        <w:t xml:space="preserve">з </w:t>
      </w:r>
      <w:proofErr w:type="spellStart"/>
      <w:r w:rsidRPr="0032776B">
        <w:rPr>
          <w:lang w:val="uk-UA"/>
        </w:rPr>
        <w:t>біліарним</w:t>
      </w:r>
      <w:proofErr w:type="spellEnd"/>
      <w:r w:rsidRPr="0032776B">
        <w:rPr>
          <w:lang w:val="uk-UA"/>
        </w:rPr>
        <w:t xml:space="preserve"> і обструктивним панкреатитом в аналіз чутливості.</w:t>
      </w:r>
    </w:p>
    <w:p w:rsidR="0032776B" w:rsidRPr="0032776B" w:rsidRDefault="0032776B" w:rsidP="0032776B">
      <w:pPr>
        <w:autoSpaceDE w:val="0"/>
        <w:autoSpaceDN w:val="0"/>
        <w:adjustRightInd w:val="0"/>
        <w:ind w:firstLine="709"/>
        <w:rPr>
          <w:lang w:val="uk-UA"/>
        </w:rPr>
      </w:pPr>
      <w:r w:rsidRPr="0032776B">
        <w:rPr>
          <w:lang w:val="uk-UA"/>
        </w:rPr>
        <w:t>Результати аналізу чутливості узгоджуються з результатами нашого первинного аналізу, що вказує на надійність результатів нашого дослідження.</w:t>
      </w:r>
    </w:p>
    <w:p w:rsidR="0032776B" w:rsidRPr="0032776B" w:rsidRDefault="0032776B" w:rsidP="0032776B">
      <w:pPr>
        <w:autoSpaceDE w:val="0"/>
        <w:autoSpaceDN w:val="0"/>
        <w:adjustRightInd w:val="0"/>
        <w:ind w:firstLine="709"/>
        <w:rPr>
          <w:lang w:val="uk-UA"/>
        </w:rPr>
      </w:pPr>
      <w:r w:rsidRPr="0032776B">
        <w:rPr>
          <w:lang w:val="uk-UA"/>
        </w:rPr>
        <w:t xml:space="preserve">На закінчення, в нашому великому популяційному </w:t>
      </w:r>
      <w:proofErr w:type="spellStart"/>
      <w:r w:rsidRPr="0032776B">
        <w:rPr>
          <w:lang w:val="uk-UA"/>
        </w:rPr>
        <w:t>когортно</w:t>
      </w:r>
      <w:r w:rsidR="009E4F3E">
        <w:rPr>
          <w:lang w:val="uk-UA"/>
        </w:rPr>
        <w:t>му</w:t>
      </w:r>
      <w:proofErr w:type="spellEnd"/>
      <w:r w:rsidRPr="0032776B">
        <w:rPr>
          <w:lang w:val="uk-UA"/>
        </w:rPr>
        <w:t xml:space="preserve"> дослідженн</w:t>
      </w:r>
      <w:r w:rsidR="009E4F3E">
        <w:rPr>
          <w:lang w:val="uk-UA"/>
        </w:rPr>
        <w:t>і</w:t>
      </w:r>
      <w:r w:rsidRPr="0032776B">
        <w:rPr>
          <w:lang w:val="uk-UA"/>
        </w:rPr>
        <w:t xml:space="preserve"> на Тайвані було встановлено, що наявність </w:t>
      </w:r>
      <w:r w:rsidR="00AB753B">
        <w:rPr>
          <w:lang w:val="uk-UA"/>
        </w:rPr>
        <w:t>РГП,</w:t>
      </w:r>
      <w:r w:rsidRPr="0032776B">
        <w:rPr>
          <w:lang w:val="uk-UA"/>
        </w:rPr>
        <w:t xml:space="preserve"> вживання алкоголю, вік розвитку захворювання &lt;</w:t>
      </w:r>
      <w:r w:rsidR="009E4F3E">
        <w:rPr>
          <w:lang w:val="uk-UA"/>
        </w:rPr>
        <w:t xml:space="preserve"> </w:t>
      </w:r>
      <w:r w:rsidRPr="0032776B">
        <w:rPr>
          <w:lang w:val="uk-UA"/>
        </w:rPr>
        <w:t xml:space="preserve">55 років і куріння є важливими факторами ризику розвитку ХП. Використовуючи ці параметри, ми розробили просту модель оцінки прогнозу для ХП, яка може бути легко застосована у пацієнтів </w:t>
      </w:r>
      <w:r w:rsidR="009E4F3E">
        <w:rPr>
          <w:lang w:val="uk-UA"/>
        </w:rPr>
        <w:t>і</w:t>
      </w:r>
      <w:r w:rsidRPr="0032776B">
        <w:rPr>
          <w:lang w:val="uk-UA"/>
        </w:rPr>
        <w:t xml:space="preserve">з </w:t>
      </w:r>
      <w:proofErr w:type="spellStart"/>
      <w:r w:rsidRPr="0032776B">
        <w:rPr>
          <w:lang w:val="uk-UA"/>
        </w:rPr>
        <w:t>небіліарн</w:t>
      </w:r>
      <w:r w:rsidR="009E4F3E">
        <w:rPr>
          <w:lang w:val="uk-UA"/>
        </w:rPr>
        <w:t>им</w:t>
      </w:r>
      <w:proofErr w:type="spellEnd"/>
      <w:r w:rsidRPr="0032776B">
        <w:rPr>
          <w:lang w:val="uk-UA"/>
        </w:rPr>
        <w:t xml:space="preserve">, необструктивним </w:t>
      </w:r>
      <w:r w:rsidR="00AB753B">
        <w:rPr>
          <w:lang w:val="uk-UA"/>
        </w:rPr>
        <w:t xml:space="preserve">ГП </w:t>
      </w:r>
      <w:r w:rsidRPr="0032776B">
        <w:rPr>
          <w:lang w:val="uk-UA"/>
        </w:rPr>
        <w:t xml:space="preserve">(більшість з них можуть </w:t>
      </w:r>
      <w:r w:rsidR="009E4F3E">
        <w:rPr>
          <w:lang w:val="uk-UA"/>
        </w:rPr>
        <w:t>віднос</w:t>
      </w:r>
      <w:r w:rsidRPr="0032776B">
        <w:rPr>
          <w:lang w:val="uk-UA"/>
        </w:rPr>
        <w:t>итися до «токсичного метаболічного» або «</w:t>
      </w:r>
      <w:proofErr w:type="spellStart"/>
      <w:r w:rsidRPr="0032776B">
        <w:rPr>
          <w:lang w:val="uk-UA"/>
        </w:rPr>
        <w:t>ідіопатично</w:t>
      </w:r>
      <w:r w:rsidR="009E4F3E">
        <w:rPr>
          <w:lang w:val="uk-UA"/>
        </w:rPr>
        <w:t>го</w:t>
      </w:r>
      <w:proofErr w:type="spellEnd"/>
      <w:r w:rsidRPr="0032776B">
        <w:rPr>
          <w:lang w:val="uk-UA"/>
        </w:rPr>
        <w:t xml:space="preserve"> панкреатиту» згідно з класифікацією TIGAR-О). Якщо не буд</w:t>
      </w:r>
      <w:r w:rsidR="009E4F3E">
        <w:rPr>
          <w:lang w:val="uk-UA"/>
        </w:rPr>
        <w:t>уть</w:t>
      </w:r>
      <w:r w:rsidRPr="0032776B">
        <w:rPr>
          <w:lang w:val="uk-UA"/>
        </w:rPr>
        <w:t xml:space="preserve"> визначен</w:t>
      </w:r>
      <w:r w:rsidR="009E4F3E">
        <w:rPr>
          <w:lang w:val="uk-UA"/>
        </w:rPr>
        <w:t>і</w:t>
      </w:r>
      <w:r w:rsidRPr="0032776B">
        <w:rPr>
          <w:lang w:val="uk-UA"/>
        </w:rPr>
        <w:t xml:space="preserve"> більш надійні </w:t>
      </w:r>
      <w:proofErr w:type="spellStart"/>
      <w:r w:rsidRPr="0032776B">
        <w:rPr>
          <w:lang w:val="uk-UA"/>
        </w:rPr>
        <w:t>біомаркери</w:t>
      </w:r>
      <w:proofErr w:type="spellEnd"/>
      <w:r w:rsidRPr="0032776B">
        <w:rPr>
          <w:lang w:val="uk-UA"/>
        </w:rPr>
        <w:t xml:space="preserve"> для ХП, ми вважаємо, що ця модель прогностичних оцінок може допомогти лікарям з точки зору прийняття рішень, раннього виявлення ХП і, що найважлив</w:t>
      </w:r>
      <w:r w:rsidR="009E4F3E">
        <w:rPr>
          <w:lang w:val="uk-UA"/>
        </w:rPr>
        <w:t>іше</w:t>
      </w:r>
      <w:r w:rsidRPr="0032776B">
        <w:rPr>
          <w:lang w:val="uk-UA"/>
        </w:rPr>
        <w:t>, піддати зворотному розвитку ранній ХП і запобігти розвитку ПАП</w:t>
      </w:r>
      <w:r w:rsidR="009E4F3E">
        <w:rPr>
          <w:lang w:val="uk-UA"/>
        </w:rPr>
        <w:t>З</w:t>
      </w:r>
      <w:r w:rsidRPr="0032776B">
        <w:rPr>
          <w:lang w:val="uk-UA"/>
        </w:rPr>
        <w:t>.</w:t>
      </w:r>
    </w:p>
    <w:p w:rsidR="0032776B" w:rsidRPr="0032776B" w:rsidRDefault="0032776B" w:rsidP="0032776B">
      <w:pPr>
        <w:autoSpaceDE w:val="0"/>
        <w:autoSpaceDN w:val="0"/>
        <w:adjustRightInd w:val="0"/>
        <w:ind w:firstLine="709"/>
        <w:rPr>
          <w:lang w:val="uk-UA"/>
        </w:rPr>
      </w:pPr>
    </w:p>
    <w:p w:rsidR="0032776B" w:rsidRPr="0032776B" w:rsidRDefault="0032776B" w:rsidP="009E4F3E">
      <w:pPr>
        <w:autoSpaceDE w:val="0"/>
        <w:autoSpaceDN w:val="0"/>
        <w:adjustRightInd w:val="0"/>
        <w:ind w:firstLine="709"/>
        <w:jc w:val="right"/>
        <w:rPr>
          <w:lang w:val="uk-UA"/>
        </w:rPr>
      </w:pPr>
      <w:r w:rsidRPr="0032776B">
        <w:rPr>
          <w:lang w:val="uk-UA"/>
        </w:rPr>
        <w:t xml:space="preserve">Переклад </w:t>
      </w:r>
      <w:proofErr w:type="spellStart"/>
      <w:r w:rsidRPr="0032776B">
        <w:rPr>
          <w:lang w:val="uk-UA"/>
        </w:rPr>
        <w:t>к.м.н</w:t>
      </w:r>
      <w:proofErr w:type="spellEnd"/>
      <w:r w:rsidRPr="0032776B">
        <w:rPr>
          <w:lang w:val="uk-UA"/>
        </w:rPr>
        <w:t>. Л.</w:t>
      </w:r>
      <w:r w:rsidR="009E4F3E">
        <w:rPr>
          <w:lang w:val="uk-UA"/>
        </w:rPr>
        <w:t>О</w:t>
      </w:r>
      <w:r w:rsidRPr="0032776B">
        <w:rPr>
          <w:lang w:val="uk-UA"/>
        </w:rPr>
        <w:t>. Ярошенко</w:t>
      </w:r>
    </w:p>
    <w:p w:rsidR="0032776B" w:rsidRPr="0032776B" w:rsidRDefault="0032776B" w:rsidP="009E4F3E">
      <w:pPr>
        <w:autoSpaceDE w:val="0"/>
        <w:autoSpaceDN w:val="0"/>
        <w:adjustRightInd w:val="0"/>
        <w:ind w:firstLine="709"/>
        <w:jc w:val="right"/>
        <w:rPr>
          <w:lang w:val="uk-UA"/>
        </w:rPr>
      </w:pPr>
      <w:r w:rsidRPr="0032776B">
        <w:rPr>
          <w:lang w:val="uk-UA"/>
        </w:rPr>
        <w:t xml:space="preserve">Редагування проф. Н.Б. </w:t>
      </w:r>
      <w:proofErr w:type="spellStart"/>
      <w:r w:rsidRPr="0032776B">
        <w:rPr>
          <w:lang w:val="uk-UA"/>
        </w:rPr>
        <w:t>Губергр</w:t>
      </w:r>
      <w:r w:rsidR="009E4F3E">
        <w:rPr>
          <w:lang w:val="uk-UA"/>
        </w:rPr>
        <w:t>і</w:t>
      </w:r>
      <w:r w:rsidRPr="0032776B">
        <w:rPr>
          <w:lang w:val="uk-UA"/>
        </w:rPr>
        <w:t>ц</w:t>
      </w:r>
      <w:proofErr w:type="spellEnd"/>
    </w:p>
    <w:p w:rsidR="009218ED" w:rsidRPr="00C866EA" w:rsidRDefault="009218ED" w:rsidP="005170AF">
      <w:pPr>
        <w:autoSpaceDE w:val="0"/>
        <w:autoSpaceDN w:val="0"/>
        <w:adjustRightInd w:val="0"/>
        <w:ind w:firstLine="709"/>
        <w:rPr>
          <w:b/>
        </w:rPr>
      </w:pPr>
      <w:r w:rsidRPr="00C866EA">
        <w:rPr>
          <w:b/>
        </w:rPr>
        <w:t>Л</w:t>
      </w:r>
      <w:r w:rsidR="009E4F3E" w:rsidRPr="00C866EA">
        <w:rPr>
          <w:b/>
          <w:lang w:val="uk-UA"/>
        </w:rPr>
        <w:t>і</w:t>
      </w:r>
      <w:proofErr w:type="spellStart"/>
      <w:r w:rsidRPr="00C866EA">
        <w:rPr>
          <w:b/>
        </w:rPr>
        <w:t>тератур</w:t>
      </w:r>
      <w:r w:rsidR="00E52426" w:rsidRPr="00C866EA">
        <w:rPr>
          <w:b/>
        </w:rPr>
        <w:t>а</w:t>
      </w:r>
      <w:proofErr w:type="spellEnd"/>
      <w:r w:rsidR="00E52426" w:rsidRPr="00C866EA">
        <w:rPr>
          <w:b/>
        </w:rPr>
        <w:t>:</w:t>
      </w:r>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0" w:name="_Ref24106122"/>
      <w:r w:rsidRPr="00BC641F">
        <w:rPr>
          <w:sz w:val="24"/>
          <w:szCs w:val="24"/>
          <w:lang w:val="en-US"/>
        </w:rPr>
        <w:t xml:space="preserve">Ahmed Ali U., Issa Y., </w:t>
      </w:r>
      <w:proofErr w:type="spellStart"/>
      <w:r w:rsidRPr="00BC641F">
        <w:rPr>
          <w:sz w:val="24"/>
          <w:szCs w:val="24"/>
          <w:lang w:val="en-US"/>
        </w:rPr>
        <w:t>Hagenaars</w:t>
      </w:r>
      <w:proofErr w:type="spellEnd"/>
      <w:r w:rsidRPr="00BC641F">
        <w:rPr>
          <w:sz w:val="24"/>
          <w:szCs w:val="24"/>
          <w:lang w:val="en-US"/>
        </w:rPr>
        <w:t xml:space="preserve"> J. C., Bakker O. J., van </w:t>
      </w:r>
      <w:proofErr w:type="spellStart"/>
      <w:r w:rsidRPr="00BC641F">
        <w:rPr>
          <w:sz w:val="24"/>
          <w:szCs w:val="24"/>
          <w:lang w:val="en-US"/>
        </w:rPr>
        <w:t>Goor</w:t>
      </w:r>
      <w:proofErr w:type="spellEnd"/>
      <w:r w:rsidRPr="00BC641F">
        <w:rPr>
          <w:sz w:val="24"/>
          <w:szCs w:val="24"/>
          <w:lang w:val="en-US"/>
        </w:rPr>
        <w:t xml:space="preserve"> H., </w:t>
      </w:r>
      <w:proofErr w:type="spellStart"/>
      <w:r w:rsidRPr="00BC641F">
        <w:rPr>
          <w:sz w:val="24"/>
          <w:szCs w:val="24"/>
          <w:lang w:val="en-US"/>
        </w:rPr>
        <w:t>Nieuwenhuijs</w:t>
      </w:r>
      <w:proofErr w:type="spellEnd"/>
      <w:r w:rsidRPr="00BC641F">
        <w:rPr>
          <w:sz w:val="24"/>
          <w:szCs w:val="24"/>
          <w:lang w:val="en-US"/>
        </w:rPr>
        <w:t xml:space="preserve"> V. B., </w:t>
      </w:r>
      <w:proofErr w:type="spellStart"/>
      <w:r w:rsidRPr="00BC641F">
        <w:rPr>
          <w:sz w:val="24"/>
          <w:szCs w:val="24"/>
          <w:lang w:val="en-US"/>
        </w:rPr>
        <w:t>Bollen</w:t>
      </w:r>
      <w:proofErr w:type="spellEnd"/>
      <w:r w:rsidRPr="00BC641F">
        <w:rPr>
          <w:sz w:val="24"/>
          <w:szCs w:val="24"/>
          <w:lang w:val="en-US"/>
        </w:rPr>
        <w:t xml:space="preserve"> T. L., van </w:t>
      </w:r>
      <w:proofErr w:type="spellStart"/>
      <w:r w:rsidRPr="00BC641F">
        <w:rPr>
          <w:sz w:val="24"/>
          <w:szCs w:val="24"/>
          <w:lang w:val="en-US"/>
        </w:rPr>
        <w:t>Ramshorst</w:t>
      </w:r>
      <w:proofErr w:type="spellEnd"/>
      <w:r w:rsidRPr="00BC641F">
        <w:rPr>
          <w:sz w:val="24"/>
          <w:szCs w:val="24"/>
          <w:lang w:val="en-US"/>
        </w:rPr>
        <w:t xml:space="preserve"> B., </w:t>
      </w:r>
      <w:proofErr w:type="spellStart"/>
      <w:r w:rsidRPr="00BC641F">
        <w:rPr>
          <w:sz w:val="24"/>
          <w:szCs w:val="24"/>
          <w:lang w:val="en-US"/>
        </w:rPr>
        <w:t>Witteman</w:t>
      </w:r>
      <w:proofErr w:type="spellEnd"/>
      <w:r w:rsidRPr="00BC641F">
        <w:rPr>
          <w:sz w:val="24"/>
          <w:szCs w:val="24"/>
          <w:lang w:val="en-US"/>
        </w:rPr>
        <w:t xml:space="preserve"> B. J., Brink M. A., </w:t>
      </w:r>
      <w:proofErr w:type="spellStart"/>
      <w:r w:rsidRPr="00BC641F">
        <w:rPr>
          <w:sz w:val="24"/>
          <w:szCs w:val="24"/>
          <w:lang w:val="en-US"/>
        </w:rPr>
        <w:t>Schaapherder</w:t>
      </w:r>
      <w:proofErr w:type="spellEnd"/>
      <w:r w:rsidRPr="00BC641F">
        <w:rPr>
          <w:sz w:val="24"/>
          <w:szCs w:val="24"/>
          <w:lang w:val="en-US"/>
        </w:rPr>
        <w:t xml:space="preserve"> A. F., </w:t>
      </w:r>
      <w:proofErr w:type="spellStart"/>
      <w:r w:rsidRPr="00BC641F">
        <w:rPr>
          <w:sz w:val="24"/>
          <w:szCs w:val="24"/>
          <w:lang w:val="en-US"/>
        </w:rPr>
        <w:t>Dejong</w:t>
      </w:r>
      <w:proofErr w:type="spellEnd"/>
      <w:r w:rsidRPr="00BC641F">
        <w:rPr>
          <w:sz w:val="24"/>
          <w:szCs w:val="24"/>
          <w:lang w:val="en-US"/>
        </w:rPr>
        <w:t xml:space="preserve"> C. H., </w:t>
      </w:r>
      <w:proofErr w:type="spellStart"/>
      <w:r w:rsidRPr="00BC641F">
        <w:rPr>
          <w:sz w:val="24"/>
          <w:szCs w:val="24"/>
          <w:lang w:val="en-US"/>
        </w:rPr>
        <w:t>Spanier</w:t>
      </w:r>
      <w:proofErr w:type="spellEnd"/>
      <w:r w:rsidRPr="00BC641F">
        <w:rPr>
          <w:sz w:val="24"/>
          <w:szCs w:val="24"/>
          <w:lang w:val="en-US"/>
        </w:rPr>
        <w:t xml:space="preserve"> B. W., </w:t>
      </w:r>
      <w:proofErr w:type="spellStart"/>
      <w:r w:rsidRPr="00BC641F">
        <w:rPr>
          <w:sz w:val="24"/>
          <w:szCs w:val="24"/>
          <w:lang w:val="en-US"/>
        </w:rPr>
        <w:t>Heisterkamp</w:t>
      </w:r>
      <w:proofErr w:type="spellEnd"/>
      <w:r w:rsidRPr="00BC641F">
        <w:rPr>
          <w:sz w:val="24"/>
          <w:szCs w:val="24"/>
          <w:lang w:val="en-US"/>
        </w:rPr>
        <w:t xml:space="preserve"> J., van der </w:t>
      </w:r>
      <w:proofErr w:type="spellStart"/>
      <w:r w:rsidRPr="00BC641F">
        <w:rPr>
          <w:sz w:val="24"/>
          <w:szCs w:val="24"/>
          <w:lang w:val="en-US"/>
        </w:rPr>
        <w:t>Harst</w:t>
      </w:r>
      <w:proofErr w:type="spellEnd"/>
      <w:r w:rsidRPr="00BC641F">
        <w:rPr>
          <w:sz w:val="24"/>
          <w:szCs w:val="24"/>
          <w:lang w:val="en-US"/>
        </w:rPr>
        <w:t xml:space="preserve"> E., van </w:t>
      </w:r>
      <w:proofErr w:type="spellStart"/>
      <w:r w:rsidRPr="00BC641F">
        <w:rPr>
          <w:sz w:val="24"/>
          <w:szCs w:val="24"/>
          <w:lang w:val="en-US"/>
        </w:rPr>
        <w:t>Eijck</w:t>
      </w:r>
      <w:proofErr w:type="spellEnd"/>
      <w:r w:rsidRPr="00BC641F">
        <w:rPr>
          <w:sz w:val="24"/>
          <w:szCs w:val="24"/>
          <w:lang w:val="en-US"/>
        </w:rPr>
        <w:t xml:space="preserve"> C. H., </w:t>
      </w:r>
      <w:proofErr w:type="spellStart"/>
      <w:r w:rsidRPr="00BC641F">
        <w:rPr>
          <w:sz w:val="24"/>
          <w:szCs w:val="24"/>
          <w:lang w:val="en-US"/>
        </w:rPr>
        <w:t>Besselink</w:t>
      </w:r>
      <w:proofErr w:type="spellEnd"/>
      <w:r w:rsidRPr="00BC641F">
        <w:rPr>
          <w:sz w:val="24"/>
          <w:szCs w:val="24"/>
          <w:lang w:val="en-US"/>
        </w:rPr>
        <w:t xml:space="preserve"> M. G., </w:t>
      </w:r>
      <w:proofErr w:type="spellStart"/>
      <w:r w:rsidRPr="00BC641F">
        <w:rPr>
          <w:sz w:val="24"/>
          <w:szCs w:val="24"/>
          <w:lang w:val="en-US"/>
        </w:rPr>
        <w:t>Gooszen</w:t>
      </w:r>
      <w:proofErr w:type="spellEnd"/>
      <w:r w:rsidRPr="00BC641F">
        <w:rPr>
          <w:sz w:val="24"/>
          <w:szCs w:val="24"/>
          <w:lang w:val="en-US"/>
        </w:rPr>
        <w:t xml:space="preserve"> H. G., van </w:t>
      </w:r>
      <w:proofErr w:type="spellStart"/>
      <w:r w:rsidRPr="00BC641F">
        <w:rPr>
          <w:sz w:val="24"/>
          <w:szCs w:val="24"/>
          <w:lang w:val="en-US"/>
        </w:rPr>
        <w:t>Santvoort</w:t>
      </w:r>
      <w:proofErr w:type="spellEnd"/>
      <w:r w:rsidRPr="00BC641F">
        <w:rPr>
          <w:sz w:val="24"/>
          <w:szCs w:val="24"/>
          <w:lang w:val="en-US"/>
        </w:rPr>
        <w:t xml:space="preserve"> </w:t>
      </w:r>
      <w:r w:rsidRPr="00BC641F">
        <w:rPr>
          <w:sz w:val="24"/>
          <w:szCs w:val="24"/>
          <w:lang w:val="de-DE"/>
        </w:rPr>
        <w:t xml:space="preserve">H. C., </w:t>
      </w:r>
      <w:proofErr w:type="spellStart"/>
      <w:r w:rsidRPr="00BC641F">
        <w:rPr>
          <w:sz w:val="24"/>
          <w:szCs w:val="24"/>
          <w:lang w:val="en-US"/>
        </w:rPr>
        <w:t>Boermeester</w:t>
      </w:r>
      <w:proofErr w:type="spellEnd"/>
      <w:r w:rsidRPr="00BC641F">
        <w:rPr>
          <w:sz w:val="24"/>
          <w:szCs w:val="24"/>
          <w:lang w:val="en-US"/>
        </w:rPr>
        <w:t xml:space="preserve"> M. A., Dutch Pancreatitis Study Group. Risk of Recurrent Pancreatitis and Progression to Chronic Pancreatitis After a First Episode of Acute Pancreatitis. </w:t>
      </w:r>
      <w:r w:rsidRPr="00BC641F">
        <w:rPr>
          <w:rStyle w:val="151"/>
          <w:color w:val="auto"/>
          <w:sz w:val="24"/>
          <w:szCs w:val="24"/>
        </w:rPr>
        <w:t xml:space="preserve">Clin Gastroenterol </w:t>
      </w:r>
      <w:proofErr w:type="spellStart"/>
      <w:r w:rsidRPr="00BC641F">
        <w:rPr>
          <w:rStyle w:val="151"/>
          <w:color w:val="auto"/>
          <w:sz w:val="24"/>
          <w:szCs w:val="24"/>
        </w:rPr>
        <w:t>Hepatol</w:t>
      </w:r>
      <w:proofErr w:type="spellEnd"/>
      <w:r w:rsidRPr="00BC641F">
        <w:rPr>
          <w:rStyle w:val="151"/>
          <w:color w:val="auto"/>
          <w:sz w:val="24"/>
          <w:szCs w:val="24"/>
        </w:rPr>
        <w:t>.</w:t>
      </w:r>
      <w:r w:rsidRPr="00BC641F">
        <w:rPr>
          <w:sz w:val="24"/>
          <w:szCs w:val="24"/>
          <w:lang w:val="en-US"/>
        </w:rPr>
        <w:t xml:space="preserve"> 2016. Vol. 14. P. 738–746.</w:t>
      </w:r>
      <w:bookmarkEnd w:id="0"/>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1" w:name="_Ref24106092"/>
      <w:r w:rsidRPr="00BC641F">
        <w:rPr>
          <w:sz w:val="24"/>
          <w:szCs w:val="24"/>
          <w:lang w:val="en-US"/>
        </w:rPr>
        <w:t xml:space="preserve">Alexandre M., </w:t>
      </w:r>
      <w:proofErr w:type="spellStart"/>
      <w:r w:rsidRPr="00BC641F">
        <w:rPr>
          <w:sz w:val="24"/>
          <w:szCs w:val="24"/>
          <w:lang w:val="en-US"/>
        </w:rPr>
        <w:t>Pandol</w:t>
      </w:r>
      <w:proofErr w:type="spellEnd"/>
      <w:r w:rsidRPr="00BC641F">
        <w:rPr>
          <w:sz w:val="24"/>
          <w:szCs w:val="24"/>
          <w:lang w:val="en-US"/>
        </w:rPr>
        <w:t xml:space="preserve"> S. J., </w:t>
      </w:r>
      <w:proofErr w:type="spellStart"/>
      <w:r w:rsidRPr="00BC641F">
        <w:rPr>
          <w:sz w:val="24"/>
          <w:szCs w:val="24"/>
          <w:lang w:val="de-DE"/>
        </w:rPr>
        <w:t>Gorelick</w:t>
      </w:r>
      <w:proofErr w:type="spellEnd"/>
      <w:r w:rsidRPr="00BC641F">
        <w:rPr>
          <w:sz w:val="24"/>
          <w:szCs w:val="24"/>
          <w:lang w:val="de-DE"/>
        </w:rPr>
        <w:t xml:space="preserve"> </w:t>
      </w:r>
      <w:r w:rsidRPr="00BC641F">
        <w:rPr>
          <w:sz w:val="24"/>
          <w:szCs w:val="24"/>
          <w:lang w:val="en-US"/>
        </w:rPr>
        <w:t xml:space="preserve">F. S., Thrower E. C. The emerging role of smoking in the development of pancreatitis. </w:t>
      </w:r>
      <w:proofErr w:type="spellStart"/>
      <w:r w:rsidRPr="00BC641F">
        <w:rPr>
          <w:rStyle w:val="151"/>
          <w:color w:val="auto"/>
          <w:sz w:val="24"/>
          <w:szCs w:val="24"/>
        </w:rPr>
        <w:t>Pancreatology</w:t>
      </w:r>
      <w:proofErr w:type="spellEnd"/>
      <w:r w:rsidRPr="00BC641F">
        <w:rPr>
          <w:rStyle w:val="151"/>
          <w:color w:val="auto"/>
          <w:sz w:val="24"/>
          <w:szCs w:val="24"/>
        </w:rPr>
        <w:t xml:space="preserve">. </w:t>
      </w:r>
      <w:r w:rsidRPr="00BC641F">
        <w:rPr>
          <w:sz w:val="24"/>
          <w:szCs w:val="24"/>
          <w:lang w:val="en-US"/>
        </w:rPr>
        <w:t>2011. Vol. 11. P. 469–474.</w:t>
      </w:r>
      <w:bookmarkEnd w:id="1"/>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2" w:name="_Ref24105884"/>
      <w:r w:rsidRPr="00BC641F">
        <w:rPr>
          <w:sz w:val="24"/>
          <w:szCs w:val="24"/>
          <w:lang w:val="en-US"/>
        </w:rPr>
        <w:t xml:space="preserve">Banks P. A. Epidemiology, natural history, and predictors of disease outcome in acute and chronic pancreatitis. </w:t>
      </w:r>
      <w:proofErr w:type="spellStart"/>
      <w:r w:rsidRPr="00BC641F">
        <w:rPr>
          <w:rStyle w:val="151"/>
          <w:color w:val="auto"/>
          <w:sz w:val="24"/>
          <w:szCs w:val="24"/>
        </w:rPr>
        <w:t>Gastrointest</w:t>
      </w:r>
      <w:proofErr w:type="spellEnd"/>
      <w:r w:rsidRPr="00BC641F">
        <w:rPr>
          <w:rStyle w:val="151"/>
          <w:color w:val="auto"/>
          <w:sz w:val="24"/>
          <w:szCs w:val="24"/>
        </w:rPr>
        <w:t xml:space="preserve"> </w:t>
      </w:r>
      <w:proofErr w:type="spellStart"/>
      <w:r w:rsidRPr="00BC641F">
        <w:rPr>
          <w:rStyle w:val="151"/>
          <w:color w:val="auto"/>
          <w:sz w:val="24"/>
          <w:szCs w:val="24"/>
        </w:rPr>
        <w:t>Endosc</w:t>
      </w:r>
      <w:proofErr w:type="spellEnd"/>
      <w:r w:rsidRPr="00BC641F">
        <w:rPr>
          <w:rStyle w:val="151"/>
          <w:color w:val="auto"/>
          <w:sz w:val="24"/>
          <w:szCs w:val="24"/>
        </w:rPr>
        <w:t>.</w:t>
      </w:r>
      <w:r w:rsidRPr="00BC641F">
        <w:rPr>
          <w:sz w:val="24"/>
          <w:szCs w:val="24"/>
          <w:lang w:val="en-US"/>
        </w:rPr>
        <w:t xml:space="preserve"> 2002. Vol. 56. P. S226–230.</w:t>
      </w:r>
      <w:bookmarkEnd w:id="2"/>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3" w:name="_Ref24105942"/>
      <w:r w:rsidRPr="00BC641F">
        <w:rPr>
          <w:sz w:val="24"/>
          <w:szCs w:val="24"/>
          <w:lang w:val="en-US"/>
        </w:rPr>
        <w:t xml:space="preserve">Banks </w:t>
      </w:r>
      <w:r w:rsidRPr="00BC641F">
        <w:rPr>
          <w:sz w:val="24"/>
          <w:szCs w:val="24"/>
          <w:lang w:val="de-DE"/>
        </w:rPr>
        <w:t xml:space="preserve">P. A., Bollen T. L., </w:t>
      </w:r>
      <w:proofErr w:type="spellStart"/>
      <w:r w:rsidRPr="00BC641F">
        <w:rPr>
          <w:sz w:val="24"/>
          <w:szCs w:val="24"/>
          <w:lang w:val="en-US"/>
        </w:rPr>
        <w:t>Dervenis</w:t>
      </w:r>
      <w:proofErr w:type="spellEnd"/>
      <w:r w:rsidRPr="00BC641F">
        <w:rPr>
          <w:sz w:val="24"/>
          <w:szCs w:val="24"/>
          <w:lang w:val="en-US"/>
        </w:rPr>
        <w:t xml:space="preserve"> C., </w:t>
      </w:r>
      <w:proofErr w:type="spellStart"/>
      <w:r w:rsidRPr="00BC641F">
        <w:rPr>
          <w:sz w:val="24"/>
          <w:szCs w:val="24"/>
          <w:lang w:val="de-DE"/>
        </w:rPr>
        <w:t>Gooszen</w:t>
      </w:r>
      <w:proofErr w:type="spellEnd"/>
      <w:r w:rsidRPr="00BC641F">
        <w:rPr>
          <w:sz w:val="24"/>
          <w:szCs w:val="24"/>
          <w:lang w:val="de-DE"/>
        </w:rPr>
        <w:t xml:space="preserve"> </w:t>
      </w:r>
      <w:r w:rsidRPr="00BC641F">
        <w:rPr>
          <w:sz w:val="24"/>
          <w:szCs w:val="24"/>
          <w:lang w:val="en-US"/>
        </w:rPr>
        <w:t xml:space="preserve">H. G., Johnson C. D., </w:t>
      </w:r>
      <w:proofErr w:type="spellStart"/>
      <w:r w:rsidRPr="00BC641F">
        <w:rPr>
          <w:sz w:val="24"/>
          <w:szCs w:val="24"/>
          <w:lang w:val="en-US"/>
        </w:rPr>
        <w:t>Sarr</w:t>
      </w:r>
      <w:proofErr w:type="spellEnd"/>
      <w:r w:rsidRPr="00BC641F">
        <w:rPr>
          <w:sz w:val="24"/>
          <w:szCs w:val="24"/>
          <w:lang w:val="en-US"/>
        </w:rPr>
        <w:t xml:space="preserve"> M. G., </w:t>
      </w:r>
      <w:proofErr w:type="spellStart"/>
      <w:r w:rsidRPr="00BC641F">
        <w:rPr>
          <w:sz w:val="24"/>
          <w:szCs w:val="24"/>
          <w:lang w:val="en-US"/>
        </w:rPr>
        <w:t>Tsiotos</w:t>
      </w:r>
      <w:proofErr w:type="spellEnd"/>
      <w:r w:rsidRPr="00BC641F">
        <w:rPr>
          <w:sz w:val="24"/>
          <w:szCs w:val="24"/>
          <w:lang w:val="en-US"/>
        </w:rPr>
        <w:t xml:space="preserve"> G. G., Vege S. S., Acute Pancreatitis Classification Working Group. Classification of acute pancreatitis—2012: revision of the Atlanta classification and definitions by international consensus. </w:t>
      </w:r>
      <w:r w:rsidRPr="00BC641F">
        <w:rPr>
          <w:rStyle w:val="151"/>
          <w:color w:val="auto"/>
          <w:sz w:val="24"/>
          <w:szCs w:val="24"/>
        </w:rPr>
        <w:t>Gut.</w:t>
      </w:r>
      <w:r w:rsidRPr="00BC641F">
        <w:rPr>
          <w:sz w:val="24"/>
          <w:szCs w:val="24"/>
          <w:lang w:val="en-US"/>
        </w:rPr>
        <w:t xml:space="preserve"> 2013. Vol. 62. P. 102–111.</w:t>
      </w:r>
      <w:bookmarkEnd w:id="3"/>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4" w:name="_Ref24105923"/>
      <w:r w:rsidRPr="00BC641F">
        <w:rPr>
          <w:sz w:val="24"/>
          <w:szCs w:val="24"/>
          <w:lang w:val="en-US"/>
        </w:rPr>
        <w:t xml:space="preserve">Beyer G., Mahajan </w:t>
      </w:r>
      <w:r w:rsidRPr="00BC641F">
        <w:rPr>
          <w:sz w:val="24"/>
          <w:szCs w:val="24"/>
          <w:lang w:val="de-DE"/>
        </w:rPr>
        <w:t xml:space="preserve">U. M., Budde </w:t>
      </w:r>
      <w:r w:rsidRPr="00BC641F">
        <w:rPr>
          <w:sz w:val="24"/>
          <w:szCs w:val="24"/>
          <w:lang w:val="en-US"/>
        </w:rPr>
        <w:t xml:space="preserve">C., Bulla T. J., </w:t>
      </w:r>
      <w:r w:rsidRPr="00BC641F">
        <w:rPr>
          <w:sz w:val="24"/>
          <w:szCs w:val="24"/>
          <w:lang w:val="de-DE"/>
        </w:rPr>
        <w:t xml:space="preserve">Kohlmann </w:t>
      </w:r>
      <w:r w:rsidRPr="00BC641F">
        <w:rPr>
          <w:sz w:val="24"/>
          <w:szCs w:val="24"/>
          <w:lang w:val="en-US"/>
        </w:rPr>
        <w:t xml:space="preserve">T., Kuhlmann L., </w:t>
      </w:r>
      <w:r w:rsidRPr="00BC641F">
        <w:rPr>
          <w:sz w:val="24"/>
          <w:szCs w:val="24"/>
          <w:lang w:val="de-DE"/>
        </w:rPr>
        <w:t xml:space="preserve">Schütte </w:t>
      </w:r>
      <w:r w:rsidRPr="00BC641F">
        <w:rPr>
          <w:sz w:val="24"/>
          <w:szCs w:val="24"/>
          <w:lang w:val="en-US"/>
        </w:rPr>
        <w:t xml:space="preserve">K., </w:t>
      </w:r>
      <w:proofErr w:type="spellStart"/>
      <w:r w:rsidRPr="00BC641F">
        <w:rPr>
          <w:sz w:val="24"/>
          <w:szCs w:val="24"/>
          <w:lang w:val="en-US"/>
        </w:rPr>
        <w:t>Aghdassi</w:t>
      </w:r>
      <w:proofErr w:type="spellEnd"/>
      <w:r w:rsidRPr="00BC641F">
        <w:rPr>
          <w:sz w:val="24"/>
          <w:szCs w:val="24"/>
          <w:lang w:val="en-US"/>
        </w:rPr>
        <w:t xml:space="preserve"> A. A., Weber E., Weiss F. U., Drewes A. M., Olesen </w:t>
      </w:r>
      <w:r w:rsidRPr="00BC641F">
        <w:rPr>
          <w:sz w:val="24"/>
          <w:szCs w:val="24"/>
          <w:lang w:val="de-DE"/>
        </w:rPr>
        <w:t xml:space="preserve">S. S., </w:t>
      </w:r>
      <w:r w:rsidRPr="00BC641F">
        <w:rPr>
          <w:sz w:val="24"/>
          <w:szCs w:val="24"/>
          <w:lang w:val="en-US"/>
        </w:rPr>
        <w:t xml:space="preserve">Lerch M. M., </w:t>
      </w:r>
      <w:proofErr w:type="spellStart"/>
      <w:r w:rsidRPr="00BC641F">
        <w:rPr>
          <w:sz w:val="24"/>
          <w:szCs w:val="24"/>
          <w:lang w:val="en-US"/>
        </w:rPr>
        <w:t>Mayerle</w:t>
      </w:r>
      <w:proofErr w:type="spellEnd"/>
      <w:r w:rsidRPr="00BC641F">
        <w:rPr>
          <w:sz w:val="24"/>
          <w:szCs w:val="24"/>
          <w:lang w:val="en-US"/>
        </w:rPr>
        <w:t xml:space="preserve"> J. Development and Validation of a Chronic Pancreatitis Prognosis Score in 2 </w:t>
      </w:r>
      <w:r w:rsidRPr="00BC641F">
        <w:rPr>
          <w:sz w:val="24"/>
          <w:szCs w:val="24"/>
          <w:lang w:val="en-US"/>
        </w:rPr>
        <w:lastRenderedPageBreak/>
        <w:t xml:space="preserve">Independent Cohorts. </w:t>
      </w:r>
      <w:r w:rsidRPr="00BC641F">
        <w:rPr>
          <w:rStyle w:val="151"/>
          <w:color w:val="auto"/>
          <w:sz w:val="24"/>
          <w:szCs w:val="24"/>
        </w:rPr>
        <w:t>Gastroenterology.</w:t>
      </w:r>
      <w:r w:rsidRPr="00BC641F">
        <w:rPr>
          <w:sz w:val="24"/>
          <w:szCs w:val="24"/>
          <w:lang w:val="en-US"/>
        </w:rPr>
        <w:t xml:space="preserve"> 2017. Vol. 153. P. 1544–1554.e2.</w:t>
      </w:r>
      <w:bookmarkEnd w:id="4"/>
      <w:r w:rsidRPr="00BC641F">
        <w:rPr>
          <w:sz w:val="24"/>
          <w:szCs w:val="24"/>
          <w:lang w:val="en-US"/>
        </w:rPr>
        <w:t xml:space="preserve"> </w:t>
      </w:r>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5" w:name="_Ref24106079"/>
      <w:r w:rsidRPr="00BC641F">
        <w:rPr>
          <w:sz w:val="24"/>
          <w:szCs w:val="24"/>
          <w:lang w:val="en-US"/>
        </w:rPr>
        <w:t xml:space="preserve">Centers for Disease Control and Prevention (CDC). Smoking-attributable mortality, years of potential life lost, and productivity losses--United States, 2000-2004. </w:t>
      </w:r>
      <w:r w:rsidRPr="00BC641F">
        <w:rPr>
          <w:rStyle w:val="151"/>
          <w:color w:val="auto"/>
          <w:sz w:val="24"/>
          <w:szCs w:val="24"/>
        </w:rPr>
        <w:t xml:space="preserve">MMWR </w:t>
      </w:r>
      <w:proofErr w:type="spellStart"/>
      <w:r w:rsidRPr="00BC641F">
        <w:rPr>
          <w:rStyle w:val="151"/>
          <w:color w:val="auto"/>
          <w:sz w:val="24"/>
          <w:szCs w:val="24"/>
        </w:rPr>
        <w:t>Morb</w:t>
      </w:r>
      <w:proofErr w:type="spellEnd"/>
      <w:r w:rsidRPr="00BC641F">
        <w:rPr>
          <w:rStyle w:val="151"/>
          <w:color w:val="auto"/>
          <w:sz w:val="24"/>
          <w:szCs w:val="24"/>
        </w:rPr>
        <w:t xml:space="preserve"> Mortal </w:t>
      </w:r>
      <w:proofErr w:type="spellStart"/>
      <w:r w:rsidRPr="00BC641F">
        <w:rPr>
          <w:rStyle w:val="151"/>
          <w:color w:val="auto"/>
          <w:sz w:val="24"/>
          <w:szCs w:val="24"/>
        </w:rPr>
        <w:t>Wkly</w:t>
      </w:r>
      <w:proofErr w:type="spellEnd"/>
      <w:r w:rsidRPr="00BC641F">
        <w:rPr>
          <w:rStyle w:val="151"/>
          <w:color w:val="auto"/>
          <w:sz w:val="24"/>
          <w:szCs w:val="24"/>
        </w:rPr>
        <w:t xml:space="preserve"> Rep. </w:t>
      </w:r>
      <w:r w:rsidRPr="00BC641F">
        <w:rPr>
          <w:sz w:val="24"/>
          <w:szCs w:val="24"/>
          <w:lang w:val="en-US"/>
        </w:rPr>
        <w:t>2008. Vol. 57. P. 1226–1228.</w:t>
      </w:r>
      <w:bookmarkEnd w:id="5"/>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6" w:name="_Ref24105928"/>
      <w:r w:rsidRPr="00BC641F">
        <w:rPr>
          <w:sz w:val="24"/>
          <w:szCs w:val="24"/>
          <w:lang w:val="en-US"/>
        </w:rPr>
        <w:t xml:space="preserve">Cheng C. L., Kao Y. H., Lin S. J., Lee C. H., Lai M. L. Validation of the National Health Insurance Research Database with ischemic stroke cases in Taiwan. </w:t>
      </w:r>
      <w:proofErr w:type="spellStart"/>
      <w:r w:rsidRPr="00BC641F">
        <w:rPr>
          <w:rStyle w:val="151"/>
          <w:color w:val="auto"/>
          <w:sz w:val="24"/>
          <w:szCs w:val="24"/>
        </w:rPr>
        <w:t>Pharmacoepidemiol</w:t>
      </w:r>
      <w:proofErr w:type="spellEnd"/>
      <w:r w:rsidRPr="00BC641F">
        <w:rPr>
          <w:rStyle w:val="151"/>
          <w:color w:val="auto"/>
          <w:sz w:val="24"/>
          <w:szCs w:val="24"/>
        </w:rPr>
        <w:t xml:space="preserve"> Drug </w:t>
      </w:r>
      <w:proofErr w:type="spellStart"/>
      <w:r w:rsidRPr="00BC641F">
        <w:rPr>
          <w:rStyle w:val="151"/>
          <w:color w:val="auto"/>
          <w:sz w:val="24"/>
          <w:szCs w:val="24"/>
        </w:rPr>
        <w:t>Saf</w:t>
      </w:r>
      <w:proofErr w:type="spellEnd"/>
      <w:r w:rsidRPr="00BC641F">
        <w:rPr>
          <w:rStyle w:val="151"/>
          <w:color w:val="auto"/>
          <w:sz w:val="24"/>
          <w:szCs w:val="24"/>
        </w:rPr>
        <w:t>.</w:t>
      </w:r>
      <w:r w:rsidRPr="00BC641F">
        <w:rPr>
          <w:sz w:val="24"/>
          <w:szCs w:val="24"/>
          <w:lang w:val="en-US"/>
        </w:rPr>
        <w:t xml:space="preserve"> 2011. Vol. 20. P. 236–242.</w:t>
      </w:r>
      <w:bookmarkEnd w:id="6"/>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7" w:name="_Ref24105931"/>
      <w:r w:rsidRPr="00BC641F">
        <w:rPr>
          <w:sz w:val="24"/>
          <w:szCs w:val="24"/>
          <w:lang w:val="en-US"/>
        </w:rPr>
        <w:t xml:space="preserve">Cheng C. L., </w:t>
      </w:r>
      <w:r w:rsidRPr="00BC641F">
        <w:rPr>
          <w:sz w:val="24"/>
          <w:szCs w:val="24"/>
          <w:lang w:val="de-DE"/>
        </w:rPr>
        <w:t xml:space="preserve">Lee C. H., </w:t>
      </w:r>
      <w:r w:rsidRPr="00BC641F">
        <w:rPr>
          <w:sz w:val="24"/>
          <w:szCs w:val="24"/>
          <w:lang w:val="en-US"/>
        </w:rPr>
        <w:t xml:space="preserve">Chen P. S., Li Y. H., Lin S. J., Yang Y. H. Validation of acute myocardial infarction cases in the national health insurance research database in Taiwan. </w:t>
      </w:r>
      <w:r w:rsidRPr="00BC641F">
        <w:rPr>
          <w:rStyle w:val="151"/>
          <w:color w:val="auto"/>
          <w:sz w:val="24"/>
          <w:szCs w:val="24"/>
        </w:rPr>
        <w:t>J Epidemiol.</w:t>
      </w:r>
      <w:r w:rsidRPr="00BC641F">
        <w:rPr>
          <w:sz w:val="24"/>
          <w:szCs w:val="24"/>
          <w:lang w:val="en-US"/>
        </w:rPr>
        <w:t xml:space="preserve"> 2014. Vol. 24. P. 500–507.</w:t>
      </w:r>
      <w:bookmarkEnd w:id="7"/>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8" w:name="_Ref24106144"/>
      <w:proofErr w:type="spellStart"/>
      <w:r w:rsidRPr="00BC641F">
        <w:rPr>
          <w:sz w:val="24"/>
          <w:szCs w:val="24"/>
          <w:lang w:val="en-US"/>
        </w:rPr>
        <w:t>Deyo</w:t>
      </w:r>
      <w:proofErr w:type="spellEnd"/>
      <w:r w:rsidRPr="00BC641F">
        <w:rPr>
          <w:sz w:val="24"/>
          <w:szCs w:val="24"/>
          <w:lang w:val="en-US"/>
        </w:rPr>
        <w:t xml:space="preserve"> R. A., </w:t>
      </w:r>
      <w:proofErr w:type="spellStart"/>
      <w:r w:rsidRPr="00BC641F">
        <w:rPr>
          <w:sz w:val="24"/>
          <w:szCs w:val="24"/>
          <w:lang w:val="en-US"/>
        </w:rPr>
        <w:t>Cherkin</w:t>
      </w:r>
      <w:proofErr w:type="spellEnd"/>
      <w:r w:rsidRPr="00BC641F">
        <w:rPr>
          <w:sz w:val="24"/>
          <w:szCs w:val="24"/>
          <w:lang w:val="en-US"/>
        </w:rPr>
        <w:t xml:space="preserve"> D. C., </w:t>
      </w:r>
      <w:proofErr w:type="spellStart"/>
      <w:r w:rsidRPr="00BC641F">
        <w:rPr>
          <w:sz w:val="24"/>
          <w:szCs w:val="24"/>
          <w:lang w:val="en-US"/>
        </w:rPr>
        <w:t>Ciol</w:t>
      </w:r>
      <w:proofErr w:type="spellEnd"/>
      <w:r w:rsidRPr="00BC641F">
        <w:rPr>
          <w:sz w:val="24"/>
          <w:szCs w:val="24"/>
          <w:lang w:val="en-US"/>
        </w:rPr>
        <w:t xml:space="preserve"> M. A. Adapting a clinical comorbidity index for use with ICD-9-CM administrative databases. </w:t>
      </w:r>
      <w:r w:rsidRPr="00BC641F">
        <w:rPr>
          <w:rStyle w:val="151"/>
          <w:color w:val="auto"/>
          <w:sz w:val="24"/>
          <w:szCs w:val="24"/>
        </w:rPr>
        <w:t>J Clin Epidemiol.</w:t>
      </w:r>
      <w:r w:rsidRPr="00BC641F">
        <w:rPr>
          <w:sz w:val="24"/>
          <w:szCs w:val="24"/>
          <w:lang w:val="en-US"/>
        </w:rPr>
        <w:t xml:space="preserve"> 1992. Vol. 45. P. 613–619.</w:t>
      </w:r>
      <w:bookmarkEnd w:id="8"/>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9" w:name="_Ref24105913"/>
      <w:r w:rsidRPr="00BC641F">
        <w:rPr>
          <w:sz w:val="24"/>
          <w:szCs w:val="24"/>
          <w:lang w:val="de-DE"/>
        </w:rPr>
        <w:t xml:space="preserve">Di </w:t>
      </w:r>
      <w:r w:rsidRPr="00BC641F">
        <w:rPr>
          <w:sz w:val="24"/>
          <w:szCs w:val="24"/>
          <w:lang w:val="en-US"/>
        </w:rPr>
        <w:t xml:space="preserve">Leo M., Leandro G., Singh S. K., </w:t>
      </w:r>
      <w:proofErr w:type="spellStart"/>
      <w:r w:rsidRPr="00BC641F">
        <w:rPr>
          <w:sz w:val="24"/>
          <w:szCs w:val="24"/>
          <w:lang w:val="en-US"/>
        </w:rPr>
        <w:t>Mariani</w:t>
      </w:r>
      <w:proofErr w:type="spellEnd"/>
      <w:r w:rsidRPr="00BC641F">
        <w:rPr>
          <w:sz w:val="24"/>
          <w:szCs w:val="24"/>
          <w:lang w:val="en-US"/>
        </w:rPr>
        <w:t xml:space="preserve"> A., Bianco M., </w:t>
      </w:r>
      <w:proofErr w:type="spellStart"/>
      <w:r w:rsidRPr="00BC641F">
        <w:rPr>
          <w:sz w:val="24"/>
          <w:szCs w:val="24"/>
          <w:lang w:val="en-US"/>
        </w:rPr>
        <w:t>Zuppardo</w:t>
      </w:r>
      <w:proofErr w:type="spellEnd"/>
      <w:r w:rsidRPr="00BC641F">
        <w:rPr>
          <w:sz w:val="24"/>
          <w:szCs w:val="24"/>
          <w:lang w:val="en-US"/>
        </w:rPr>
        <w:t xml:space="preserve"> </w:t>
      </w:r>
      <w:r w:rsidRPr="00BC641F">
        <w:rPr>
          <w:sz w:val="24"/>
          <w:szCs w:val="24"/>
          <w:lang w:val="de-DE"/>
        </w:rPr>
        <w:t xml:space="preserve">R. A., </w:t>
      </w:r>
      <w:proofErr w:type="spellStart"/>
      <w:r w:rsidRPr="00BC641F">
        <w:rPr>
          <w:sz w:val="24"/>
          <w:szCs w:val="24"/>
          <w:lang w:val="en-US"/>
        </w:rPr>
        <w:t>Goni</w:t>
      </w:r>
      <w:proofErr w:type="spellEnd"/>
      <w:r w:rsidRPr="00BC641F">
        <w:rPr>
          <w:sz w:val="24"/>
          <w:szCs w:val="24"/>
          <w:lang w:val="en-US"/>
        </w:rPr>
        <w:t xml:space="preserve"> E., </w:t>
      </w:r>
      <w:proofErr w:type="spellStart"/>
      <w:r w:rsidRPr="00BC641F">
        <w:rPr>
          <w:sz w:val="24"/>
          <w:szCs w:val="24"/>
          <w:lang w:val="en-US"/>
        </w:rPr>
        <w:t>Rogger</w:t>
      </w:r>
      <w:proofErr w:type="spellEnd"/>
      <w:r w:rsidRPr="00BC641F">
        <w:rPr>
          <w:sz w:val="24"/>
          <w:szCs w:val="24"/>
          <w:lang w:val="en-US"/>
        </w:rPr>
        <w:t xml:space="preserve"> </w:t>
      </w:r>
      <w:r w:rsidRPr="00BC641F">
        <w:rPr>
          <w:sz w:val="24"/>
          <w:szCs w:val="24"/>
          <w:lang w:val="de-DE"/>
        </w:rPr>
        <w:t xml:space="preserve">T. M., </w:t>
      </w:r>
      <w:r w:rsidRPr="00BC641F">
        <w:rPr>
          <w:sz w:val="24"/>
          <w:szCs w:val="24"/>
          <w:lang w:val="en-US"/>
        </w:rPr>
        <w:t xml:space="preserve">Di Mario F., </w:t>
      </w:r>
      <w:proofErr w:type="spellStart"/>
      <w:r w:rsidRPr="00BC641F">
        <w:rPr>
          <w:sz w:val="24"/>
          <w:szCs w:val="24"/>
          <w:lang w:val="en-US"/>
        </w:rPr>
        <w:t>Guslandi</w:t>
      </w:r>
      <w:proofErr w:type="spellEnd"/>
      <w:r w:rsidRPr="00BC641F">
        <w:rPr>
          <w:sz w:val="24"/>
          <w:szCs w:val="24"/>
          <w:lang w:val="en-US"/>
        </w:rPr>
        <w:t xml:space="preserve"> M., </w:t>
      </w:r>
      <w:r w:rsidRPr="00BC641F">
        <w:rPr>
          <w:sz w:val="24"/>
          <w:szCs w:val="24"/>
          <w:lang w:val="de-DE"/>
        </w:rPr>
        <w:t xml:space="preserve">De </w:t>
      </w:r>
      <w:proofErr w:type="spellStart"/>
      <w:r w:rsidRPr="00BC641F">
        <w:rPr>
          <w:sz w:val="24"/>
          <w:szCs w:val="24"/>
          <w:lang w:val="en-US"/>
        </w:rPr>
        <w:t>Cobelli</w:t>
      </w:r>
      <w:proofErr w:type="spellEnd"/>
      <w:r w:rsidRPr="00BC641F">
        <w:rPr>
          <w:sz w:val="24"/>
          <w:szCs w:val="24"/>
          <w:lang w:val="en-US"/>
        </w:rPr>
        <w:t xml:space="preserve"> F., Del </w:t>
      </w:r>
      <w:proofErr w:type="spellStart"/>
      <w:r w:rsidRPr="00BC641F">
        <w:rPr>
          <w:sz w:val="24"/>
          <w:szCs w:val="24"/>
          <w:lang w:val="en-US"/>
        </w:rPr>
        <w:t>Maschio</w:t>
      </w:r>
      <w:proofErr w:type="spellEnd"/>
      <w:r w:rsidRPr="00BC641F">
        <w:rPr>
          <w:sz w:val="24"/>
          <w:szCs w:val="24"/>
          <w:lang w:val="en-US"/>
        </w:rPr>
        <w:t xml:space="preserve"> A., </w:t>
      </w:r>
      <w:proofErr w:type="spellStart"/>
      <w:r w:rsidRPr="00BC641F">
        <w:rPr>
          <w:sz w:val="24"/>
          <w:szCs w:val="24"/>
          <w:lang w:val="en-US"/>
        </w:rPr>
        <w:t>Testoni</w:t>
      </w:r>
      <w:proofErr w:type="spellEnd"/>
      <w:r w:rsidRPr="00BC641F">
        <w:rPr>
          <w:sz w:val="24"/>
          <w:szCs w:val="24"/>
          <w:lang w:val="en-US"/>
        </w:rPr>
        <w:t xml:space="preserve"> P. A., </w:t>
      </w:r>
      <w:proofErr w:type="spellStart"/>
      <w:r w:rsidRPr="00BC641F">
        <w:rPr>
          <w:sz w:val="24"/>
          <w:szCs w:val="24"/>
          <w:lang w:val="en-US"/>
        </w:rPr>
        <w:t>Cavestro</w:t>
      </w:r>
      <w:proofErr w:type="spellEnd"/>
      <w:r w:rsidRPr="00BC641F">
        <w:rPr>
          <w:sz w:val="24"/>
          <w:szCs w:val="24"/>
          <w:lang w:val="en-US"/>
        </w:rPr>
        <w:t xml:space="preserve"> G. M. Low Alcohol and Cigarette Use Is Associated to the Risk of Developing Chronic Pancreatitis. </w:t>
      </w:r>
      <w:r w:rsidRPr="00BC641F">
        <w:rPr>
          <w:rStyle w:val="151"/>
          <w:color w:val="auto"/>
          <w:sz w:val="24"/>
          <w:szCs w:val="24"/>
        </w:rPr>
        <w:t>Pancreas.</w:t>
      </w:r>
      <w:r w:rsidRPr="00BC641F">
        <w:rPr>
          <w:sz w:val="24"/>
          <w:szCs w:val="24"/>
          <w:lang w:val="en-US"/>
        </w:rPr>
        <w:t xml:space="preserve"> 2017. Vol. 46. P. 225–229.</w:t>
      </w:r>
      <w:bookmarkEnd w:id="9"/>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10" w:name="_Ref24105997"/>
      <w:proofErr w:type="spellStart"/>
      <w:r w:rsidRPr="00BC641F">
        <w:rPr>
          <w:sz w:val="24"/>
          <w:szCs w:val="24"/>
          <w:lang w:val="en-US"/>
        </w:rPr>
        <w:t>Etemad</w:t>
      </w:r>
      <w:proofErr w:type="spellEnd"/>
      <w:r w:rsidRPr="00BC641F">
        <w:rPr>
          <w:sz w:val="24"/>
          <w:szCs w:val="24"/>
          <w:lang w:val="en-US"/>
        </w:rPr>
        <w:t xml:space="preserve"> B., Whitcomb D. C. Chronic pancreatitis: diagnosis, classification, and new genetic developments. </w:t>
      </w:r>
      <w:r w:rsidRPr="00BC641F">
        <w:rPr>
          <w:rStyle w:val="151"/>
          <w:color w:val="auto"/>
          <w:sz w:val="24"/>
          <w:szCs w:val="24"/>
        </w:rPr>
        <w:t xml:space="preserve">Gastroenterology. </w:t>
      </w:r>
      <w:r w:rsidRPr="00BC641F">
        <w:rPr>
          <w:sz w:val="24"/>
          <w:szCs w:val="24"/>
          <w:lang w:val="en-US"/>
        </w:rPr>
        <w:t>2001. Vol. 120. P. 682–707.</w:t>
      </w:r>
      <w:bookmarkEnd w:id="10"/>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11" w:name="_Ref24105976"/>
      <w:r w:rsidRPr="00BC641F">
        <w:rPr>
          <w:sz w:val="24"/>
          <w:szCs w:val="24"/>
          <w:lang w:val="en-US"/>
        </w:rPr>
        <w:t xml:space="preserve">Garg P. K. Chronic pancreatitis in India and Asia. </w:t>
      </w:r>
      <w:proofErr w:type="spellStart"/>
      <w:r w:rsidRPr="00BC641F">
        <w:rPr>
          <w:rStyle w:val="151"/>
          <w:color w:val="auto"/>
          <w:sz w:val="24"/>
          <w:szCs w:val="24"/>
        </w:rPr>
        <w:t>Curr</w:t>
      </w:r>
      <w:proofErr w:type="spellEnd"/>
      <w:r w:rsidRPr="00BC641F">
        <w:rPr>
          <w:rStyle w:val="151"/>
          <w:color w:val="auto"/>
          <w:sz w:val="24"/>
          <w:szCs w:val="24"/>
        </w:rPr>
        <w:t xml:space="preserve"> Gastro</w:t>
      </w:r>
      <w:r w:rsidRPr="00BC641F">
        <w:rPr>
          <w:rStyle w:val="151"/>
          <w:color w:val="auto"/>
          <w:sz w:val="24"/>
          <w:szCs w:val="24"/>
        </w:rPr>
        <w:softHyphen/>
        <w:t>enterol Rep.</w:t>
      </w:r>
      <w:r w:rsidRPr="00BC641F">
        <w:rPr>
          <w:sz w:val="24"/>
          <w:szCs w:val="24"/>
          <w:lang w:val="en-US"/>
        </w:rPr>
        <w:t xml:space="preserve"> 2012. Vol. 14. P. 118–124.</w:t>
      </w:r>
      <w:bookmarkEnd w:id="11"/>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12" w:name="_Ref24106051"/>
      <w:r w:rsidRPr="00BC641F">
        <w:rPr>
          <w:sz w:val="24"/>
          <w:szCs w:val="24"/>
          <w:lang w:val="de-DE"/>
        </w:rPr>
        <w:t xml:space="preserve">Hartwig </w:t>
      </w:r>
      <w:r w:rsidRPr="00BC641F">
        <w:rPr>
          <w:sz w:val="24"/>
          <w:szCs w:val="24"/>
          <w:lang w:val="en-US"/>
        </w:rPr>
        <w:t xml:space="preserve">W., Werner J., </w:t>
      </w:r>
      <w:proofErr w:type="spellStart"/>
      <w:r w:rsidRPr="00BC641F">
        <w:rPr>
          <w:sz w:val="24"/>
          <w:szCs w:val="24"/>
          <w:lang w:val="en-US"/>
        </w:rPr>
        <w:t>Ryschich</w:t>
      </w:r>
      <w:proofErr w:type="spellEnd"/>
      <w:r w:rsidRPr="00BC641F">
        <w:rPr>
          <w:sz w:val="24"/>
          <w:szCs w:val="24"/>
          <w:lang w:val="en-US"/>
        </w:rPr>
        <w:t xml:space="preserve"> E., Mayer H., Schmidt J., </w:t>
      </w:r>
      <w:r w:rsidRPr="00BC641F">
        <w:rPr>
          <w:sz w:val="24"/>
          <w:szCs w:val="24"/>
          <w:lang w:val="de-DE"/>
        </w:rPr>
        <w:t xml:space="preserve">Gebhard M. M., </w:t>
      </w:r>
      <w:proofErr w:type="spellStart"/>
      <w:r w:rsidRPr="00BC641F">
        <w:rPr>
          <w:sz w:val="24"/>
          <w:szCs w:val="24"/>
          <w:lang w:val="de-DE"/>
        </w:rPr>
        <w:t>Herfarth</w:t>
      </w:r>
      <w:proofErr w:type="spellEnd"/>
      <w:r w:rsidRPr="00BC641F">
        <w:rPr>
          <w:sz w:val="24"/>
          <w:szCs w:val="24"/>
          <w:lang w:val="de-DE"/>
        </w:rPr>
        <w:t xml:space="preserve"> C., Klar E. </w:t>
      </w:r>
      <w:proofErr w:type="spellStart"/>
      <w:r w:rsidRPr="00BC641F">
        <w:rPr>
          <w:sz w:val="24"/>
          <w:szCs w:val="24"/>
          <w:lang w:val="de-DE"/>
        </w:rPr>
        <w:t>Cigarette</w:t>
      </w:r>
      <w:proofErr w:type="spellEnd"/>
      <w:r w:rsidRPr="00BC641F">
        <w:rPr>
          <w:sz w:val="24"/>
          <w:szCs w:val="24"/>
          <w:lang w:val="de-DE"/>
        </w:rPr>
        <w:t xml:space="preserve"> smoke </w:t>
      </w:r>
      <w:proofErr w:type="spellStart"/>
      <w:r w:rsidRPr="00BC641F">
        <w:rPr>
          <w:sz w:val="24"/>
          <w:szCs w:val="24"/>
          <w:lang w:val="de-DE"/>
        </w:rPr>
        <w:t>enhances</w:t>
      </w:r>
      <w:proofErr w:type="spellEnd"/>
      <w:r w:rsidRPr="00BC641F">
        <w:rPr>
          <w:sz w:val="24"/>
          <w:szCs w:val="24"/>
          <w:lang w:val="de-DE"/>
        </w:rPr>
        <w:t xml:space="preserve"> </w:t>
      </w:r>
      <w:proofErr w:type="spellStart"/>
      <w:r w:rsidRPr="00BC641F">
        <w:rPr>
          <w:sz w:val="24"/>
          <w:szCs w:val="24"/>
          <w:lang w:val="de-DE"/>
        </w:rPr>
        <w:t>ethanol-induced</w:t>
      </w:r>
      <w:proofErr w:type="spellEnd"/>
      <w:r w:rsidRPr="00BC641F">
        <w:rPr>
          <w:sz w:val="24"/>
          <w:szCs w:val="24"/>
          <w:lang w:val="de-DE"/>
        </w:rPr>
        <w:t xml:space="preserve"> </w:t>
      </w:r>
      <w:r w:rsidRPr="00BC641F">
        <w:rPr>
          <w:sz w:val="24"/>
          <w:szCs w:val="24"/>
          <w:lang w:val="en-US"/>
        </w:rPr>
        <w:t xml:space="preserve">pancreatic injury. </w:t>
      </w:r>
      <w:r w:rsidRPr="00BC641F">
        <w:rPr>
          <w:rStyle w:val="151"/>
          <w:color w:val="auto"/>
          <w:sz w:val="24"/>
          <w:szCs w:val="24"/>
        </w:rPr>
        <w:t>Pancreas.</w:t>
      </w:r>
      <w:r w:rsidRPr="00BC641F">
        <w:rPr>
          <w:sz w:val="24"/>
          <w:szCs w:val="24"/>
          <w:lang w:val="en-US"/>
        </w:rPr>
        <w:t xml:space="preserve"> 2000. Vol. 21. P. 272–278.</w:t>
      </w:r>
      <w:bookmarkEnd w:id="12"/>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13" w:name="_Ref24106085"/>
      <w:proofErr w:type="spellStart"/>
      <w:r w:rsidRPr="00BC641F">
        <w:rPr>
          <w:sz w:val="24"/>
          <w:szCs w:val="24"/>
          <w:lang w:val="en-US"/>
        </w:rPr>
        <w:t>Henfling</w:t>
      </w:r>
      <w:proofErr w:type="spellEnd"/>
      <w:r w:rsidRPr="00BC641F">
        <w:rPr>
          <w:sz w:val="24"/>
          <w:szCs w:val="24"/>
          <w:lang w:val="en-US"/>
        </w:rPr>
        <w:t xml:space="preserve"> P. A., Lowry L. W. Nursing shortage. Catalyst for administrative/educational partnership. </w:t>
      </w:r>
      <w:r w:rsidRPr="00BC641F">
        <w:rPr>
          <w:rStyle w:val="151"/>
          <w:color w:val="auto"/>
          <w:sz w:val="24"/>
          <w:szCs w:val="24"/>
        </w:rPr>
        <w:t xml:space="preserve">J </w:t>
      </w:r>
      <w:proofErr w:type="spellStart"/>
      <w:r w:rsidRPr="00BC641F">
        <w:rPr>
          <w:rStyle w:val="151"/>
          <w:color w:val="auto"/>
          <w:sz w:val="24"/>
          <w:szCs w:val="24"/>
        </w:rPr>
        <w:t>Nurs</w:t>
      </w:r>
      <w:proofErr w:type="spellEnd"/>
      <w:r w:rsidRPr="00BC641F">
        <w:rPr>
          <w:rStyle w:val="151"/>
          <w:color w:val="auto"/>
          <w:sz w:val="24"/>
          <w:szCs w:val="24"/>
        </w:rPr>
        <w:t xml:space="preserve"> Staff Dev.</w:t>
      </w:r>
      <w:r w:rsidRPr="00BC641F">
        <w:rPr>
          <w:sz w:val="24"/>
          <w:szCs w:val="24"/>
          <w:lang w:val="en-US"/>
        </w:rPr>
        <w:t xml:space="preserve"> 1990. Vol. 6. P. 121–125.</w:t>
      </w:r>
      <w:bookmarkEnd w:id="13"/>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14" w:name="_Ref24105935"/>
      <w:r w:rsidRPr="00BC641F">
        <w:rPr>
          <w:sz w:val="24"/>
          <w:szCs w:val="24"/>
          <w:lang w:val="en-US"/>
        </w:rPr>
        <w:t xml:space="preserve">Hsu T. W., Liu J. S., Hung S. C., </w:t>
      </w:r>
      <w:proofErr w:type="spellStart"/>
      <w:r w:rsidRPr="00BC641F">
        <w:rPr>
          <w:sz w:val="24"/>
          <w:szCs w:val="24"/>
          <w:lang w:val="en-US"/>
        </w:rPr>
        <w:t>Kuo</w:t>
      </w:r>
      <w:proofErr w:type="spellEnd"/>
      <w:r w:rsidRPr="00BC641F">
        <w:rPr>
          <w:sz w:val="24"/>
          <w:szCs w:val="24"/>
          <w:lang w:val="en-US"/>
        </w:rPr>
        <w:t xml:space="preserve"> K. L., Chang Y. K., Chen Y. C., Hsu C. C., </w:t>
      </w:r>
      <w:proofErr w:type="spellStart"/>
      <w:r w:rsidRPr="00BC641F">
        <w:rPr>
          <w:sz w:val="24"/>
          <w:szCs w:val="24"/>
          <w:lang w:val="en-US"/>
        </w:rPr>
        <w:t>Tarng</w:t>
      </w:r>
      <w:proofErr w:type="spellEnd"/>
      <w:r w:rsidRPr="00BC641F">
        <w:rPr>
          <w:sz w:val="24"/>
          <w:szCs w:val="24"/>
          <w:lang w:val="en-US"/>
        </w:rPr>
        <w:t xml:space="preserve"> D. C. </w:t>
      </w:r>
      <w:proofErr w:type="spellStart"/>
      <w:r w:rsidRPr="00BC641F">
        <w:rPr>
          <w:sz w:val="24"/>
          <w:szCs w:val="24"/>
          <w:lang w:val="en-US"/>
        </w:rPr>
        <w:t>Renoprotective</w:t>
      </w:r>
      <w:proofErr w:type="spellEnd"/>
      <w:r w:rsidRPr="00BC641F">
        <w:rPr>
          <w:sz w:val="24"/>
          <w:szCs w:val="24"/>
          <w:lang w:val="en-US"/>
        </w:rPr>
        <w:t xml:space="preserve"> effect of renin-angiotensin- aldosterone system blockade in patients with </w:t>
      </w:r>
      <w:proofErr w:type="spellStart"/>
      <w:r w:rsidRPr="00BC641F">
        <w:rPr>
          <w:sz w:val="24"/>
          <w:szCs w:val="24"/>
          <w:lang w:val="en-US"/>
        </w:rPr>
        <w:t>predialysis</w:t>
      </w:r>
      <w:proofErr w:type="spellEnd"/>
      <w:r w:rsidRPr="00BC641F">
        <w:rPr>
          <w:sz w:val="24"/>
          <w:szCs w:val="24"/>
          <w:lang w:val="en-US"/>
        </w:rPr>
        <w:t xml:space="preserve"> advanced chronic kidney disease, hypertension, and anemia. </w:t>
      </w:r>
      <w:r w:rsidRPr="00BC641F">
        <w:rPr>
          <w:rStyle w:val="151"/>
          <w:color w:val="auto"/>
          <w:sz w:val="24"/>
          <w:szCs w:val="24"/>
        </w:rPr>
        <w:t>JAMA Intern Med.</w:t>
      </w:r>
      <w:r w:rsidRPr="00BC641F">
        <w:rPr>
          <w:sz w:val="24"/>
          <w:szCs w:val="24"/>
          <w:lang w:val="en-US"/>
        </w:rPr>
        <w:t xml:space="preserve"> 2014. Vol. 174. P. 347–354.</w:t>
      </w:r>
      <w:bookmarkEnd w:id="14"/>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15" w:name="_Ref24106141"/>
      <w:r w:rsidRPr="00BC641F">
        <w:rPr>
          <w:sz w:val="24"/>
          <w:szCs w:val="24"/>
          <w:lang w:val="en-US"/>
        </w:rPr>
        <w:t xml:space="preserve">Ito T., Ishiguro H., Ohara H., </w:t>
      </w:r>
      <w:proofErr w:type="spellStart"/>
      <w:r w:rsidRPr="00BC641F">
        <w:rPr>
          <w:sz w:val="24"/>
          <w:szCs w:val="24"/>
          <w:lang w:val="en-US"/>
        </w:rPr>
        <w:t>Kamisawa</w:t>
      </w:r>
      <w:proofErr w:type="spellEnd"/>
      <w:r w:rsidRPr="00BC641F">
        <w:rPr>
          <w:sz w:val="24"/>
          <w:szCs w:val="24"/>
          <w:lang w:val="en-US"/>
        </w:rPr>
        <w:t xml:space="preserve"> T., Sakagami J., </w:t>
      </w:r>
      <w:proofErr w:type="spellStart"/>
      <w:r w:rsidRPr="00BC641F">
        <w:rPr>
          <w:sz w:val="24"/>
          <w:szCs w:val="24"/>
          <w:lang w:val="en-US"/>
        </w:rPr>
        <w:t>Sata</w:t>
      </w:r>
      <w:proofErr w:type="spellEnd"/>
      <w:r w:rsidRPr="00BC641F">
        <w:rPr>
          <w:sz w:val="24"/>
          <w:szCs w:val="24"/>
          <w:lang w:val="en-US"/>
        </w:rPr>
        <w:t xml:space="preserve"> N., Takeyama Y., </w:t>
      </w:r>
      <w:proofErr w:type="spellStart"/>
      <w:r w:rsidRPr="00BC641F">
        <w:rPr>
          <w:sz w:val="24"/>
          <w:szCs w:val="24"/>
          <w:lang w:val="en-US"/>
        </w:rPr>
        <w:t>Hirota</w:t>
      </w:r>
      <w:proofErr w:type="spellEnd"/>
      <w:r w:rsidRPr="00BC641F">
        <w:rPr>
          <w:sz w:val="24"/>
          <w:szCs w:val="24"/>
          <w:lang w:val="en-US"/>
        </w:rPr>
        <w:t xml:space="preserve"> M., Miyakawa H., Igarashi H., Lee L., Fujiyama T., </w:t>
      </w:r>
      <w:proofErr w:type="spellStart"/>
      <w:r w:rsidRPr="00BC641F">
        <w:rPr>
          <w:sz w:val="24"/>
          <w:szCs w:val="24"/>
          <w:lang w:val="en-US"/>
        </w:rPr>
        <w:t>Hijioka</w:t>
      </w:r>
      <w:proofErr w:type="spellEnd"/>
      <w:r w:rsidRPr="00BC641F">
        <w:rPr>
          <w:sz w:val="24"/>
          <w:szCs w:val="24"/>
          <w:lang w:val="en-US"/>
        </w:rPr>
        <w:t xml:space="preserve"> M., Ueda K., Tachibana Y., </w:t>
      </w:r>
      <w:proofErr w:type="spellStart"/>
      <w:r w:rsidRPr="00BC641F">
        <w:rPr>
          <w:sz w:val="24"/>
          <w:szCs w:val="24"/>
          <w:lang w:val="en-US"/>
        </w:rPr>
        <w:t>Sogame</w:t>
      </w:r>
      <w:proofErr w:type="spellEnd"/>
      <w:r w:rsidRPr="00BC641F">
        <w:rPr>
          <w:sz w:val="24"/>
          <w:szCs w:val="24"/>
          <w:lang w:val="en-US"/>
        </w:rPr>
        <w:t xml:space="preserve"> Y., Yasuda H., Kato R., Kataoka K., </w:t>
      </w:r>
      <w:proofErr w:type="spellStart"/>
      <w:r w:rsidRPr="00BC641F">
        <w:rPr>
          <w:sz w:val="24"/>
          <w:szCs w:val="24"/>
          <w:lang w:val="en-US"/>
        </w:rPr>
        <w:t>Shiratori</w:t>
      </w:r>
      <w:proofErr w:type="spellEnd"/>
      <w:r w:rsidRPr="00BC641F">
        <w:rPr>
          <w:sz w:val="24"/>
          <w:szCs w:val="24"/>
          <w:lang w:val="en-US"/>
        </w:rPr>
        <w:t xml:space="preserve"> K., Sugiyama M., Okazaki K., Kawa S., </w:t>
      </w:r>
      <w:proofErr w:type="spellStart"/>
      <w:r w:rsidRPr="00BC641F">
        <w:rPr>
          <w:sz w:val="24"/>
          <w:szCs w:val="24"/>
          <w:lang w:val="en-US"/>
        </w:rPr>
        <w:t>Tando</w:t>
      </w:r>
      <w:proofErr w:type="spellEnd"/>
      <w:r w:rsidRPr="00BC641F">
        <w:rPr>
          <w:sz w:val="24"/>
          <w:szCs w:val="24"/>
          <w:lang w:val="en-US"/>
        </w:rPr>
        <w:t xml:space="preserve"> Y., Kinoshita Y., Watanabe M., </w:t>
      </w:r>
      <w:proofErr w:type="spellStart"/>
      <w:r w:rsidRPr="00BC641F">
        <w:rPr>
          <w:sz w:val="24"/>
          <w:szCs w:val="24"/>
          <w:lang w:val="en-US"/>
        </w:rPr>
        <w:t>Shimosegawa</w:t>
      </w:r>
      <w:proofErr w:type="spellEnd"/>
      <w:r w:rsidRPr="00BC641F">
        <w:rPr>
          <w:sz w:val="24"/>
          <w:szCs w:val="24"/>
          <w:lang w:val="en-US"/>
        </w:rPr>
        <w:t xml:space="preserve"> T. Evidence-based clinical practice guidelines for chronic pancreatitis 2015. </w:t>
      </w:r>
      <w:r w:rsidRPr="00BC641F">
        <w:rPr>
          <w:rStyle w:val="151"/>
          <w:color w:val="auto"/>
          <w:sz w:val="24"/>
          <w:szCs w:val="24"/>
        </w:rPr>
        <w:t>J Gastroenterol.</w:t>
      </w:r>
      <w:r w:rsidRPr="00BC641F">
        <w:rPr>
          <w:sz w:val="24"/>
          <w:szCs w:val="24"/>
          <w:lang w:val="en-US"/>
        </w:rPr>
        <w:t>2016. Vol. 51. P. 85–92.</w:t>
      </w:r>
      <w:bookmarkEnd w:id="15"/>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16" w:name="_Ref24105990"/>
      <w:r w:rsidRPr="00BC641F">
        <w:rPr>
          <w:sz w:val="24"/>
          <w:szCs w:val="24"/>
          <w:lang w:val="de-DE"/>
        </w:rPr>
        <w:t xml:space="preserve">Keim </w:t>
      </w:r>
      <w:r w:rsidRPr="00BC641F">
        <w:rPr>
          <w:sz w:val="24"/>
          <w:szCs w:val="24"/>
          <w:lang w:val="en-US"/>
        </w:rPr>
        <w:t xml:space="preserve">V. Role of genetic disorders in acute recurrent pancreatitis. </w:t>
      </w:r>
      <w:r w:rsidRPr="00BC641F">
        <w:rPr>
          <w:rStyle w:val="151"/>
          <w:color w:val="auto"/>
          <w:sz w:val="24"/>
          <w:szCs w:val="24"/>
        </w:rPr>
        <w:t>World J Gastroenterol.</w:t>
      </w:r>
      <w:r w:rsidRPr="00BC641F">
        <w:rPr>
          <w:sz w:val="24"/>
          <w:szCs w:val="24"/>
          <w:lang w:val="en-US"/>
        </w:rPr>
        <w:t xml:space="preserve"> 2008. Vol. 14. P. 1011–1015.</w:t>
      </w:r>
      <w:bookmarkEnd w:id="16"/>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17" w:name="_Ref24106156"/>
      <w:r w:rsidRPr="00BC641F">
        <w:rPr>
          <w:sz w:val="24"/>
          <w:szCs w:val="24"/>
          <w:lang w:val="en-US"/>
        </w:rPr>
        <w:t xml:space="preserve">Lai S. W., </w:t>
      </w:r>
      <w:proofErr w:type="spellStart"/>
      <w:r w:rsidRPr="00BC641F">
        <w:rPr>
          <w:sz w:val="24"/>
          <w:szCs w:val="24"/>
          <w:lang w:val="en-US"/>
        </w:rPr>
        <w:t>Muo</w:t>
      </w:r>
      <w:proofErr w:type="spellEnd"/>
      <w:r w:rsidRPr="00BC641F">
        <w:rPr>
          <w:sz w:val="24"/>
          <w:szCs w:val="24"/>
          <w:lang w:val="en-US"/>
        </w:rPr>
        <w:t xml:space="preserve"> C. H., Liao K. F., Sung F. C., Chen P. C. Risk of acute pancreatitis in type 2 diabetes and risk reduction on anti</w:t>
      </w:r>
      <w:r w:rsidRPr="00BC641F">
        <w:rPr>
          <w:sz w:val="24"/>
          <w:szCs w:val="24"/>
          <w:lang w:val="en-US"/>
        </w:rPr>
        <w:softHyphen/>
        <w:t xml:space="preserve">diabetic drugs: a population-based cohort study in Taiwan. </w:t>
      </w:r>
      <w:r w:rsidRPr="00BC641F">
        <w:rPr>
          <w:rStyle w:val="151"/>
          <w:color w:val="auto"/>
          <w:sz w:val="24"/>
          <w:szCs w:val="24"/>
        </w:rPr>
        <w:t>Am J Gastroenterol.</w:t>
      </w:r>
      <w:r w:rsidRPr="00BC641F">
        <w:rPr>
          <w:sz w:val="24"/>
          <w:szCs w:val="24"/>
          <w:lang w:val="en-US"/>
        </w:rPr>
        <w:t xml:space="preserve"> 2011. Vol. 106. P. 1697–1704.</w:t>
      </w:r>
      <w:bookmarkEnd w:id="17"/>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18" w:name="_Ref24105901"/>
      <w:proofErr w:type="spellStart"/>
      <w:r w:rsidRPr="00BC641F">
        <w:rPr>
          <w:sz w:val="24"/>
          <w:szCs w:val="24"/>
          <w:lang w:val="en-US"/>
        </w:rPr>
        <w:t>Lankisch</w:t>
      </w:r>
      <w:proofErr w:type="spellEnd"/>
      <w:r w:rsidRPr="00BC641F">
        <w:rPr>
          <w:sz w:val="24"/>
          <w:szCs w:val="24"/>
          <w:lang w:val="en-US"/>
        </w:rPr>
        <w:t xml:space="preserve"> P. G., Breuer N., Bruns A., Weber-Dany B., </w:t>
      </w:r>
      <w:proofErr w:type="spellStart"/>
      <w:r w:rsidRPr="00BC641F">
        <w:rPr>
          <w:sz w:val="24"/>
          <w:szCs w:val="24"/>
          <w:lang w:val="en-US"/>
        </w:rPr>
        <w:t>Lowenfels</w:t>
      </w:r>
      <w:proofErr w:type="spellEnd"/>
      <w:r w:rsidRPr="00BC641F">
        <w:rPr>
          <w:sz w:val="24"/>
          <w:szCs w:val="24"/>
          <w:lang w:val="en-US"/>
        </w:rPr>
        <w:t xml:space="preserve"> A. B., Maisonneuve P. Natural history of acute pancreatitis: a long-term population-based study. </w:t>
      </w:r>
      <w:r w:rsidRPr="00BC641F">
        <w:rPr>
          <w:rStyle w:val="151"/>
          <w:color w:val="auto"/>
          <w:sz w:val="24"/>
          <w:szCs w:val="24"/>
        </w:rPr>
        <w:t>Am J Gastroenterol.</w:t>
      </w:r>
      <w:r w:rsidRPr="00BC641F">
        <w:rPr>
          <w:sz w:val="24"/>
          <w:szCs w:val="24"/>
          <w:lang w:val="en-US"/>
        </w:rPr>
        <w:t xml:space="preserve"> 2009. Vol. 104. P. 2797–2805; quiz 2806.</w:t>
      </w:r>
      <w:bookmarkEnd w:id="18"/>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19" w:name="_Ref24106126"/>
      <w:r w:rsidRPr="00BC641F">
        <w:rPr>
          <w:sz w:val="24"/>
          <w:szCs w:val="24"/>
          <w:lang w:val="en-US"/>
        </w:rPr>
        <w:t xml:space="preserve">Layer P., Yamamoto H., </w:t>
      </w:r>
      <w:proofErr w:type="spellStart"/>
      <w:r w:rsidRPr="00BC641F">
        <w:rPr>
          <w:sz w:val="24"/>
          <w:szCs w:val="24"/>
          <w:lang w:val="en-US"/>
        </w:rPr>
        <w:t>Kalthoff</w:t>
      </w:r>
      <w:proofErr w:type="spellEnd"/>
      <w:r w:rsidRPr="00BC641F">
        <w:rPr>
          <w:sz w:val="24"/>
          <w:szCs w:val="24"/>
          <w:lang w:val="en-US"/>
        </w:rPr>
        <w:t xml:space="preserve"> L., </w:t>
      </w:r>
      <w:proofErr w:type="spellStart"/>
      <w:r w:rsidRPr="00BC641F">
        <w:rPr>
          <w:sz w:val="24"/>
          <w:szCs w:val="24"/>
          <w:lang w:val="en-US"/>
        </w:rPr>
        <w:t>Clain</w:t>
      </w:r>
      <w:proofErr w:type="spellEnd"/>
      <w:r w:rsidRPr="00BC641F">
        <w:rPr>
          <w:sz w:val="24"/>
          <w:szCs w:val="24"/>
          <w:lang w:val="en-US"/>
        </w:rPr>
        <w:t xml:space="preserve"> J. E., Bakken L. J., </w:t>
      </w:r>
      <w:proofErr w:type="spellStart"/>
      <w:r w:rsidRPr="00BC641F">
        <w:rPr>
          <w:sz w:val="24"/>
          <w:szCs w:val="24"/>
          <w:lang w:val="en-US"/>
        </w:rPr>
        <w:t>DiMagno</w:t>
      </w:r>
      <w:proofErr w:type="spellEnd"/>
      <w:r w:rsidRPr="00BC641F">
        <w:rPr>
          <w:sz w:val="24"/>
          <w:szCs w:val="24"/>
          <w:lang w:val="en-US"/>
        </w:rPr>
        <w:t xml:space="preserve"> E. P. The different courses of early- and late-onset idiopathic and alcoholic chronic pancreatitis. </w:t>
      </w:r>
      <w:r w:rsidRPr="00BC641F">
        <w:rPr>
          <w:rStyle w:val="151"/>
          <w:color w:val="auto"/>
          <w:sz w:val="24"/>
          <w:szCs w:val="24"/>
        </w:rPr>
        <w:t>Gastroenterology.</w:t>
      </w:r>
      <w:r w:rsidRPr="00BC641F">
        <w:rPr>
          <w:sz w:val="24"/>
          <w:szCs w:val="24"/>
          <w:lang w:val="en-US"/>
        </w:rPr>
        <w:t xml:space="preserve"> 1994. Vol. 107. P. 1481–1487.</w:t>
      </w:r>
      <w:bookmarkEnd w:id="19"/>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20" w:name="_Ref24106159"/>
      <w:r w:rsidRPr="00BC641F">
        <w:rPr>
          <w:sz w:val="24"/>
          <w:szCs w:val="24"/>
          <w:lang w:val="en-US"/>
        </w:rPr>
        <w:t xml:space="preserve">Lin H. Y., Lai J. I., Lai Y. C., Lin P. C., Chang S. C., Tang G. J. Acute renal failure in severe pancreatitis: a population-based study. </w:t>
      </w:r>
      <w:r w:rsidRPr="00BC641F">
        <w:rPr>
          <w:rStyle w:val="151"/>
          <w:color w:val="auto"/>
          <w:sz w:val="24"/>
          <w:szCs w:val="24"/>
        </w:rPr>
        <w:t>Ups J Med Sci.</w:t>
      </w:r>
      <w:r w:rsidRPr="00BC641F">
        <w:rPr>
          <w:sz w:val="24"/>
          <w:szCs w:val="24"/>
          <w:lang w:val="en-US"/>
        </w:rPr>
        <w:t xml:space="preserve"> 2011. Vol. 116. P. 155–159.</w:t>
      </w:r>
      <w:bookmarkEnd w:id="20"/>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21" w:name="_Ref24105888"/>
      <w:proofErr w:type="spellStart"/>
      <w:r w:rsidRPr="00BC641F">
        <w:rPr>
          <w:sz w:val="24"/>
          <w:szCs w:val="24"/>
          <w:lang w:val="en-US"/>
        </w:rPr>
        <w:t>Lowenfels</w:t>
      </w:r>
      <w:proofErr w:type="spellEnd"/>
      <w:r w:rsidRPr="00BC641F">
        <w:rPr>
          <w:sz w:val="24"/>
          <w:szCs w:val="24"/>
          <w:lang w:val="en-US"/>
        </w:rPr>
        <w:t xml:space="preserve"> A. B., Maisonneuve P., </w:t>
      </w:r>
      <w:proofErr w:type="spellStart"/>
      <w:r w:rsidRPr="00BC641F">
        <w:rPr>
          <w:sz w:val="24"/>
          <w:szCs w:val="24"/>
          <w:lang w:val="en-US"/>
        </w:rPr>
        <w:t>Cavallini</w:t>
      </w:r>
      <w:proofErr w:type="spellEnd"/>
      <w:r w:rsidRPr="00BC641F">
        <w:rPr>
          <w:sz w:val="24"/>
          <w:szCs w:val="24"/>
          <w:lang w:val="en-US"/>
        </w:rPr>
        <w:t xml:space="preserve"> G., Ammann R. W., </w:t>
      </w:r>
      <w:proofErr w:type="spellStart"/>
      <w:r w:rsidRPr="00BC641F">
        <w:rPr>
          <w:sz w:val="24"/>
          <w:szCs w:val="24"/>
          <w:lang w:val="en-US"/>
        </w:rPr>
        <w:t>Lankisch</w:t>
      </w:r>
      <w:proofErr w:type="spellEnd"/>
      <w:r w:rsidRPr="00BC641F">
        <w:rPr>
          <w:sz w:val="24"/>
          <w:szCs w:val="24"/>
          <w:lang w:val="en-US"/>
        </w:rPr>
        <w:t xml:space="preserve"> P. G., Andersen J. R., </w:t>
      </w:r>
      <w:proofErr w:type="spellStart"/>
      <w:r w:rsidRPr="00BC641F">
        <w:rPr>
          <w:sz w:val="24"/>
          <w:szCs w:val="24"/>
          <w:lang w:val="en-US"/>
        </w:rPr>
        <w:t>Dimagno</w:t>
      </w:r>
      <w:proofErr w:type="spellEnd"/>
      <w:r w:rsidRPr="00BC641F">
        <w:rPr>
          <w:sz w:val="24"/>
          <w:szCs w:val="24"/>
          <w:lang w:val="en-US"/>
        </w:rPr>
        <w:t xml:space="preserve"> E. P., </w:t>
      </w:r>
      <w:proofErr w:type="spellStart"/>
      <w:r w:rsidRPr="00BC641F">
        <w:rPr>
          <w:sz w:val="24"/>
          <w:szCs w:val="24"/>
          <w:lang w:val="en-US"/>
        </w:rPr>
        <w:t>Andren</w:t>
      </w:r>
      <w:proofErr w:type="spellEnd"/>
      <w:r w:rsidRPr="00BC641F">
        <w:rPr>
          <w:sz w:val="24"/>
          <w:szCs w:val="24"/>
          <w:lang w:val="en-US"/>
        </w:rPr>
        <w:t xml:space="preserve">-Sandberg A., </w:t>
      </w:r>
      <w:proofErr w:type="spellStart"/>
      <w:r w:rsidRPr="00BC641F">
        <w:rPr>
          <w:sz w:val="24"/>
          <w:szCs w:val="24"/>
          <w:lang w:val="en-US"/>
        </w:rPr>
        <w:t>Domellof</w:t>
      </w:r>
      <w:proofErr w:type="spellEnd"/>
      <w:r w:rsidRPr="00BC641F">
        <w:rPr>
          <w:sz w:val="24"/>
          <w:szCs w:val="24"/>
          <w:lang w:val="en-US"/>
        </w:rPr>
        <w:t xml:space="preserve"> L. Pancreatitis and the risk of pancreatic cancer. International Pancreatitis Study Group. </w:t>
      </w:r>
      <w:r w:rsidRPr="00BC641F">
        <w:rPr>
          <w:rStyle w:val="151"/>
          <w:color w:val="auto"/>
          <w:sz w:val="24"/>
          <w:szCs w:val="24"/>
        </w:rPr>
        <w:t xml:space="preserve">N </w:t>
      </w:r>
      <w:proofErr w:type="spellStart"/>
      <w:r w:rsidRPr="00BC641F">
        <w:rPr>
          <w:rStyle w:val="151"/>
          <w:color w:val="auto"/>
          <w:sz w:val="24"/>
          <w:szCs w:val="24"/>
        </w:rPr>
        <w:t>Engl</w:t>
      </w:r>
      <w:proofErr w:type="spellEnd"/>
      <w:r w:rsidRPr="00BC641F">
        <w:rPr>
          <w:rStyle w:val="151"/>
          <w:color w:val="auto"/>
          <w:sz w:val="24"/>
          <w:szCs w:val="24"/>
        </w:rPr>
        <w:t xml:space="preserve"> J Med</w:t>
      </w:r>
      <w:r w:rsidRPr="00BC641F">
        <w:rPr>
          <w:sz w:val="24"/>
          <w:szCs w:val="24"/>
          <w:lang w:val="en-US"/>
        </w:rPr>
        <w:t>. 1993. Vol. 328. P. 1433–1437.</w:t>
      </w:r>
      <w:bookmarkEnd w:id="21"/>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22" w:name="_Ref24105905"/>
      <w:r w:rsidRPr="00BC641F">
        <w:rPr>
          <w:sz w:val="24"/>
          <w:szCs w:val="24"/>
          <w:lang w:val="en-US"/>
        </w:rPr>
        <w:t xml:space="preserve">Maisonneuve P., </w:t>
      </w:r>
      <w:proofErr w:type="spellStart"/>
      <w:r w:rsidRPr="00BC641F">
        <w:rPr>
          <w:sz w:val="24"/>
          <w:szCs w:val="24"/>
          <w:lang w:val="en-US"/>
        </w:rPr>
        <w:t>Lowenfels</w:t>
      </w:r>
      <w:proofErr w:type="spellEnd"/>
      <w:r w:rsidRPr="00BC641F">
        <w:rPr>
          <w:sz w:val="24"/>
          <w:szCs w:val="24"/>
          <w:lang w:val="en-US"/>
        </w:rPr>
        <w:t xml:space="preserve"> A. B., </w:t>
      </w:r>
      <w:proofErr w:type="spellStart"/>
      <w:r w:rsidRPr="00BC641F">
        <w:rPr>
          <w:sz w:val="24"/>
          <w:szCs w:val="24"/>
          <w:lang w:val="en-US"/>
        </w:rPr>
        <w:t>Mullhaupt</w:t>
      </w:r>
      <w:proofErr w:type="spellEnd"/>
      <w:r w:rsidRPr="00BC641F">
        <w:rPr>
          <w:sz w:val="24"/>
          <w:szCs w:val="24"/>
          <w:lang w:val="en-US"/>
        </w:rPr>
        <w:t xml:space="preserve"> B., </w:t>
      </w:r>
      <w:proofErr w:type="spellStart"/>
      <w:r w:rsidRPr="00BC641F">
        <w:rPr>
          <w:sz w:val="24"/>
          <w:szCs w:val="24"/>
          <w:lang w:val="en-US"/>
        </w:rPr>
        <w:t>Cavallini</w:t>
      </w:r>
      <w:proofErr w:type="spellEnd"/>
      <w:r w:rsidRPr="00BC641F">
        <w:rPr>
          <w:sz w:val="24"/>
          <w:szCs w:val="24"/>
          <w:lang w:val="en-US"/>
        </w:rPr>
        <w:t xml:space="preserve"> G., </w:t>
      </w:r>
      <w:proofErr w:type="spellStart"/>
      <w:r w:rsidRPr="00BC641F">
        <w:rPr>
          <w:sz w:val="24"/>
          <w:szCs w:val="24"/>
          <w:lang w:val="en-US"/>
        </w:rPr>
        <w:t>Lankisch</w:t>
      </w:r>
      <w:proofErr w:type="spellEnd"/>
      <w:r w:rsidRPr="00BC641F">
        <w:rPr>
          <w:sz w:val="24"/>
          <w:szCs w:val="24"/>
          <w:lang w:val="en-US"/>
        </w:rPr>
        <w:t xml:space="preserve"> P. G., </w:t>
      </w:r>
      <w:r w:rsidRPr="00BC641F">
        <w:rPr>
          <w:sz w:val="24"/>
          <w:szCs w:val="24"/>
          <w:lang w:val="en-US"/>
        </w:rPr>
        <w:lastRenderedPageBreak/>
        <w:t xml:space="preserve">Andersen J. R., </w:t>
      </w:r>
      <w:proofErr w:type="spellStart"/>
      <w:r w:rsidRPr="00BC641F">
        <w:rPr>
          <w:sz w:val="24"/>
          <w:szCs w:val="24"/>
          <w:lang w:val="en-US"/>
        </w:rPr>
        <w:t>Dimagno</w:t>
      </w:r>
      <w:proofErr w:type="spellEnd"/>
      <w:r w:rsidRPr="00BC641F">
        <w:rPr>
          <w:sz w:val="24"/>
          <w:szCs w:val="24"/>
          <w:lang w:val="en-US"/>
        </w:rPr>
        <w:t xml:space="preserve"> E. P., </w:t>
      </w:r>
      <w:proofErr w:type="spellStart"/>
      <w:r w:rsidRPr="00BC641F">
        <w:rPr>
          <w:sz w:val="24"/>
          <w:szCs w:val="24"/>
          <w:lang w:val="en-US"/>
        </w:rPr>
        <w:t>Andren</w:t>
      </w:r>
      <w:proofErr w:type="spellEnd"/>
      <w:r w:rsidRPr="00BC641F">
        <w:rPr>
          <w:sz w:val="24"/>
          <w:szCs w:val="24"/>
          <w:lang w:val="en-US"/>
        </w:rPr>
        <w:t xml:space="preserve">-Sandberg A., </w:t>
      </w:r>
      <w:proofErr w:type="spellStart"/>
      <w:r w:rsidRPr="00BC641F">
        <w:rPr>
          <w:sz w:val="24"/>
          <w:szCs w:val="24"/>
          <w:lang w:val="en-US"/>
        </w:rPr>
        <w:t>Domellof</w:t>
      </w:r>
      <w:proofErr w:type="spellEnd"/>
      <w:r w:rsidRPr="00BC641F">
        <w:rPr>
          <w:sz w:val="24"/>
          <w:szCs w:val="24"/>
          <w:lang w:val="en-US"/>
        </w:rPr>
        <w:t xml:space="preserve"> L., </w:t>
      </w:r>
      <w:proofErr w:type="spellStart"/>
      <w:r w:rsidRPr="00BC641F">
        <w:rPr>
          <w:sz w:val="24"/>
          <w:szCs w:val="24"/>
          <w:lang w:val="en-US"/>
        </w:rPr>
        <w:t>Frulloni</w:t>
      </w:r>
      <w:proofErr w:type="spellEnd"/>
      <w:r w:rsidRPr="00BC641F">
        <w:rPr>
          <w:sz w:val="24"/>
          <w:szCs w:val="24"/>
          <w:lang w:val="en-US"/>
        </w:rPr>
        <w:t xml:space="preserve"> L., Ammann R. W. Cigarette smoking accelerates progression of alcoholic chronic pancreatitis. </w:t>
      </w:r>
      <w:r w:rsidRPr="00BC641F">
        <w:rPr>
          <w:rStyle w:val="151"/>
          <w:color w:val="auto"/>
          <w:sz w:val="24"/>
          <w:szCs w:val="24"/>
        </w:rPr>
        <w:t>Gut.</w:t>
      </w:r>
      <w:r w:rsidRPr="00BC641F">
        <w:rPr>
          <w:sz w:val="24"/>
          <w:szCs w:val="24"/>
          <w:lang w:val="en-US"/>
        </w:rPr>
        <w:t xml:space="preserve"> 2005. Vol. 54. P. 510–514.</w:t>
      </w:r>
      <w:bookmarkEnd w:id="22"/>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23" w:name="_Ref24106001"/>
      <w:proofErr w:type="spellStart"/>
      <w:r w:rsidRPr="00BC641F">
        <w:rPr>
          <w:sz w:val="24"/>
          <w:szCs w:val="24"/>
          <w:lang w:val="en-US"/>
        </w:rPr>
        <w:t>Nejgaard</w:t>
      </w:r>
      <w:proofErr w:type="spellEnd"/>
      <w:r w:rsidRPr="00BC641F">
        <w:rPr>
          <w:sz w:val="24"/>
          <w:szCs w:val="24"/>
          <w:lang w:val="en-US"/>
        </w:rPr>
        <w:t xml:space="preserve"> C., Becker U., </w:t>
      </w:r>
      <w:r w:rsidRPr="00BC641F">
        <w:rPr>
          <w:sz w:val="24"/>
          <w:szCs w:val="24"/>
          <w:lang w:val="de-DE"/>
        </w:rPr>
        <w:t xml:space="preserve">Matzen </w:t>
      </w:r>
      <w:r w:rsidRPr="00BC641F">
        <w:rPr>
          <w:sz w:val="24"/>
          <w:szCs w:val="24"/>
          <w:lang w:val="en-US"/>
        </w:rPr>
        <w:t xml:space="preserve">P., Andersen J. R., Holst C., </w:t>
      </w:r>
      <w:proofErr w:type="spellStart"/>
      <w:r w:rsidRPr="00BC641F">
        <w:rPr>
          <w:sz w:val="24"/>
          <w:szCs w:val="24"/>
          <w:lang w:val="en-US"/>
        </w:rPr>
        <w:t>Bendtsen</w:t>
      </w:r>
      <w:proofErr w:type="spellEnd"/>
      <w:r w:rsidRPr="00BC641F">
        <w:rPr>
          <w:sz w:val="24"/>
          <w:szCs w:val="24"/>
          <w:lang w:val="en-US"/>
        </w:rPr>
        <w:t xml:space="preserve"> F. Progression from acute to chronic pancreatitis: prognostic factors, mortality, and natural course. </w:t>
      </w:r>
      <w:r w:rsidRPr="00BC641F">
        <w:rPr>
          <w:rStyle w:val="151"/>
          <w:color w:val="auto"/>
          <w:sz w:val="24"/>
          <w:szCs w:val="24"/>
        </w:rPr>
        <w:t>Pancreas.</w:t>
      </w:r>
      <w:r w:rsidRPr="00BC641F">
        <w:rPr>
          <w:sz w:val="24"/>
          <w:szCs w:val="24"/>
          <w:lang w:val="en-US"/>
        </w:rPr>
        <w:t xml:space="preserve"> 2011. Vol. 40. P. 1195–1200.</w:t>
      </w:r>
      <w:bookmarkEnd w:id="23"/>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24" w:name="_Ref24106055"/>
      <w:proofErr w:type="spellStart"/>
      <w:r w:rsidRPr="00BC641F">
        <w:rPr>
          <w:sz w:val="24"/>
          <w:szCs w:val="24"/>
          <w:lang w:val="en-US"/>
        </w:rPr>
        <w:t>Polonikov</w:t>
      </w:r>
      <w:proofErr w:type="spellEnd"/>
      <w:r w:rsidRPr="00BC641F">
        <w:rPr>
          <w:sz w:val="24"/>
          <w:szCs w:val="24"/>
          <w:lang w:val="en-US"/>
        </w:rPr>
        <w:t xml:space="preserve"> A. V., </w:t>
      </w:r>
      <w:proofErr w:type="spellStart"/>
      <w:r w:rsidRPr="00BC641F">
        <w:rPr>
          <w:sz w:val="24"/>
          <w:szCs w:val="24"/>
          <w:lang w:val="en-US"/>
        </w:rPr>
        <w:t>Samgina</w:t>
      </w:r>
      <w:proofErr w:type="spellEnd"/>
      <w:r w:rsidRPr="00BC641F">
        <w:rPr>
          <w:sz w:val="24"/>
          <w:szCs w:val="24"/>
          <w:lang w:val="en-US"/>
        </w:rPr>
        <w:t xml:space="preserve"> T. A., </w:t>
      </w:r>
      <w:proofErr w:type="spellStart"/>
      <w:r w:rsidRPr="00BC641F">
        <w:rPr>
          <w:sz w:val="24"/>
          <w:szCs w:val="24"/>
          <w:lang w:val="en-US"/>
        </w:rPr>
        <w:t>Nazarenko</w:t>
      </w:r>
      <w:proofErr w:type="spellEnd"/>
      <w:r w:rsidRPr="00BC641F">
        <w:rPr>
          <w:sz w:val="24"/>
          <w:szCs w:val="24"/>
          <w:lang w:val="en-US"/>
        </w:rPr>
        <w:t xml:space="preserve"> P. M., </w:t>
      </w:r>
      <w:proofErr w:type="spellStart"/>
      <w:r w:rsidRPr="00BC641F">
        <w:rPr>
          <w:sz w:val="24"/>
          <w:szCs w:val="24"/>
          <w:lang w:val="en-US"/>
        </w:rPr>
        <w:t>Bushueva</w:t>
      </w:r>
      <w:proofErr w:type="spellEnd"/>
      <w:r w:rsidRPr="00BC641F">
        <w:rPr>
          <w:sz w:val="24"/>
          <w:szCs w:val="24"/>
          <w:lang w:val="en-US"/>
        </w:rPr>
        <w:t xml:space="preserve"> O. Y., Ivanov V. P. Alcohol Consumption and Cigarette Smoking are Important Modifiers of the Association Between Acute Pancreatitis and the PRSS1-PRSS2 Locus in Men. </w:t>
      </w:r>
      <w:r w:rsidRPr="00BC641F">
        <w:rPr>
          <w:rStyle w:val="151"/>
          <w:color w:val="auto"/>
          <w:sz w:val="24"/>
          <w:szCs w:val="24"/>
        </w:rPr>
        <w:t>Pancreas.</w:t>
      </w:r>
      <w:r w:rsidRPr="00BC641F">
        <w:rPr>
          <w:sz w:val="24"/>
          <w:szCs w:val="24"/>
          <w:lang w:val="en-US"/>
        </w:rPr>
        <w:t xml:space="preserve"> 2017. Vol. 46. P. 230–236.</w:t>
      </w:r>
      <w:bookmarkEnd w:id="24"/>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25" w:name="_Ref24106147"/>
      <w:r w:rsidRPr="00BC641F">
        <w:rPr>
          <w:sz w:val="24"/>
          <w:szCs w:val="24"/>
          <w:lang w:val="en-US"/>
        </w:rPr>
        <w:t xml:space="preserve">Quan H., Parsons </w:t>
      </w:r>
      <w:r w:rsidRPr="00BC641F">
        <w:rPr>
          <w:sz w:val="24"/>
          <w:szCs w:val="24"/>
          <w:lang w:val="de-DE"/>
        </w:rPr>
        <w:t xml:space="preserve">G. A., Ghali </w:t>
      </w:r>
      <w:r w:rsidRPr="00BC641F">
        <w:rPr>
          <w:sz w:val="24"/>
          <w:szCs w:val="24"/>
          <w:lang w:val="en-US"/>
        </w:rPr>
        <w:t xml:space="preserve">W. A. Validity of information on comorbidity derived </w:t>
      </w:r>
      <w:proofErr w:type="spellStart"/>
      <w:r w:rsidRPr="00BC641F">
        <w:rPr>
          <w:sz w:val="24"/>
          <w:szCs w:val="24"/>
          <w:lang w:val="en-US"/>
        </w:rPr>
        <w:t>rom</w:t>
      </w:r>
      <w:proofErr w:type="spellEnd"/>
      <w:r w:rsidRPr="00BC641F">
        <w:rPr>
          <w:sz w:val="24"/>
          <w:szCs w:val="24"/>
          <w:lang w:val="en-US"/>
        </w:rPr>
        <w:t xml:space="preserve"> ICD-9-CCM administrative data. </w:t>
      </w:r>
      <w:r w:rsidRPr="00BC641F">
        <w:rPr>
          <w:rStyle w:val="151"/>
          <w:color w:val="auto"/>
          <w:sz w:val="24"/>
          <w:szCs w:val="24"/>
        </w:rPr>
        <w:t>Med Care.</w:t>
      </w:r>
      <w:r w:rsidRPr="00BC641F">
        <w:rPr>
          <w:sz w:val="24"/>
          <w:szCs w:val="24"/>
          <w:lang w:val="en-US"/>
        </w:rPr>
        <w:t xml:space="preserve"> 2002. Vol. 40. P. 675–685.</w:t>
      </w:r>
      <w:bookmarkEnd w:id="25"/>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26" w:name="_Ref24105893"/>
      <w:proofErr w:type="spellStart"/>
      <w:r w:rsidRPr="00BC641F">
        <w:rPr>
          <w:sz w:val="24"/>
          <w:szCs w:val="24"/>
          <w:lang w:val="en-US"/>
        </w:rPr>
        <w:t>Sankara</w:t>
      </w:r>
      <w:proofErr w:type="spellEnd"/>
      <w:r w:rsidRPr="00BC641F">
        <w:rPr>
          <w:sz w:val="24"/>
          <w:szCs w:val="24"/>
          <w:lang w:val="en-US"/>
        </w:rPr>
        <w:t xml:space="preserve"> n S. J., Xiao A. Y., Wu L. M., Windsor J. A., </w:t>
      </w:r>
      <w:proofErr w:type="spellStart"/>
      <w:r w:rsidRPr="00BC641F">
        <w:rPr>
          <w:sz w:val="24"/>
          <w:szCs w:val="24"/>
          <w:lang w:val="en-US"/>
        </w:rPr>
        <w:t>Forsmark</w:t>
      </w:r>
      <w:proofErr w:type="spellEnd"/>
      <w:r w:rsidRPr="00BC641F">
        <w:rPr>
          <w:sz w:val="24"/>
          <w:szCs w:val="24"/>
          <w:lang w:val="en-US"/>
        </w:rPr>
        <w:t xml:space="preserve"> C. E., Petrov M. S. Frequency of progression from acute to chronic pancreatitis and risk factors: a meta-analysis. </w:t>
      </w:r>
      <w:r w:rsidRPr="00BC641F">
        <w:rPr>
          <w:rStyle w:val="151"/>
          <w:color w:val="auto"/>
          <w:sz w:val="24"/>
          <w:szCs w:val="24"/>
        </w:rPr>
        <w:t>Gastroenterology.</w:t>
      </w:r>
      <w:r w:rsidRPr="00BC641F">
        <w:rPr>
          <w:sz w:val="24"/>
          <w:szCs w:val="24"/>
          <w:lang w:val="en-US"/>
        </w:rPr>
        <w:t xml:space="preserve"> 2015. Vol. 149. P. 1490–1500.e1.</w:t>
      </w:r>
      <w:bookmarkEnd w:id="26"/>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27" w:name="_Ref24105993"/>
      <w:r w:rsidRPr="00BC641F">
        <w:rPr>
          <w:sz w:val="24"/>
          <w:szCs w:val="24"/>
          <w:lang w:val="en-US"/>
        </w:rPr>
        <w:t xml:space="preserve">Sekimoto M., Takada T., </w:t>
      </w:r>
      <w:proofErr w:type="spellStart"/>
      <w:r w:rsidRPr="00BC641F">
        <w:rPr>
          <w:sz w:val="24"/>
          <w:szCs w:val="24"/>
          <w:lang w:val="en-US"/>
        </w:rPr>
        <w:t>Kawarada</w:t>
      </w:r>
      <w:proofErr w:type="spellEnd"/>
      <w:r w:rsidRPr="00BC641F">
        <w:rPr>
          <w:sz w:val="24"/>
          <w:szCs w:val="24"/>
          <w:lang w:val="en-US"/>
        </w:rPr>
        <w:t xml:space="preserve"> Y., Hirata K., Mayumi T., Yoshida M., </w:t>
      </w:r>
      <w:proofErr w:type="spellStart"/>
      <w:r w:rsidRPr="00BC641F">
        <w:rPr>
          <w:sz w:val="24"/>
          <w:szCs w:val="24"/>
          <w:lang w:val="en-US"/>
        </w:rPr>
        <w:t>Hirota</w:t>
      </w:r>
      <w:proofErr w:type="spellEnd"/>
      <w:r w:rsidRPr="00BC641F">
        <w:rPr>
          <w:sz w:val="24"/>
          <w:szCs w:val="24"/>
          <w:lang w:val="en-US"/>
        </w:rPr>
        <w:t xml:space="preserve"> M., Kimura Y., Takeda K., </w:t>
      </w:r>
      <w:proofErr w:type="spellStart"/>
      <w:r w:rsidRPr="00BC641F">
        <w:rPr>
          <w:sz w:val="24"/>
          <w:szCs w:val="24"/>
          <w:lang w:val="en-US"/>
        </w:rPr>
        <w:t>Isaji</w:t>
      </w:r>
      <w:proofErr w:type="spellEnd"/>
      <w:r w:rsidRPr="00BC641F">
        <w:rPr>
          <w:sz w:val="24"/>
          <w:szCs w:val="24"/>
          <w:lang w:val="en-US"/>
        </w:rPr>
        <w:t xml:space="preserve"> S., Koizumi M., </w:t>
      </w:r>
      <w:proofErr w:type="spellStart"/>
      <w:r w:rsidRPr="00BC641F">
        <w:rPr>
          <w:sz w:val="24"/>
          <w:szCs w:val="24"/>
          <w:lang w:val="en-US"/>
        </w:rPr>
        <w:t>Otsuki</w:t>
      </w:r>
      <w:proofErr w:type="spellEnd"/>
      <w:r w:rsidRPr="00BC641F">
        <w:rPr>
          <w:sz w:val="24"/>
          <w:szCs w:val="24"/>
          <w:lang w:val="en-US"/>
        </w:rPr>
        <w:t xml:space="preserve"> M., </w:t>
      </w:r>
      <w:proofErr w:type="spellStart"/>
      <w:r w:rsidRPr="00BC641F">
        <w:rPr>
          <w:sz w:val="24"/>
          <w:szCs w:val="24"/>
          <w:lang w:val="en-US"/>
        </w:rPr>
        <w:t>Matsuno</w:t>
      </w:r>
      <w:proofErr w:type="spellEnd"/>
      <w:r w:rsidRPr="00BC641F">
        <w:rPr>
          <w:sz w:val="24"/>
          <w:szCs w:val="24"/>
          <w:lang w:val="en-US"/>
        </w:rPr>
        <w:t xml:space="preserve"> S., JPN. JPN Guidelines for the management of acute pancreatitis: epidemiology, etiology, natural history, and outcome predictors in acute pancreatitis. </w:t>
      </w:r>
      <w:r w:rsidRPr="00BC641F">
        <w:rPr>
          <w:rStyle w:val="151"/>
          <w:color w:val="auto"/>
          <w:sz w:val="24"/>
          <w:szCs w:val="24"/>
        </w:rPr>
        <w:t xml:space="preserve">J Hepatobiliary </w:t>
      </w:r>
      <w:proofErr w:type="spellStart"/>
      <w:r w:rsidRPr="00BC641F">
        <w:rPr>
          <w:rStyle w:val="151"/>
          <w:color w:val="auto"/>
          <w:sz w:val="24"/>
          <w:szCs w:val="24"/>
        </w:rPr>
        <w:t>Pancreat</w:t>
      </w:r>
      <w:proofErr w:type="spellEnd"/>
      <w:r w:rsidRPr="00BC641F">
        <w:rPr>
          <w:rStyle w:val="151"/>
          <w:color w:val="auto"/>
          <w:sz w:val="24"/>
          <w:szCs w:val="24"/>
        </w:rPr>
        <w:t xml:space="preserve"> Surg.</w:t>
      </w:r>
      <w:r w:rsidRPr="00BC641F">
        <w:rPr>
          <w:sz w:val="24"/>
          <w:szCs w:val="24"/>
          <w:lang w:val="en-US"/>
        </w:rPr>
        <w:t xml:space="preserve"> 2006. Vol. 13. P. 10–24.</w:t>
      </w:r>
      <w:bookmarkEnd w:id="27"/>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28" w:name="_Ref24106153"/>
      <w:r w:rsidRPr="00BC641F">
        <w:rPr>
          <w:sz w:val="24"/>
          <w:szCs w:val="24"/>
          <w:lang w:val="en-US"/>
        </w:rPr>
        <w:t xml:space="preserve">Shen H. N., Lu C. L. Incidence, resource use, and outcome of acute based study in Taiwan. </w:t>
      </w:r>
      <w:r w:rsidRPr="00BC641F">
        <w:rPr>
          <w:rStyle w:val="151"/>
          <w:color w:val="auto"/>
          <w:sz w:val="24"/>
          <w:szCs w:val="24"/>
        </w:rPr>
        <w:t>Pancreas.</w:t>
      </w:r>
      <w:r w:rsidRPr="00BC641F">
        <w:rPr>
          <w:sz w:val="24"/>
          <w:szCs w:val="24"/>
          <w:lang w:val="en-US"/>
        </w:rPr>
        <w:t xml:space="preserve"> 2011. Vol. 40. P. 10–15.</w:t>
      </w:r>
      <w:bookmarkEnd w:id="28"/>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29" w:name="_Ref24106150"/>
      <w:r w:rsidRPr="00BC641F">
        <w:rPr>
          <w:sz w:val="24"/>
          <w:szCs w:val="24"/>
          <w:lang w:val="en-US"/>
        </w:rPr>
        <w:t xml:space="preserve">Shen H. N., Lu C. L., Li C. Y. Epidemiology of first-attack acute pancreatitis in Taiwan from 2000 through 2009: a nationwide population-based study. </w:t>
      </w:r>
      <w:r w:rsidRPr="00BC641F">
        <w:rPr>
          <w:rStyle w:val="151"/>
          <w:color w:val="auto"/>
          <w:sz w:val="24"/>
          <w:szCs w:val="24"/>
        </w:rPr>
        <w:t>Pancreas.</w:t>
      </w:r>
      <w:r w:rsidRPr="00BC641F">
        <w:rPr>
          <w:sz w:val="24"/>
          <w:szCs w:val="24"/>
          <w:lang w:val="en-US"/>
        </w:rPr>
        <w:t xml:space="preserve"> 2012. Vol. 41. P. 696–702.</w:t>
      </w:r>
      <w:bookmarkEnd w:id="29"/>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rPr>
      </w:pPr>
      <w:bookmarkStart w:id="30" w:name="_Ref24106163"/>
      <w:r w:rsidRPr="00BC641F">
        <w:rPr>
          <w:sz w:val="24"/>
          <w:szCs w:val="24"/>
          <w:lang w:val="en-US"/>
        </w:rPr>
        <w:t xml:space="preserve">Shen H. N., Yang C. C., Chang Y. H., Lu C. L., Li C. Y. Risk of Diabetes Mellitus after First-Attack Acute Pancreatitis: A National Population-Based Study. </w:t>
      </w:r>
      <w:r w:rsidRPr="00BC641F">
        <w:rPr>
          <w:rStyle w:val="151"/>
          <w:color w:val="auto"/>
          <w:sz w:val="24"/>
          <w:szCs w:val="24"/>
        </w:rPr>
        <w:t>Am</w:t>
      </w:r>
      <w:r w:rsidRPr="00BC641F">
        <w:rPr>
          <w:rStyle w:val="151"/>
          <w:color w:val="auto"/>
          <w:sz w:val="24"/>
          <w:szCs w:val="24"/>
          <w:lang w:val="ru-RU"/>
        </w:rPr>
        <w:t xml:space="preserve"> </w:t>
      </w:r>
      <w:r w:rsidRPr="00BC641F">
        <w:rPr>
          <w:rStyle w:val="151"/>
          <w:color w:val="auto"/>
          <w:sz w:val="24"/>
          <w:szCs w:val="24"/>
        </w:rPr>
        <w:t>J</w:t>
      </w:r>
      <w:r w:rsidRPr="00BC641F">
        <w:rPr>
          <w:rStyle w:val="151"/>
          <w:color w:val="auto"/>
          <w:sz w:val="24"/>
          <w:szCs w:val="24"/>
          <w:lang w:val="ru-RU"/>
        </w:rPr>
        <w:t xml:space="preserve"> </w:t>
      </w:r>
      <w:r w:rsidRPr="00BC641F">
        <w:rPr>
          <w:rStyle w:val="151"/>
          <w:color w:val="auto"/>
          <w:sz w:val="24"/>
          <w:szCs w:val="24"/>
        </w:rPr>
        <w:t>Gastroenterol</w:t>
      </w:r>
      <w:r w:rsidRPr="00BC641F">
        <w:rPr>
          <w:rStyle w:val="151"/>
          <w:color w:val="auto"/>
          <w:sz w:val="24"/>
          <w:szCs w:val="24"/>
          <w:lang w:val="ru-RU"/>
        </w:rPr>
        <w:t>.</w:t>
      </w:r>
      <w:r w:rsidRPr="00BC641F">
        <w:rPr>
          <w:sz w:val="24"/>
          <w:szCs w:val="24"/>
        </w:rPr>
        <w:t xml:space="preserve"> 2015. </w:t>
      </w:r>
      <w:r w:rsidRPr="00BC641F">
        <w:rPr>
          <w:sz w:val="24"/>
          <w:szCs w:val="24"/>
          <w:lang w:val="en-US"/>
        </w:rPr>
        <w:t>Vol</w:t>
      </w:r>
      <w:r w:rsidRPr="00BC641F">
        <w:rPr>
          <w:sz w:val="24"/>
          <w:szCs w:val="24"/>
        </w:rPr>
        <w:t xml:space="preserve">. 110. </w:t>
      </w:r>
      <w:r w:rsidRPr="00BC641F">
        <w:rPr>
          <w:sz w:val="24"/>
          <w:szCs w:val="24"/>
          <w:lang w:val="en-US"/>
        </w:rPr>
        <w:t>P</w:t>
      </w:r>
      <w:r w:rsidRPr="00BC641F">
        <w:rPr>
          <w:sz w:val="24"/>
          <w:szCs w:val="24"/>
        </w:rPr>
        <w:t>. 1698</w:t>
      </w:r>
      <w:r w:rsidRPr="00BC641F">
        <w:rPr>
          <w:sz w:val="24"/>
          <w:szCs w:val="24"/>
          <w:lang w:val="en-US"/>
        </w:rPr>
        <w:t>–</w:t>
      </w:r>
      <w:r w:rsidRPr="00BC641F">
        <w:rPr>
          <w:sz w:val="24"/>
          <w:szCs w:val="24"/>
        </w:rPr>
        <w:t>1706</w:t>
      </w:r>
      <w:r w:rsidRPr="00BC641F">
        <w:rPr>
          <w:sz w:val="24"/>
          <w:szCs w:val="24"/>
          <w:lang w:val="en-US"/>
        </w:rPr>
        <w:t>.</w:t>
      </w:r>
      <w:bookmarkEnd w:id="30"/>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31" w:name="_Ref24105979"/>
      <w:r w:rsidRPr="00BC641F">
        <w:rPr>
          <w:sz w:val="24"/>
          <w:szCs w:val="24"/>
          <w:lang w:val="en-US"/>
        </w:rPr>
        <w:t xml:space="preserve">Wang L. W., Li </w:t>
      </w:r>
      <w:r w:rsidRPr="00BC641F">
        <w:rPr>
          <w:sz w:val="24"/>
          <w:szCs w:val="24"/>
          <w:lang w:val="de-DE"/>
        </w:rPr>
        <w:t xml:space="preserve">Z. S., </w:t>
      </w:r>
      <w:r w:rsidRPr="00BC641F">
        <w:rPr>
          <w:sz w:val="24"/>
          <w:szCs w:val="24"/>
          <w:lang w:val="en-US"/>
        </w:rPr>
        <w:t xml:space="preserve">Li S. D., Jin Z. D., Zou D. W., Chen F. Prevalence and clinical features of chronic pancreatitis in China: a retrospective multicenter analysis over 10 years. </w:t>
      </w:r>
      <w:r w:rsidRPr="00BC641F">
        <w:rPr>
          <w:rStyle w:val="151"/>
          <w:color w:val="auto"/>
          <w:sz w:val="24"/>
          <w:szCs w:val="24"/>
        </w:rPr>
        <w:t>Pancreas.</w:t>
      </w:r>
      <w:r w:rsidRPr="00BC641F">
        <w:rPr>
          <w:sz w:val="24"/>
          <w:szCs w:val="24"/>
          <w:lang w:val="en-US"/>
        </w:rPr>
        <w:t xml:space="preserve"> 2009. Vol. 38. P. 248–254.</w:t>
      </w:r>
      <w:bookmarkEnd w:id="31"/>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32" w:name="_Ref24106082"/>
      <w:r w:rsidRPr="00BC641F">
        <w:rPr>
          <w:sz w:val="24"/>
          <w:szCs w:val="24"/>
          <w:lang w:val="en-US"/>
        </w:rPr>
        <w:t xml:space="preserve">Wang W., Sun X. T., Weng X. L., Zhou </w:t>
      </w:r>
      <w:r w:rsidRPr="00BC641F">
        <w:rPr>
          <w:sz w:val="24"/>
          <w:szCs w:val="24"/>
          <w:lang w:val="de-DE"/>
        </w:rPr>
        <w:t xml:space="preserve">D. Z., Sun </w:t>
      </w:r>
      <w:r w:rsidRPr="00BC641F">
        <w:rPr>
          <w:sz w:val="24"/>
          <w:szCs w:val="24"/>
          <w:lang w:val="en-US"/>
        </w:rPr>
        <w:t xml:space="preserve">C., Xia T., </w:t>
      </w:r>
      <w:r w:rsidRPr="00BC641F">
        <w:rPr>
          <w:sz w:val="24"/>
          <w:szCs w:val="24"/>
          <w:lang w:val="de-DE"/>
        </w:rPr>
        <w:t xml:space="preserve">Hu </w:t>
      </w:r>
      <w:r w:rsidRPr="00BC641F">
        <w:rPr>
          <w:sz w:val="24"/>
          <w:szCs w:val="24"/>
          <w:lang w:val="en-US"/>
        </w:rPr>
        <w:t xml:space="preserve">L. H., Lai X. W., Ye B., Liu M. Y., Jiang F., Gao J., Bo L. M., Liu Y., Liao Z., Li Z. S. Comprehensive screening for PRSS1, SPINK1, CFTR, CTRC and CLDN2 gene mutations in Chinese </w:t>
      </w:r>
      <w:proofErr w:type="spellStart"/>
      <w:r w:rsidRPr="00BC641F">
        <w:rPr>
          <w:sz w:val="24"/>
          <w:szCs w:val="24"/>
          <w:lang w:val="en-US"/>
        </w:rPr>
        <w:t>paediatric</w:t>
      </w:r>
      <w:proofErr w:type="spellEnd"/>
      <w:r w:rsidRPr="00BC641F">
        <w:rPr>
          <w:sz w:val="24"/>
          <w:szCs w:val="24"/>
          <w:lang w:val="en-US"/>
        </w:rPr>
        <w:t xml:space="preserve"> patients with idiopathic chronic pancreatitis: a cohort study. </w:t>
      </w:r>
      <w:r w:rsidRPr="00BC641F">
        <w:rPr>
          <w:rStyle w:val="151"/>
          <w:color w:val="auto"/>
          <w:sz w:val="24"/>
          <w:szCs w:val="24"/>
        </w:rPr>
        <w:t>BMJ Open</w:t>
      </w:r>
      <w:r w:rsidRPr="00BC641F">
        <w:rPr>
          <w:sz w:val="24"/>
          <w:szCs w:val="24"/>
          <w:lang w:val="en-US"/>
        </w:rPr>
        <w:t xml:space="preserve"> 2013. Vol. 3. P. e003150.</w:t>
      </w:r>
      <w:bookmarkEnd w:id="32"/>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33" w:name="_Ref24105919"/>
      <w:r w:rsidRPr="00BC641F">
        <w:rPr>
          <w:sz w:val="24"/>
          <w:szCs w:val="24"/>
          <w:lang w:val="en-US"/>
        </w:rPr>
        <w:t xml:space="preserve">Whitlock T. L., </w:t>
      </w:r>
      <w:proofErr w:type="spellStart"/>
      <w:r w:rsidRPr="00BC641F">
        <w:rPr>
          <w:sz w:val="24"/>
          <w:szCs w:val="24"/>
          <w:lang w:val="en-US"/>
        </w:rPr>
        <w:t>Tignor</w:t>
      </w:r>
      <w:proofErr w:type="spellEnd"/>
      <w:r w:rsidRPr="00BC641F">
        <w:rPr>
          <w:sz w:val="24"/>
          <w:szCs w:val="24"/>
          <w:lang w:val="en-US"/>
        </w:rPr>
        <w:t xml:space="preserve"> A., Webster E. M., </w:t>
      </w:r>
      <w:proofErr w:type="spellStart"/>
      <w:r w:rsidRPr="00BC641F">
        <w:rPr>
          <w:sz w:val="24"/>
          <w:szCs w:val="24"/>
          <w:lang w:val="en-US"/>
        </w:rPr>
        <w:t>Repas</w:t>
      </w:r>
      <w:proofErr w:type="spellEnd"/>
      <w:r w:rsidRPr="00BC641F">
        <w:rPr>
          <w:sz w:val="24"/>
          <w:szCs w:val="24"/>
          <w:lang w:val="en-US"/>
        </w:rPr>
        <w:t xml:space="preserve"> K., Conwell D., Banks P. A., Wu B. U. A scoring system to predict readmission of patients with acute pancreatitis to the hospital within thirty days of discharge. </w:t>
      </w:r>
      <w:r w:rsidRPr="00BC641F">
        <w:rPr>
          <w:rStyle w:val="151"/>
          <w:color w:val="auto"/>
          <w:sz w:val="24"/>
          <w:szCs w:val="24"/>
        </w:rPr>
        <w:t xml:space="preserve">Clin Gastroenterol </w:t>
      </w:r>
      <w:proofErr w:type="spellStart"/>
      <w:r w:rsidRPr="00BC641F">
        <w:rPr>
          <w:rStyle w:val="151"/>
          <w:color w:val="auto"/>
          <w:sz w:val="24"/>
          <w:szCs w:val="24"/>
        </w:rPr>
        <w:t>Hepatol</w:t>
      </w:r>
      <w:proofErr w:type="spellEnd"/>
      <w:r w:rsidRPr="00BC641F">
        <w:rPr>
          <w:rStyle w:val="151"/>
          <w:color w:val="auto"/>
          <w:sz w:val="24"/>
          <w:szCs w:val="24"/>
        </w:rPr>
        <w:t>.</w:t>
      </w:r>
      <w:r w:rsidRPr="00BC641F">
        <w:rPr>
          <w:sz w:val="24"/>
          <w:szCs w:val="24"/>
          <w:lang w:val="en-US"/>
        </w:rPr>
        <w:t xml:space="preserve"> 2011. Vol. 9. P. 175–180; quiz e18.</w:t>
      </w:r>
      <w:bookmarkEnd w:id="33"/>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34" w:name="_Ref24106089"/>
      <w:proofErr w:type="spellStart"/>
      <w:r w:rsidRPr="00BC641F">
        <w:rPr>
          <w:sz w:val="24"/>
          <w:szCs w:val="24"/>
          <w:lang w:val="de-DE"/>
        </w:rPr>
        <w:t>Wittel</w:t>
      </w:r>
      <w:proofErr w:type="spellEnd"/>
      <w:r w:rsidRPr="00BC641F">
        <w:rPr>
          <w:sz w:val="24"/>
          <w:szCs w:val="24"/>
          <w:lang w:val="de-DE"/>
        </w:rPr>
        <w:t xml:space="preserve"> </w:t>
      </w:r>
      <w:r w:rsidRPr="00BC641F">
        <w:rPr>
          <w:sz w:val="24"/>
          <w:szCs w:val="24"/>
          <w:lang w:val="en-US"/>
        </w:rPr>
        <w:t xml:space="preserve">U. A., Singh A. P., Henley B. J., </w:t>
      </w:r>
      <w:proofErr w:type="spellStart"/>
      <w:r w:rsidRPr="00BC641F">
        <w:rPr>
          <w:sz w:val="24"/>
          <w:szCs w:val="24"/>
          <w:lang w:val="en-US"/>
        </w:rPr>
        <w:t>Andrianifahanana</w:t>
      </w:r>
      <w:proofErr w:type="spellEnd"/>
      <w:r w:rsidRPr="00BC641F">
        <w:rPr>
          <w:sz w:val="24"/>
          <w:szCs w:val="24"/>
          <w:lang w:val="en-US"/>
        </w:rPr>
        <w:t xml:space="preserve"> M., Akhter M. P., Cullen D. M., Batra S. K. Cigarette smoke-induced differential expression of the genes involved in exocrine function of the rat pancreas. </w:t>
      </w:r>
      <w:r w:rsidRPr="00BC641F">
        <w:rPr>
          <w:rStyle w:val="151"/>
          <w:color w:val="auto"/>
          <w:sz w:val="24"/>
          <w:szCs w:val="24"/>
        </w:rPr>
        <w:t>Pancreas.</w:t>
      </w:r>
      <w:r w:rsidRPr="00BC641F">
        <w:rPr>
          <w:sz w:val="24"/>
          <w:szCs w:val="24"/>
          <w:lang w:val="en-US"/>
        </w:rPr>
        <w:t xml:space="preserve"> 2006. Vol. 33. P. 364–370.</w:t>
      </w:r>
      <w:bookmarkEnd w:id="34"/>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35" w:name="_Ref24105910"/>
      <w:r w:rsidRPr="00BC641F">
        <w:rPr>
          <w:sz w:val="24"/>
          <w:szCs w:val="24"/>
          <w:lang w:val="en-US"/>
        </w:rPr>
        <w:t xml:space="preserve">Yadav D., Hawes R. H., Brand R. E., Anderson M. A., Money M. E., Banks P. A., Bishop M. D., Baillie J., Sherman S., </w:t>
      </w:r>
      <w:proofErr w:type="spellStart"/>
      <w:r w:rsidRPr="00BC641F">
        <w:rPr>
          <w:sz w:val="24"/>
          <w:szCs w:val="24"/>
          <w:lang w:val="en-US"/>
        </w:rPr>
        <w:t>DiSario</w:t>
      </w:r>
      <w:proofErr w:type="spellEnd"/>
      <w:r w:rsidRPr="00BC641F">
        <w:rPr>
          <w:sz w:val="24"/>
          <w:szCs w:val="24"/>
          <w:lang w:val="en-US"/>
        </w:rPr>
        <w:t xml:space="preserve"> J., Burton F. R., Gardner T. B., Amann S. T., </w:t>
      </w:r>
      <w:proofErr w:type="spellStart"/>
      <w:r w:rsidRPr="00BC641F">
        <w:rPr>
          <w:sz w:val="24"/>
          <w:szCs w:val="24"/>
          <w:lang w:val="en-US"/>
        </w:rPr>
        <w:t>Gelrud</w:t>
      </w:r>
      <w:proofErr w:type="spellEnd"/>
      <w:r w:rsidRPr="00BC641F">
        <w:rPr>
          <w:sz w:val="24"/>
          <w:szCs w:val="24"/>
          <w:lang w:val="en-US"/>
        </w:rPr>
        <w:t xml:space="preserve"> A., Lawrence C., </w:t>
      </w:r>
      <w:proofErr w:type="spellStart"/>
      <w:r w:rsidRPr="00BC641F">
        <w:rPr>
          <w:sz w:val="24"/>
          <w:szCs w:val="24"/>
          <w:lang w:val="en-US"/>
        </w:rPr>
        <w:t>Elinoff</w:t>
      </w:r>
      <w:proofErr w:type="spellEnd"/>
      <w:r w:rsidRPr="00BC641F">
        <w:rPr>
          <w:sz w:val="24"/>
          <w:szCs w:val="24"/>
          <w:lang w:val="en-US"/>
        </w:rPr>
        <w:t xml:space="preserve"> B., Greer J. B., O’Connell M., </w:t>
      </w:r>
      <w:proofErr w:type="spellStart"/>
      <w:r w:rsidRPr="00BC641F">
        <w:rPr>
          <w:sz w:val="24"/>
          <w:szCs w:val="24"/>
          <w:lang w:val="en-US"/>
        </w:rPr>
        <w:t>Barmada</w:t>
      </w:r>
      <w:proofErr w:type="spellEnd"/>
      <w:r w:rsidRPr="00BC641F">
        <w:rPr>
          <w:sz w:val="24"/>
          <w:szCs w:val="24"/>
          <w:lang w:val="en-US"/>
        </w:rPr>
        <w:t xml:space="preserve"> M. M., </w:t>
      </w:r>
      <w:proofErr w:type="spellStart"/>
      <w:r w:rsidRPr="00BC641F">
        <w:rPr>
          <w:sz w:val="24"/>
          <w:szCs w:val="24"/>
          <w:lang w:val="en-US"/>
        </w:rPr>
        <w:t>Slivka</w:t>
      </w:r>
      <w:proofErr w:type="spellEnd"/>
      <w:r w:rsidRPr="00BC641F">
        <w:rPr>
          <w:sz w:val="24"/>
          <w:szCs w:val="24"/>
          <w:lang w:val="en-US"/>
        </w:rPr>
        <w:t xml:space="preserve"> A., Whitcomb D. C., North American Pancreatic Study Group. Alcohol consumption, cigarette. </w:t>
      </w:r>
      <w:r w:rsidRPr="00BC641F">
        <w:rPr>
          <w:rStyle w:val="151"/>
          <w:color w:val="auto"/>
          <w:sz w:val="24"/>
          <w:szCs w:val="24"/>
        </w:rPr>
        <w:t>Intern Med.</w:t>
      </w:r>
      <w:r w:rsidRPr="00BC641F">
        <w:rPr>
          <w:sz w:val="24"/>
          <w:szCs w:val="24"/>
          <w:lang w:val="en-US"/>
        </w:rPr>
        <w:t xml:space="preserve"> 2009. Vol. 169. P. 1035–1045.</w:t>
      </w:r>
      <w:bookmarkEnd w:id="35"/>
    </w:p>
    <w:p w:rsidR="00785034" w:rsidRPr="00BC641F" w:rsidRDefault="00785034" w:rsidP="005170AF">
      <w:pPr>
        <w:pStyle w:val="150"/>
        <w:numPr>
          <w:ilvl w:val="0"/>
          <w:numId w:val="3"/>
        </w:numPr>
        <w:shd w:val="clear" w:color="auto" w:fill="auto"/>
        <w:tabs>
          <w:tab w:val="left" w:pos="284"/>
        </w:tabs>
        <w:spacing w:before="0" w:line="240" w:lineRule="auto"/>
        <w:ind w:left="0" w:firstLine="709"/>
        <w:rPr>
          <w:sz w:val="24"/>
          <w:szCs w:val="24"/>
          <w:lang w:val="en-US"/>
        </w:rPr>
      </w:pPr>
      <w:bookmarkStart w:id="36" w:name="_Ref24106046"/>
      <w:r w:rsidRPr="00BC641F">
        <w:rPr>
          <w:sz w:val="24"/>
          <w:szCs w:val="24"/>
          <w:lang w:val="en-US"/>
        </w:rPr>
        <w:t xml:space="preserve">Yadav D., </w:t>
      </w:r>
      <w:proofErr w:type="spellStart"/>
      <w:r w:rsidRPr="00BC641F">
        <w:rPr>
          <w:sz w:val="24"/>
          <w:szCs w:val="24"/>
          <w:lang w:val="en-US"/>
        </w:rPr>
        <w:t>Slivka</w:t>
      </w:r>
      <w:proofErr w:type="spellEnd"/>
      <w:r w:rsidRPr="00BC641F">
        <w:rPr>
          <w:sz w:val="24"/>
          <w:szCs w:val="24"/>
          <w:lang w:val="en-US"/>
        </w:rPr>
        <w:t xml:space="preserve"> A., Sherman S., Hawes R. H., Anderson M. A., Burton F. R., Brand R. E., Lewis M. D., Gardner T. B., </w:t>
      </w:r>
      <w:proofErr w:type="spellStart"/>
      <w:r w:rsidRPr="00BC641F">
        <w:rPr>
          <w:sz w:val="24"/>
          <w:szCs w:val="24"/>
          <w:lang w:val="en-US"/>
        </w:rPr>
        <w:t>Gelrud</w:t>
      </w:r>
      <w:proofErr w:type="spellEnd"/>
      <w:r w:rsidRPr="00BC641F">
        <w:rPr>
          <w:sz w:val="24"/>
          <w:szCs w:val="24"/>
          <w:lang w:val="en-US"/>
        </w:rPr>
        <w:t xml:space="preserve"> A., </w:t>
      </w:r>
      <w:proofErr w:type="spellStart"/>
      <w:r w:rsidRPr="00BC641F">
        <w:rPr>
          <w:sz w:val="24"/>
          <w:szCs w:val="24"/>
          <w:lang w:val="en-US"/>
        </w:rPr>
        <w:t>Disario</w:t>
      </w:r>
      <w:proofErr w:type="spellEnd"/>
      <w:r w:rsidRPr="00BC641F">
        <w:rPr>
          <w:sz w:val="24"/>
          <w:szCs w:val="24"/>
          <w:lang w:val="en-US"/>
        </w:rPr>
        <w:t xml:space="preserve"> J., Amann S. T., Baillie J., Lawrence C., O’Connell M., </w:t>
      </w:r>
      <w:proofErr w:type="spellStart"/>
      <w:r w:rsidRPr="00BC641F">
        <w:rPr>
          <w:sz w:val="24"/>
          <w:szCs w:val="24"/>
          <w:lang w:val="en-US"/>
        </w:rPr>
        <w:t>Lowenfels</w:t>
      </w:r>
      <w:proofErr w:type="spellEnd"/>
      <w:r w:rsidRPr="00BC641F">
        <w:rPr>
          <w:sz w:val="24"/>
          <w:szCs w:val="24"/>
          <w:lang w:val="en-US"/>
        </w:rPr>
        <w:t xml:space="preserve"> </w:t>
      </w:r>
      <w:r w:rsidRPr="00BC641F">
        <w:rPr>
          <w:sz w:val="24"/>
          <w:szCs w:val="24"/>
          <w:lang w:val="de-DE"/>
        </w:rPr>
        <w:t xml:space="preserve">A. B., </w:t>
      </w:r>
      <w:r w:rsidRPr="00BC641F">
        <w:rPr>
          <w:sz w:val="24"/>
          <w:szCs w:val="24"/>
          <w:lang w:val="en-US"/>
        </w:rPr>
        <w:t xml:space="preserve">Banks P. A., Whitcomb D. C. Smoking is underrecognized as a risk factor for chronic pancreatitis. </w:t>
      </w:r>
      <w:proofErr w:type="spellStart"/>
      <w:r w:rsidRPr="00BC641F">
        <w:rPr>
          <w:rStyle w:val="151"/>
          <w:color w:val="auto"/>
          <w:sz w:val="24"/>
          <w:szCs w:val="24"/>
        </w:rPr>
        <w:t>Pancreatology</w:t>
      </w:r>
      <w:proofErr w:type="spellEnd"/>
      <w:r w:rsidRPr="00BC641F">
        <w:rPr>
          <w:rStyle w:val="151"/>
          <w:color w:val="auto"/>
          <w:sz w:val="24"/>
          <w:szCs w:val="24"/>
        </w:rPr>
        <w:t>.</w:t>
      </w:r>
      <w:r w:rsidRPr="00BC641F">
        <w:rPr>
          <w:sz w:val="24"/>
          <w:szCs w:val="24"/>
          <w:lang w:val="en-US"/>
        </w:rPr>
        <w:t xml:space="preserve"> 2010. Vol. 10. P. 713–719.</w:t>
      </w:r>
      <w:bookmarkEnd w:id="36"/>
    </w:p>
    <w:p w:rsidR="00785034" w:rsidRPr="00BC641F" w:rsidRDefault="00785034" w:rsidP="005170AF">
      <w:pPr>
        <w:pStyle w:val="150"/>
        <w:numPr>
          <w:ilvl w:val="0"/>
          <w:numId w:val="3"/>
        </w:numPr>
        <w:shd w:val="clear" w:color="auto" w:fill="auto"/>
        <w:tabs>
          <w:tab w:val="left" w:pos="284"/>
        </w:tabs>
        <w:spacing w:before="0" w:line="240" w:lineRule="auto"/>
        <w:ind w:left="0" w:firstLine="709"/>
        <w:jc w:val="left"/>
      </w:pPr>
      <w:bookmarkStart w:id="37" w:name="_Ref24106137"/>
      <w:proofErr w:type="spellStart"/>
      <w:r w:rsidRPr="00C866EA">
        <w:rPr>
          <w:sz w:val="24"/>
          <w:szCs w:val="24"/>
          <w:lang w:val="en-US"/>
        </w:rPr>
        <w:t>Yamabe</w:t>
      </w:r>
      <w:proofErr w:type="spellEnd"/>
      <w:r w:rsidRPr="00C866EA">
        <w:rPr>
          <w:sz w:val="24"/>
          <w:szCs w:val="24"/>
          <w:lang w:val="en-US"/>
        </w:rPr>
        <w:t xml:space="preserve"> A., </w:t>
      </w:r>
      <w:proofErr w:type="spellStart"/>
      <w:r w:rsidRPr="00C866EA">
        <w:rPr>
          <w:sz w:val="24"/>
          <w:szCs w:val="24"/>
          <w:lang w:val="en-US"/>
        </w:rPr>
        <w:t>Irisawa</w:t>
      </w:r>
      <w:proofErr w:type="spellEnd"/>
      <w:r w:rsidRPr="00C866EA">
        <w:rPr>
          <w:sz w:val="24"/>
          <w:szCs w:val="24"/>
          <w:lang w:val="en-US"/>
        </w:rPr>
        <w:t xml:space="preserve"> A., </w:t>
      </w:r>
      <w:proofErr w:type="spellStart"/>
      <w:r w:rsidRPr="00C866EA">
        <w:rPr>
          <w:sz w:val="24"/>
          <w:szCs w:val="24"/>
          <w:lang w:val="en-US"/>
        </w:rPr>
        <w:t>Shibukawa</w:t>
      </w:r>
      <w:proofErr w:type="spellEnd"/>
      <w:r w:rsidRPr="00C866EA">
        <w:rPr>
          <w:sz w:val="24"/>
          <w:szCs w:val="24"/>
          <w:lang w:val="en-US"/>
        </w:rPr>
        <w:t xml:space="preserve"> G., Sato A., Fujisawa M., Arakawa N., Yoshida Y., Abe Y., Igarashi R., Maki T., Yamamoto S. Early diagnosis of chronic pancreatitis: understanding the factors associated with the development of chronic pancreatitis. </w:t>
      </w:r>
      <w:r w:rsidRPr="00C866EA">
        <w:rPr>
          <w:rStyle w:val="151"/>
          <w:rFonts w:eastAsiaTheme="minorHAnsi"/>
          <w:color w:val="auto"/>
          <w:sz w:val="24"/>
          <w:szCs w:val="24"/>
        </w:rPr>
        <w:t>Fukushima J Med Sci.</w:t>
      </w:r>
      <w:r w:rsidRPr="00C866EA">
        <w:rPr>
          <w:sz w:val="24"/>
          <w:szCs w:val="24"/>
          <w:lang w:val="en-US"/>
        </w:rPr>
        <w:t xml:space="preserve"> 2017. Vol. 63. P. 1–7.</w:t>
      </w:r>
      <w:bookmarkStart w:id="38" w:name="_GoBack"/>
      <w:bookmarkEnd w:id="37"/>
      <w:bookmarkEnd w:id="38"/>
      <w:r w:rsidRPr="00BC641F">
        <w:br w:type="page"/>
      </w:r>
    </w:p>
    <w:p w:rsidR="00E8661B" w:rsidRPr="00BC641F" w:rsidRDefault="00E8661B" w:rsidP="005170AF">
      <w:pPr>
        <w:autoSpaceDE w:val="0"/>
        <w:autoSpaceDN w:val="0"/>
        <w:adjustRightInd w:val="0"/>
        <w:ind w:firstLine="709"/>
        <w:jc w:val="left"/>
      </w:pPr>
      <w:r w:rsidRPr="00BC641F">
        <w:lastRenderedPageBreak/>
        <w:t>УДК 616.37-002.2-035.2-036:303.446.34</w:t>
      </w:r>
    </w:p>
    <w:p w:rsidR="00E8661B" w:rsidRPr="00BC641F" w:rsidRDefault="00E8661B" w:rsidP="005170AF">
      <w:pPr>
        <w:autoSpaceDE w:val="0"/>
        <w:autoSpaceDN w:val="0"/>
        <w:adjustRightInd w:val="0"/>
        <w:ind w:firstLine="709"/>
        <w:jc w:val="center"/>
        <w:rPr>
          <w:b/>
        </w:rPr>
      </w:pPr>
      <w:r w:rsidRPr="00BC641F">
        <w:rPr>
          <w:b/>
        </w:rPr>
        <w:t xml:space="preserve">Факторы риска и оценка прогноза хронического панкреатита: общенациональное популяционное </w:t>
      </w:r>
      <w:proofErr w:type="spellStart"/>
      <w:r w:rsidRPr="00BC641F">
        <w:rPr>
          <w:b/>
        </w:rPr>
        <w:t>когортное</w:t>
      </w:r>
      <w:proofErr w:type="spellEnd"/>
      <w:r w:rsidRPr="00BC641F">
        <w:rPr>
          <w:b/>
        </w:rPr>
        <w:t xml:space="preserve"> исследование</w:t>
      </w:r>
    </w:p>
    <w:p w:rsidR="00E8661B" w:rsidRPr="00BC641F" w:rsidRDefault="00E8661B" w:rsidP="005170AF">
      <w:pPr>
        <w:autoSpaceDE w:val="0"/>
        <w:autoSpaceDN w:val="0"/>
        <w:adjustRightInd w:val="0"/>
        <w:ind w:firstLine="709"/>
        <w:jc w:val="center"/>
        <w:rPr>
          <w:vertAlign w:val="superscript"/>
          <w:lang w:val="en-US"/>
        </w:rPr>
      </w:pPr>
      <w:r w:rsidRPr="00BC641F">
        <w:rPr>
          <w:lang w:val="en-US"/>
        </w:rPr>
        <w:t>Yen-</w:t>
      </w:r>
      <w:proofErr w:type="spellStart"/>
      <w:r w:rsidRPr="00BC641F">
        <w:rPr>
          <w:lang w:val="en-US"/>
        </w:rPr>
        <w:t>Chih</w:t>
      </w:r>
      <w:proofErr w:type="spellEnd"/>
      <w:r w:rsidRPr="00BC641F">
        <w:rPr>
          <w:lang w:val="en-US"/>
        </w:rPr>
        <w:t xml:space="preserve"> Lin</w:t>
      </w:r>
      <w:r w:rsidRPr="00BC641F">
        <w:rPr>
          <w:vertAlign w:val="superscript"/>
          <w:lang w:val="en-US"/>
        </w:rPr>
        <w:t>1</w:t>
      </w:r>
      <w:r w:rsidRPr="00BC641F">
        <w:rPr>
          <w:lang w:val="en-US"/>
        </w:rPr>
        <w:t>, Chew-Teng Kor</w:t>
      </w:r>
      <w:r w:rsidRPr="00BC641F">
        <w:rPr>
          <w:vertAlign w:val="superscript"/>
          <w:lang w:val="en-US"/>
        </w:rPr>
        <w:t>2</w:t>
      </w:r>
      <w:r w:rsidRPr="00BC641F">
        <w:rPr>
          <w:lang w:val="en-US"/>
        </w:rPr>
        <w:t>, Wei-Wen Su</w:t>
      </w:r>
      <w:r w:rsidRPr="00BC641F">
        <w:rPr>
          <w:vertAlign w:val="superscript"/>
          <w:lang w:val="en-US"/>
        </w:rPr>
        <w:t>1</w:t>
      </w:r>
      <w:r w:rsidRPr="00BC641F">
        <w:rPr>
          <w:lang w:val="en-US"/>
        </w:rPr>
        <w:t>, Yu-Chun Hsu</w:t>
      </w:r>
      <w:r w:rsidRPr="00BC641F">
        <w:rPr>
          <w:vertAlign w:val="superscript"/>
          <w:lang w:val="en-US"/>
        </w:rPr>
        <w:t>1</w:t>
      </w:r>
    </w:p>
    <w:p w:rsidR="00E8661B" w:rsidRPr="00BC641F" w:rsidRDefault="00E8661B" w:rsidP="005170AF">
      <w:pPr>
        <w:pStyle w:val="70"/>
        <w:spacing w:after="0" w:line="240" w:lineRule="auto"/>
        <w:ind w:firstLine="709"/>
        <w:jc w:val="center"/>
        <w:rPr>
          <w:sz w:val="24"/>
          <w:szCs w:val="24"/>
        </w:rPr>
      </w:pPr>
      <w:r w:rsidRPr="00BC641F">
        <w:rPr>
          <w:sz w:val="24"/>
          <w:szCs w:val="24"/>
          <w:vertAlign w:val="superscript"/>
        </w:rPr>
        <w:t>1</w:t>
      </w:r>
      <w:r w:rsidRPr="00BC641F">
        <w:rPr>
          <w:sz w:val="24"/>
          <w:szCs w:val="24"/>
        </w:rPr>
        <w:t xml:space="preserve">Отделение гастроэнтерологии, отделение внутренней медицины, Христианская больница </w:t>
      </w:r>
      <w:proofErr w:type="spellStart"/>
      <w:r w:rsidRPr="00BC641F">
        <w:rPr>
          <w:sz w:val="24"/>
          <w:szCs w:val="24"/>
        </w:rPr>
        <w:t>Чанхуа</w:t>
      </w:r>
      <w:proofErr w:type="spellEnd"/>
      <w:r w:rsidRPr="00BC641F">
        <w:rPr>
          <w:sz w:val="24"/>
          <w:szCs w:val="24"/>
        </w:rPr>
        <w:t xml:space="preserve">, </w:t>
      </w:r>
      <w:proofErr w:type="spellStart"/>
      <w:r w:rsidRPr="00BC641F">
        <w:rPr>
          <w:sz w:val="24"/>
          <w:szCs w:val="24"/>
        </w:rPr>
        <w:t>Чанхуа</w:t>
      </w:r>
      <w:proofErr w:type="spellEnd"/>
      <w:r w:rsidRPr="00BC641F">
        <w:rPr>
          <w:sz w:val="24"/>
          <w:szCs w:val="24"/>
        </w:rPr>
        <w:t>, Тайвань, Китай</w:t>
      </w:r>
    </w:p>
    <w:p w:rsidR="00E8661B" w:rsidRPr="00BC641F" w:rsidRDefault="00E8661B" w:rsidP="005170AF">
      <w:pPr>
        <w:pStyle w:val="70"/>
        <w:shd w:val="clear" w:color="auto" w:fill="auto"/>
        <w:spacing w:after="0" w:line="240" w:lineRule="auto"/>
        <w:ind w:firstLine="709"/>
        <w:jc w:val="center"/>
        <w:rPr>
          <w:sz w:val="24"/>
          <w:szCs w:val="24"/>
        </w:rPr>
      </w:pPr>
      <w:r w:rsidRPr="00BC641F">
        <w:rPr>
          <w:sz w:val="24"/>
          <w:szCs w:val="24"/>
          <w:vertAlign w:val="superscript"/>
        </w:rPr>
        <w:t>2</w:t>
      </w:r>
      <w:r w:rsidRPr="00BC641F">
        <w:rPr>
          <w:sz w:val="24"/>
          <w:szCs w:val="24"/>
        </w:rPr>
        <w:t xml:space="preserve">Научно-исследовательский центр внутренней медицины, Христианская больница </w:t>
      </w:r>
      <w:proofErr w:type="spellStart"/>
      <w:r w:rsidRPr="00BC641F">
        <w:rPr>
          <w:sz w:val="24"/>
          <w:szCs w:val="24"/>
        </w:rPr>
        <w:t>Чанхуа</w:t>
      </w:r>
      <w:proofErr w:type="spellEnd"/>
      <w:r w:rsidRPr="00BC641F">
        <w:rPr>
          <w:sz w:val="24"/>
          <w:szCs w:val="24"/>
        </w:rPr>
        <w:t xml:space="preserve">, </w:t>
      </w:r>
      <w:proofErr w:type="spellStart"/>
      <w:r w:rsidRPr="00BC641F">
        <w:rPr>
          <w:sz w:val="24"/>
          <w:szCs w:val="24"/>
        </w:rPr>
        <w:t>Чанхуа</w:t>
      </w:r>
      <w:proofErr w:type="spellEnd"/>
      <w:r w:rsidRPr="00BC641F">
        <w:rPr>
          <w:sz w:val="24"/>
          <w:szCs w:val="24"/>
        </w:rPr>
        <w:t>, Тайвань, Китай</w:t>
      </w:r>
    </w:p>
    <w:p w:rsidR="00E8661B" w:rsidRPr="00BC641F" w:rsidRDefault="00E8661B" w:rsidP="005170AF">
      <w:pPr>
        <w:autoSpaceDE w:val="0"/>
        <w:autoSpaceDN w:val="0"/>
        <w:adjustRightInd w:val="0"/>
        <w:ind w:firstLine="709"/>
        <w:jc w:val="left"/>
      </w:pPr>
    </w:p>
    <w:p w:rsidR="00E8661B" w:rsidRPr="00BC641F" w:rsidRDefault="00E8661B" w:rsidP="005170AF">
      <w:pPr>
        <w:autoSpaceDE w:val="0"/>
        <w:autoSpaceDN w:val="0"/>
        <w:adjustRightInd w:val="0"/>
        <w:ind w:firstLine="709"/>
        <w:jc w:val="center"/>
      </w:pPr>
      <w:r w:rsidRPr="00BC641F">
        <w:t xml:space="preserve">Статья опубликована в журнале </w:t>
      </w:r>
      <w:r w:rsidRPr="00BC641F">
        <w:tab/>
      </w:r>
      <w:proofErr w:type="spellStart"/>
      <w:r w:rsidRPr="00BC641F">
        <w:rPr>
          <w:i/>
          <w:iCs/>
        </w:rPr>
        <w:t>World</w:t>
      </w:r>
      <w:proofErr w:type="spellEnd"/>
      <w:r w:rsidRPr="00BC641F">
        <w:rPr>
          <w:i/>
          <w:iCs/>
        </w:rPr>
        <w:t xml:space="preserve"> J </w:t>
      </w:r>
      <w:proofErr w:type="spellStart"/>
      <w:r w:rsidRPr="00BC641F">
        <w:rPr>
          <w:i/>
          <w:iCs/>
        </w:rPr>
        <w:t>Gastroenterol</w:t>
      </w:r>
      <w:proofErr w:type="spellEnd"/>
      <w:r w:rsidRPr="00BC641F">
        <w:rPr>
          <w:i/>
          <w:iCs/>
        </w:rPr>
        <w:t xml:space="preserve">. </w:t>
      </w:r>
      <w:r w:rsidRPr="00BC641F">
        <w:t xml:space="preserve">2018. </w:t>
      </w:r>
      <w:r w:rsidRPr="00BC641F">
        <w:rPr>
          <w:lang w:val="en-US"/>
        </w:rPr>
        <w:t>Vol</w:t>
      </w:r>
      <w:r w:rsidRPr="00BC641F">
        <w:t xml:space="preserve">. 24, </w:t>
      </w:r>
      <w:r w:rsidRPr="00BC641F">
        <w:rPr>
          <w:lang w:val="en-US"/>
        </w:rPr>
        <w:t>No</w:t>
      </w:r>
      <w:r w:rsidRPr="00BC641F">
        <w:t xml:space="preserve"> 44. </w:t>
      </w:r>
      <w:r w:rsidRPr="00BC641F">
        <w:rPr>
          <w:lang w:val="en-US"/>
        </w:rPr>
        <w:t>P</w:t>
      </w:r>
      <w:r w:rsidRPr="00BC641F">
        <w:t>. 5034–5045.</w:t>
      </w:r>
    </w:p>
    <w:p w:rsidR="00E8661B" w:rsidRPr="00BC641F" w:rsidRDefault="00E8661B" w:rsidP="005170AF">
      <w:pPr>
        <w:autoSpaceDE w:val="0"/>
        <w:autoSpaceDN w:val="0"/>
        <w:adjustRightInd w:val="0"/>
        <w:ind w:firstLine="709"/>
        <w:jc w:val="left"/>
      </w:pPr>
    </w:p>
    <w:p w:rsidR="00E8661B" w:rsidRPr="00BC641F" w:rsidRDefault="00E8661B" w:rsidP="005170AF">
      <w:pPr>
        <w:autoSpaceDE w:val="0"/>
        <w:autoSpaceDN w:val="0"/>
        <w:adjustRightInd w:val="0"/>
        <w:ind w:firstLine="709"/>
      </w:pPr>
      <w:r w:rsidRPr="00BC641F">
        <w:rPr>
          <w:b/>
        </w:rPr>
        <w:t>Ключевые слова:</w:t>
      </w:r>
      <w:r w:rsidRPr="00BC641F">
        <w:t xml:space="preserve"> хронический панкреатит</w:t>
      </w:r>
      <w:r w:rsidRPr="00BC641F">
        <w:rPr>
          <w:rFonts w:eastAsiaTheme="minorEastAsia"/>
          <w:lang w:eastAsia="zh-CN"/>
        </w:rPr>
        <w:t>,</w:t>
      </w:r>
      <w:r w:rsidRPr="00BC641F">
        <w:t xml:space="preserve"> острый панкреатит, оценка прогноза, эндоскопическое УЗИ, рецидивирующий острый панкреатит</w:t>
      </w:r>
    </w:p>
    <w:p w:rsidR="00E8661B" w:rsidRPr="00BC641F" w:rsidRDefault="00E8661B" w:rsidP="005170AF">
      <w:pPr>
        <w:autoSpaceDE w:val="0"/>
        <w:autoSpaceDN w:val="0"/>
        <w:adjustRightInd w:val="0"/>
        <w:ind w:firstLine="709"/>
        <w:jc w:val="left"/>
      </w:pPr>
    </w:p>
    <w:p w:rsidR="00E8661B" w:rsidRPr="00BC641F" w:rsidRDefault="00E8661B" w:rsidP="005170AF">
      <w:pPr>
        <w:autoSpaceDE w:val="0"/>
        <w:autoSpaceDN w:val="0"/>
        <w:adjustRightInd w:val="0"/>
        <w:ind w:firstLine="709"/>
        <w:jc w:val="left"/>
        <w:rPr>
          <w:b/>
        </w:rPr>
      </w:pPr>
      <w:r w:rsidRPr="00BC641F">
        <w:rPr>
          <w:b/>
        </w:rPr>
        <w:t>Цель</w:t>
      </w:r>
    </w:p>
    <w:p w:rsidR="00E8661B" w:rsidRPr="00BC641F" w:rsidRDefault="00E8661B" w:rsidP="005170AF">
      <w:pPr>
        <w:autoSpaceDE w:val="0"/>
        <w:autoSpaceDN w:val="0"/>
        <w:adjustRightInd w:val="0"/>
        <w:ind w:firstLine="709"/>
        <w:jc w:val="left"/>
      </w:pPr>
      <w:r w:rsidRPr="00BC641F">
        <w:t>Изучить факторы риска развития хронического панкреатита (ХП) у пациентов с острым панкреатитом (ОП) и разработать прогностическую шкалу для ХП.</w:t>
      </w:r>
    </w:p>
    <w:p w:rsidR="00E8661B" w:rsidRPr="00BC641F" w:rsidRDefault="00E8661B" w:rsidP="005170AF">
      <w:pPr>
        <w:autoSpaceDE w:val="0"/>
        <w:autoSpaceDN w:val="0"/>
        <w:adjustRightInd w:val="0"/>
        <w:ind w:firstLine="709"/>
        <w:jc w:val="left"/>
        <w:rPr>
          <w:b/>
        </w:rPr>
      </w:pPr>
      <w:r w:rsidRPr="00BC641F">
        <w:rPr>
          <w:b/>
        </w:rPr>
        <w:t>Методы</w:t>
      </w:r>
    </w:p>
    <w:p w:rsidR="00E8661B" w:rsidRPr="00BC641F" w:rsidRDefault="00E8661B" w:rsidP="005170AF">
      <w:pPr>
        <w:autoSpaceDE w:val="0"/>
        <w:autoSpaceDN w:val="0"/>
        <w:adjustRightInd w:val="0"/>
        <w:ind w:firstLine="709"/>
      </w:pPr>
      <w:r w:rsidRPr="00BC641F">
        <w:t xml:space="preserve">Используя национальную базу данных исследований медицинского страхования на Тайване, мы получили обширные популяционные данные о 5971 пациентах с диагнозом </w:t>
      </w:r>
      <w:r w:rsidR="00AB753B">
        <w:t xml:space="preserve">ГП </w:t>
      </w:r>
      <w:r w:rsidRPr="00BC641F">
        <w:t xml:space="preserve">с 2000 по 2013 годы, соответствующих критериям включения в исследование. После исключения пациентов с обструктивным и </w:t>
      </w:r>
      <w:proofErr w:type="spellStart"/>
      <w:r w:rsidRPr="00BC641F">
        <w:t>билиарным</w:t>
      </w:r>
      <w:proofErr w:type="spellEnd"/>
      <w:r w:rsidRPr="00BC641F">
        <w:t xml:space="preserve"> панкреатитом, а также пациентов с периодом наблюдения менее 1 год мы провели многомерный анализ с использованием данных 3739 пациентов, для выявления факторов риска ХП, а затем разработали систему подсчета баллов, которая могла бы прогнозировать развитие ХП у пациентов с </w:t>
      </w:r>
      <w:r w:rsidR="00865038">
        <w:t>ГП.</w:t>
      </w:r>
      <w:r w:rsidRPr="00BC641F">
        <w:t xml:space="preserve"> Кроме того, мы оценили нашу систему оценки, используя </w:t>
      </w:r>
      <w:proofErr w:type="spellStart"/>
      <w:r w:rsidRPr="00BC641F">
        <w:t>валидационную</w:t>
      </w:r>
      <w:proofErr w:type="spellEnd"/>
      <w:r w:rsidRPr="00BC641F">
        <w:t xml:space="preserve"> когорту.</w:t>
      </w:r>
    </w:p>
    <w:p w:rsidR="00E8661B" w:rsidRPr="00BC641F" w:rsidRDefault="00E8661B" w:rsidP="005170AF">
      <w:pPr>
        <w:autoSpaceDE w:val="0"/>
        <w:autoSpaceDN w:val="0"/>
        <w:adjustRightInd w:val="0"/>
        <w:ind w:firstLine="709"/>
        <w:jc w:val="left"/>
        <w:rPr>
          <w:b/>
        </w:rPr>
      </w:pPr>
      <w:r w:rsidRPr="00BC641F">
        <w:rPr>
          <w:b/>
        </w:rPr>
        <w:t>Результаты</w:t>
      </w:r>
    </w:p>
    <w:p w:rsidR="00E8661B" w:rsidRPr="00BC641F" w:rsidRDefault="00E8661B" w:rsidP="005170AF">
      <w:pPr>
        <w:autoSpaceDE w:val="0"/>
        <w:autoSpaceDN w:val="0"/>
        <w:adjustRightInd w:val="0"/>
        <w:ind w:firstLine="709"/>
      </w:pPr>
      <w:r w:rsidRPr="00BC641F">
        <w:t xml:space="preserve">Среди пациентов с рецидивирующим </w:t>
      </w:r>
      <w:r w:rsidR="00AB753B">
        <w:t xml:space="preserve">ГП </w:t>
      </w:r>
      <w:r w:rsidRPr="00BC641F">
        <w:t xml:space="preserve">(РОП) у 142 (12,98%) пациентов развился ХП. С другой стороны, среди пациентов только с одним эпизодом </w:t>
      </w:r>
      <w:r w:rsidR="00AB753B">
        <w:t xml:space="preserve">ГП </w:t>
      </w:r>
      <w:r w:rsidRPr="00BC641F">
        <w:t xml:space="preserve">ХП развился у 32 (1,21%) больных. Многофакторный анализ выявил, что наличие </w:t>
      </w:r>
      <w:proofErr w:type="gramStart"/>
      <w:r w:rsidR="00AB753B">
        <w:t xml:space="preserve">РГП, </w:t>
      </w:r>
      <w:r w:rsidRPr="00BC641F">
        <w:t xml:space="preserve"> алкоголизм</w:t>
      </w:r>
      <w:proofErr w:type="gramEnd"/>
      <w:r w:rsidRPr="00BC641F">
        <w:t>, курение и возраст &lt;55 лет являлись 4 важными факторами риска ХП. Мы разработали систему оценки (оценка риска 1 и оценка риска 2) из деривационной когорты, классифицируя пациентов по категориям низкого</w:t>
      </w:r>
      <w:r w:rsidR="001271AD" w:rsidRPr="00BC641F">
        <w:t xml:space="preserve">, среднего </w:t>
      </w:r>
      <w:r w:rsidRPr="00BC641F">
        <w:t xml:space="preserve">и высокого риска на основе сходных величин риска, и проверили эффективность с использованием другой </w:t>
      </w:r>
      <w:proofErr w:type="spellStart"/>
      <w:r w:rsidRPr="00BC641F">
        <w:t>валидационной</w:t>
      </w:r>
      <w:proofErr w:type="spellEnd"/>
      <w:r w:rsidRPr="00BC641F">
        <w:t xml:space="preserve"> когорты. С использованием модели оценки прогноза, площадь под кривой (AUC) [95% доверительный интервал (ДИ)] при прогнозировании 5-летней частоты ХП в оценке риска 1 (без количества эпизодов ОП) составила 0,83 (0,79, 0,87), тогда как AUC (95% ДИ) в оценке риска 2 (включая количество эпизодов ОП) составила 0,84 (0,80, 0,88). Этот результат продемонстрировал, что показатель риска 2 имеет несколько лучшую прогностическую эффективность, чем показатель риска 1. Однако оба показателя имели сходные оценочные данные в деривационной и </w:t>
      </w:r>
      <w:proofErr w:type="spellStart"/>
      <w:r w:rsidRPr="00BC641F">
        <w:t>валидационной</w:t>
      </w:r>
      <w:proofErr w:type="spellEnd"/>
      <w:r w:rsidRPr="00BC641F">
        <w:t xml:space="preserve"> когортах.</w:t>
      </w:r>
    </w:p>
    <w:p w:rsidR="00E8661B" w:rsidRPr="00BC641F" w:rsidRDefault="00E8661B" w:rsidP="005170AF">
      <w:pPr>
        <w:autoSpaceDE w:val="0"/>
        <w:autoSpaceDN w:val="0"/>
        <w:adjustRightInd w:val="0"/>
        <w:ind w:firstLine="709"/>
        <w:jc w:val="left"/>
        <w:rPr>
          <w:b/>
        </w:rPr>
      </w:pPr>
      <w:r w:rsidRPr="00BC641F">
        <w:rPr>
          <w:b/>
        </w:rPr>
        <w:t>Заключение</w:t>
      </w:r>
    </w:p>
    <w:p w:rsidR="00E8661B" w:rsidRPr="00BC641F" w:rsidRDefault="00E8661B" w:rsidP="005170AF">
      <w:pPr>
        <w:autoSpaceDE w:val="0"/>
        <w:autoSpaceDN w:val="0"/>
        <w:adjustRightInd w:val="0"/>
        <w:ind w:firstLine="709"/>
        <w:jc w:val="left"/>
      </w:pPr>
      <w:r w:rsidRPr="00BC641F">
        <w:t>В ходе исследования мы определили факторы риска ХП и разработали модель оценки прогноза ХП.</w:t>
      </w:r>
    </w:p>
    <w:p w:rsidR="00E8661B" w:rsidRPr="00BC641F" w:rsidRDefault="00E8661B" w:rsidP="005170AF">
      <w:pPr>
        <w:pStyle w:val="70"/>
        <w:shd w:val="clear" w:color="auto" w:fill="auto"/>
        <w:spacing w:after="0" w:line="240" w:lineRule="auto"/>
        <w:ind w:firstLine="709"/>
        <w:rPr>
          <w:b/>
          <w:sz w:val="24"/>
          <w:szCs w:val="24"/>
        </w:rPr>
      </w:pPr>
      <w:r w:rsidRPr="00BC641F">
        <w:rPr>
          <w:b/>
          <w:sz w:val="24"/>
          <w:szCs w:val="24"/>
        </w:rPr>
        <w:t>Основной совет</w:t>
      </w:r>
    </w:p>
    <w:p w:rsidR="00E8661B" w:rsidRPr="00BC641F" w:rsidRDefault="00E8661B" w:rsidP="005170AF">
      <w:pPr>
        <w:pStyle w:val="70"/>
        <w:shd w:val="clear" w:color="auto" w:fill="auto"/>
        <w:spacing w:after="0" w:line="240" w:lineRule="auto"/>
        <w:ind w:firstLine="709"/>
        <w:rPr>
          <w:sz w:val="24"/>
          <w:szCs w:val="24"/>
        </w:rPr>
      </w:pPr>
      <w:r w:rsidRPr="00BC641F">
        <w:rPr>
          <w:sz w:val="24"/>
          <w:szCs w:val="24"/>
        </w:rPr>
        <w:t xml:space="preserve">В этом большом общенациональном популяционном </w:t>
      </w:r>
      <w:proofErr w:type="spellStart"/>
      <w:r w:rsidRPr="00BC641F">
        <w:rPr>
          <w:sz w:val="24"/>
          <w:szCs w:val="24"/>
        </w:rPr>
        <w:t>когортном</w:t>
      </w:r>
      <w:proofErr w:type="spellEnd"/>
      <w:r w:rsidRPr="00BC641F">
        <w:rPr>
          <w:sz w:val="24"/>
          <w:szCs w:val="24"/>
        </w:rPr>
        <w:t xml:space="preserve"> исследовании мы пришли к выводу, что наличие рецидивирующего острого панкреатита, а также потребление алкоголя, возраст начала и курение являются 4 важными факторами риска развития хронического панкреатита. Мы разработали новую модель оценки прогноза для хронического панкреатита с отличной дискриминацией и успешно проверили эту модель в нашем исследовании. Используя эту систему оценки, врач может легко предсказать исход </w:t>
      </w:r>
      <w:r w:rsidRPr="00BC641F">
        <w:rPr>
          <w:sz w:val="24"/>
          <w:szCs w:val="24"/>
        </w:rPr>
        <w:lastRenderedPageBreak/>
        <w:t>пациента с эпизодом острого панкреатита и организовать дальнейшее обследование, такое как функциональное тестирование поджелудочной железы или эндоскопическое ультразвуковое исследование для максимально ранней диагностики хронического панкреатита (по данным нашего исследования, уровень заболеваемости около 31 на 1000 человеко-лет в группе высокого риска), поскольку хронический панкреатит является важным фактором риска рака поджелудочной железы.</w:t>
      </w:r>
    </w:p>
    <w:p w:rsidR="002922DA" w:rsidRPr="00BC641F" w:rsidRDefault="002922DA" w:rsidP="005170AF">
      <w:pPr>
        <w:pStyle w:val="70"/>
        <w:shd w:val="clear" w:color="auto" w:fill="auto"/>
        <w:spacing w:after="0" w:line="240" w:lineRule="auto"/>
        <w:ind w:firstLine="709"/>
        <w:rPr>
          <w:sz w:val="24"/>
          <w:szCs w:val="24"/>
        </w:rPr>
      </w:pPr>
    </w:p>
    <w:p w:rsidR="001162C9" w:rsidRPr="00BC641F" w:rsidRDefault="001162C9" w:rsidP="005170AF">
      <w:pPr>
        <w:autoSpaceDE w:val="0"/>
        <w:autoSpaceDN w:val="0"/>
        <w:adjustRightInd w:val="0"/>
        <w:ind w:firstLine="709"/>
        <w:jc w:val="left"/>
        <w:rPr>
          <w:lang w:val="uk-UA"/>
        </w:rPr>
      </w:pPr>
      <w:r w:rsidRPr="00BC641F">
        <w:rPr>
          <w:lang w:val="uk-UA"/>
        </w:rPr>
        <w:t>УДК 616.37-002.2-035.2-036:303.446.34</w:t>
      </w:r>
    </w:p>
    <w:p w:rsidR="001162C9" w:rsidRPr="00BC641F" w:rsidRDefault="001162C9" w:rsidP="005170AF">
      <w:pPr>
        <w:autoSpaceDE w:val="0"/>
        <w:autoSpaceDN w:val="0"/>
        <w:adjustRightInd w:val="0"/>
        <w:ind w:firstLine="709"/>
        <w:jc w:val="center"/>
        <w:rPr>
          <w:b/>
          <w:lang w:val="uk-UA"/>
        </w:rPr>
      </w:pPr>
      <w:r w:rsidRPr="00BC641F">
        <w:rPr>
          <w:b/>
          <w:lang w:val="uk-UA"/>
        </w:rPr>
        <w:t xml:space="preserve">Фактори ризику і оцінка прогнозу хронічного панкреатиту: загальнонаціональне популяційне </w:t>
      </w:r>
      <w:proofErr w:type="spellStart"/>
      <w:r w:rsidRPr="00BC641F">
        <w:rPr>
          <w:b/>
          <w:lang w:val="uk-UA"/>
        </w:rPr>
        <w:t>когортне</w:t>
      </w:r>
      <w:proofErr w:type="spellEnd"/>
      <w:r w:rsidRPr="00BC641F">
        <w:rPr>
          <w:b/>
          <w:lang w:val="uk-UA"/>
        </w:rPr>
        <w:t xml:space="preserve"> дослідження</w:t>
      </w:r>
    </w:p>
    <w:p w:rsidR="001162C9" w:rsidRPr="00BC641F" w:rsidRDefault="001162C9" w:rsidP="005170AF">
      <w:pPr>
        <w:autoSpaceDE w:val="0"/>
        <w:autoSpaceDN w:val="0"/>
        <w:adjustRightInd w:val="0"/>
        <w:ind w:firstLine="709"/>
        <w:jc w:val="center"/>
        <w:rPr>
          <w:vertAlign w:val="superscript"/>
          <w:lang w:val="uk-UA"/>
        </w:rPr>
      </w:pPr>
      <w:r w:rsidRPr="00BC641F">
        <w:rPr>
          <w:lang w:val="uk-UA"/>
        </w:rPr>
        <w:t>Yen-Chih Lin</w:t>
      </w:r>
      <w:r w:rsidRPr="00BC641F">
        <w:rPr>
          <w:vertAlign w:val="superscript"/>
          <w:lang w:val="uk-UA"/>
        </w:rPr>
        <w:t>1</w:t>
      </w:r>
      <w:r w:rsidRPr="00BC641F">
        <w:rPr>
          <w:lang w:val="uk-UA"/>
        </w:rPr>
        <w:t>, Chew-Teng Kor</w:t>
      </w:r>
      <w:r w:rsidRPr="00BC641F">
        <w:rPr>
          <w:vertAlign w:val="superscript"/>
          <w:lang w:val="uk-UA"/>
        </w:rPr>
        <w:t>2</w:t>
      </w:r>
      <w:r w:rsidRPr="00BC641F">
        <w:rPr>
          <w:lang w:val="uk-UA"/>
        </w:rPr>
        <w:t>, Wei-Wen Su</w:t>
      </w:r>
      <w:r w:rsidRPr="00BC641F">
        <w:rPr>
          <w:vertAlign w:val="superscript"/>
          <w:lang w:val="uk-UA"/>
        </w:rPr>
        <w:t>1</w:t>
      </w:r>
      <w:r w:rsidRPr="00BC641F">
        <w:rPr>
          <w:lang w:val="uk-UA"/>
        </w:rPr>
        <w:t>, Yu-Chun Hsu</w:t>
      </w:r>
      <w:r w:rsidRPr="00BC641F">
        <w:rPr>
          <w:vertAlign w:val="superscript"/>
          <w:lang w:val="uk-UA"/>
        </w:rPr>
        <w:t>1</w:t>
      </w:r>
    </w:p>
    <w:p w:rsidR="001162C9" w:rsidRPr="00BC641F" w:rsidRDefault="001162C9" w:rsidP="005170AF">
      <w:pPr>
        <w:pStyle w:val="70"/>
        <w:spacing w:after="0" w:line="240" w:lineRule="auto"/>
        <w:ind w:firstLine="709"/>
        <w:jc w:val="center"/>
        <w:rPr>
          <w:sz w:val="24"/>
          <w:szCs w:val="24"/>
          <w:lang w:val="uk-UA"/>
        </w:rPr>
      </w:pPr>
      <w:r w:rsidRPr="00BC641F">
        <w:rPr>
          <w:sz w:val="24"/>
          <w:szCs w:val="24"/>
          <w:vertAlign w:val="superscript"/>
          <w:lang w:val="uk-UA"/>
        </w:rPr>
        <w:t>1</w:t>
      </w:r>
      <w:r w:rsidRPr="00BC641F">
        <w:rPr>
          <w:sz w:val="24"/>
          <w:szCs w:val="24"/>
          <w:lang w:val="uk-UA"/>
        </w:rPr>
        <w:t xml:space="preserve">Відділення гастроентерології, відділення внутрішньої медицини, Християнська лікарня </w:t>
      </w:r>
      <w:proofErr w:type="spellStart"/>
      <w:r w:rsidRPr="00BC641F">
        <w:rPr>
          <w:sz w:val="24"/>
          <w:szCs w:val="24"/>
          <w:lang w:val="uk-UA"/>
        </w:rPr>
        <w:t>Чанхуа</w:t>
      </w:r>
      <w:proofErr w:type="spellEnd"/>
      <w:r w:rsidRPr="00BC641F">
        <w:rPr>
          <w:sz w:val="24"/>
          <w:szCs w:val="24"/>
          <w:lang w:val="uk-UA"/>
        </w:rPr>
        <w:t xml:space="preserve">, </w:t>
      </w:r>
      <w:proofErr w:type="spellStart"/>
      <w:r w:rsidRPr="00BC641F">
        <w:rPr>
          <w:sz w:val="24"/>
          <w:szCs w:val="24"/>
          <w:lang w:val="uk-UA"/>
        </w:rPr>
        <w:t>Чанхуа</w:t>
      </w:r>
      <w:proofErr w:type="spellEnd"/>
      <w:r w:rsidRPr="00BC641F">
        <w:rPr>
          <w:sz w:val="24"/>
          <w:szCs w:val="24"/>
          <w:lang w:val="uk-UA"/>
        </w:rPr>
        <w:t>, Тайвань, Китай</w:t>
      </w:r>
    </w:p>
    <w:p w:rsidR="001162C9" w:rsidRPr="00BC641F" w:rsidRDefault="001162C9" w:rsidP="005170AF">
      <w:pPr>
        <w:pStyle w:val="70"/>
        <w:shd w:val="clear" w:color="auto" w:fill="auto"/>
        <w:spacing w:after="0" w:line="240" w:lineRule="auto"/>
        <w:ind w:firstLine="709"/>
        <w:jc w:val="center"/>
        <w:rPr>
          <w:sz w:val="24"/>
          <w:szCs w:val="24"/>
          <w:lang w:val="uk-UA"/>
        </w:rPr>
      </w:pPr>
      <w:r w:rsidRPr="00BC641F">
        <w:rPr>
          <w:sz w:val="24"/>
          <w:szCs w:val="24"/>
          <w:vertAlign w:val="superscript"/>
          <w:lang w:val="uk-UA"/>
        </w:rPr>
        <w:t>2</w:t>
      </w:r>
      <w:r w:rsidRPr="00BC641F">
        <w:rPr>
          <w:sz w:val="24"/>
          <w:szCs w:val="24"/>
          <w:lang w:val="uk-UA"/>
        </w:rPr>
        <w:t xml:space="preserve">Науково-дослідний центр внутрішньої медицини, Християнська лікарня </w:t>
      </w:r>
      <w:proofErr w:type="spellStart"/>
      <w:r w:rsidRPr="00BC641F">
        <w:rPr>
          <w:sz w:val="24"/>
          <w:szCs w:val="24"/>
          <w:lang w:val="uk-UA"/>
        </w:rPr>
        <w:t>Чанхуа</w:t>
      </w:r>
      <w:proofErr w:type="spellEnd"/>
      <w:r w:rsidRPr="00BC641F">
        <w:rPr>
          <w:sz w:val="24"/>
          <w:szCs w:val="24"/>
          <w:lang w:val="uk-UA"/>
        </w:rPr>
        <w:t xml:space="preserve">, </w:t>
      </w:r>
      <w:proofErr w:type="spellStart"/>
      <w:r w:rsidRPr="00BC641F">
        <w:rPr>
          <w:sz w:val="24"/>
          <w:szCs w:val="24"/>
          <w:lang w:val="uk-UA"/>
        </w:rPr>
        <w:t>Чанхуа</w:t>
      </w:r>
      <w:proofErr w:type="spellEnd"/>
      <w:r w:rsidRPr="00BC641F">
        <w:rPr>
          <w:sz w:val="24"/>
          <w:szCs w:val="24"/>
          <w:lang w:val="uk-UA"/>
        </w:rPr>
        <w:t>, Тайвань, Китай</w:t>
      </w:r>
    </w:p>
    <w:p w:rsidR="001162C9" w:rsidRPr="00BC641F" w:rsidRDefault="001162C9" w:rsidP="005170AF">
      <w:pPr>
        <w:autoSpaceDE w:val="0"/>
        <w:autoSpaceDN w:val="0"/>
        <w:adjustRightInd w:val="0"/>
        <w:ind w:firstLine="709"/>
        <w:jc w:val="left"/>
        <w:rPr>
          <w:lang w:val="uk-UA"/>
        </w:rPr>
      </w:pPr>
    </w:p>
    <w:p w:rsidR="001162C9" w:rsidRPr="00BC641F" w:rsidRDefault="001162C9" w:rsidP="005170AF">
      <w:pPr>
        <w:autoSpaceDE w:val="0"/>
        <w:autoSpaceDN w:val="0"/>
        <w:adjustRightInd w:val="0"/>
        <w:ind w:firstLine="709"/>
        <w:jc w:val="center"/>
        <w:rPr>
          <w:lang w:val="uk-UA"/>
        </w:rPr>
      </w:pPr>
      <w:r w:rsidRPr="00BC641F">
        <w:rPr>
          <w:lang w:val="uk-UA"/>
        </w:rPr>
        <w:t xml:space="preserve">Стаття опублікована у журналі </w:t>
      </w:r>
      <w:proofErr w:type="spellStart"/>
      <w:r w:rsidRPr="00BC641F">
        <w:rPr>
          <w:i/>
          <w:iCs/>
          <w:lang w:val="uk-UA"/>
        </w:rPr>
        <w:t>World</w:t>
      </w:r>
      <w:proofErr w:type="spellEnd"/>
      <w:r w:rsidRPr="00BC641F">
        <w:rPr>
          <w:i/>
          <w:iCs/>
          <w:lang w:val="uk-UA"/>
        </w:rPr>
        <w:t xml:space="preserve"> J </w:t>
      </w:r>
      <w:proofErr w:type="spellStart"/>
      <w:r w:rsidRPr="00BC641F">
        <w:rPr>
          <w:i/>
          <w:iCs/>
          <w:lang w:val="uk-UA"/>
        </w:rPr>
        <w:t>Gastroenterol</w:t>
      </w:r>
      <w:proofErr w:type="spellEnd"/>
      <w:r w:rsidRPr="00BC641F">
        <w:rPr>
          <w:i/>
          <w:iCs/>
          <w:lang w:val="uk-UA"/>
        </w:rPr>
        <w:t xml:space="preserve">. </w:t>
      </w:r>
      <w:r w:rsidRPr="00BC641F">
        <w:rPr>
          <w:lang w:val="uk-UA"/>
        </w:rPr>
        <w:t xml:space="preserve">2018. </w:t>
      </w:r>
      <w:proofErr w:type="spellStart"/>
      <w:r w:rsidRPr="00BC641F">
        <w:rPr>
          <w:lang w:val="uk-UA"/>
        </w:rPr>
        <w:t>Vol</w:t>
      </w:r>
      <w:proofErr w:type="spellEnd"/>
      <w:r w:rsidRPr="00BC641F">
        <w:rPr>
          <w:lang w:val="uk-UA"/>
        </w:rPr>
        <w:t xml:space="preserve">. 24, </w:t>
      </w:r>
      <w:proofErr w:type="spellStart"/>
      <w:r w:rsidRPr="00BC641F">
        <w:rPr>
          <w:lang w:val="uk-UA"/>
        </w:rPr>
        <w:t>No</w:t>
      </w:r>
      <w:proofErr w:type="spellEnd"/>
      <w:r w:rsidRPr="00BC641F">
        <w:rPr>
          <w:lang w:val="uk-UA"/>
        </w:rPr>
        <w:t xml:space="preserve"> 44. P. 5034–5045.</w:t>
      </w:r>
    </w:p>
    <w:p w:rsidR="001162C9" w:rsidRPr="00BC641F" w:rsidRDefault="001162C9" w:rsidP="005170AF">
      <w:pPr>
        <w:autoSpaceDE w:val="0"/>
        <w:autoSpaceDN w:val="0"/>
        <w:adjustRightInd w:val="0"/>
        <w:ind w:firstLine="709"/>
        <w:jc w:val="left"/>
        <w:rPr>
          <w:lang w:val="uk-UA"/>
        </w:rPr>
      </w:pPr>
    </w:p>
    <w:p w:rsidR="001162C9" w:rsidRPr="00BC641F" w:rsidRDefault="001162C9" w:rsidP="005170AF">
      <w:pPr>
        <w:autoSpaceDE w:val="0"/>
        <w:autoSpaceDN w:val="0"/>
        <w:adjustRightInd w:val="0"/>
        <w:ind w:firstLine="709"/>
        <w:rPr>
          <w:lang w:val="uk-UA"/>
        </w:rPr>
      </w:pPr>
      <w:r w:rsidRPr="00BC641F">
        <w:rPr>
          <w:b/>
          <w:lang w:val="uk-UA"/>
        </w:rPr>
        <w:t>Ключові слова:</w:t>
      </w:r>
      <w:r w:rsidRPr="00BC641F">
        <w:rPr>
          <w:lang w:val="uk-UA"/>
        </w:rPr>
        <w:t xml:space="preserve"> хронічний панкреатит, гострий панкреатит, оцінка прогнозу, ендоскопічне УЗД, рецидивний гострий панкреатит</w:t>
      </w:r>
    </w:p>
    <w:p w:rsidR="001162C9" w:rsidRPr="00BC641F" w:rsidRDefault="001162C9" w:rsidP="005170AF">
      <w:pPr>
        <w:autoSpaceDE w:val="0"/>
        <w:autoSpaceDN w:val="0"/>
        <w:adjustRightInd w:val="0"/>
        <w:ind w:firstLine="709"/>
        <w:jc w:val="left"/>
        <w:rPr>
          <w:lang w:val="uk-UA"/>
        </w:rPr>
      </w:pPr>
    </w:p>
    <w:p w:rsidR="001162C9" w:rsidRPr="00BC641F" w:rsidRDefault="001271AD" w:rsidP="005170AF">
      <w:pPr>
        <w:autoSpaceDE w:val="0"/>
        <w:autoSpaceDN w:val="0"/>
        <w:adjustRightInd w:val="0"/>
        <w:ind w:firstLine="709"/>
        <w:jc w:val="left"/>
        <w:rPr>
          <w:b/>
          <w:lang w:val="uk-UA"/>
        </w:rPr>
      </w:pPr>
      <w:r w:rsidRPr="00BC641F">
        <w:rPr>
          <w:b/>
          <w:lang w:val="uk-UA"/>
        </w:rPr>
        <w:t>Мета</w:t>
      </w:r>
    </w:p>
    <w:p w:rsidR="001271AD" w:rsidRPr="00BC641F" w:rsidRDefault="001271AD" w:rsidP="005170AF">
      <w:pPr>
        <w:autoSpaceDE w:val="0"/>
        <w:autoSpaceDN w:val="0"/>
        <w:adjustRightInd w:val="0"/>
        <w:ind w:firstLine="709"/>
        <w:jc w:val="left"/>
        <w:rPr>
          <w:lang w:val="uk-UA"/>
        </w:rPr>
      </w:pPr>
      <w:r w:rsidRPr="00BC641F">
        <w:rPr>
          <w:lang w:val="uk-UA"/>
        </w:rPr>
        <w:t>Вивчити фактори ризику розвитку хронічного панкреатиту (ХП) у пацієнтів із гострим панкреатитом (ГП) і розробити прогностичну шкалу для ХП.</w:t>
      </w:r>
    </w:p>
    <w:p w:rsidR="001162C9" w:rsidRPr="00BC641F" w:rsidRDefault="001271AD" w:rsidP="005170AF">
      <w:pPr>
        <w:autoSpaceDE w:val="0"/>
        <w:autoSpaceDN w:val="0"/>
        <w:adjustRightInd w:val="0"/>
        <w:ind w:firstLine="709"/>
        <w:jc w:val="left"/>
        <w:rPr>
          <w:b/>
          <w:lang w:val="uk-UA"/>
        </w:rPr>
      </w:pPr>
      <w:r w:rsidRPr="00BC641F">
        <w:rPr>
          <w:b/>
          <w:lang w:val="uk-UA"/>
        </w:rPr>
        <w:t>Методи</w:t>
      </w:r>
    </w:p>
    <w:p w:rsidR="001162C9" w:rsidRPr="00BC641F" w:rsidRDefault="001271AD" w:rsidP="005170AF">
      <w:pPr>
        <w:autoSpaceDE w:val="0"/>
        <w:autoSpaceDN w:val="0"/>
        <w:adjustRightInd w:val="0"/>
        <w:ind w:firstLine="709"/>
        <w:rPr>
          <w:lang w:val="uk-UA"/>
        </w:rPr>
      </w:pPr>
      <w:r w:rsidRPr="00BC641F">
        <w:rPr>
          <w:lang w:val="uk-UA"/>
        </w:rPr>
        <w:t xml:space="preserve">Використовуючи національну базу даних досліджень медичного страхування на Тайвані, ми отримали великі популяційні дані про 5971 пацієнтів із діагнозом ГП з 2000 по 2013 роки, які відповідають критеріям включення в дослідження. Після виключення пацієнтів із обструктивним і </w:t>
      </w:r>
      <w:proofErr w:type="spellStart"/>
      <w:r w:rsidRPr="00BC641F">
        <w:rPr>
          <w:lang w:val="uk-UA"/>
        </w:rPr>
        <w:t>біліарним</w:t>
      </w:r>
      <w:proofErr w:type="spellEnd"/>
      <w:r w:rsidRPr="00BC641F">
        <w:rPr>
          <w:lang w:val="uk-UA"/>
        </w:rPr>
        <w:t xml:space="preserve"> панкреатитом, а також пацієнтів з періодом спостереження менш 1 року ми провели багатовимірний аналіз з використанням даних 3739 пацієнтів, для виявлення факторів ризику ХП, а потім розробили систему підрахунку балів, яка могла б прогнозувати розвиток ХП у пацієнтів із ГП. Крім того, ми оцінили нашу систему оцінки, використовуючи </w:t>
      </w:r>
      <w:proofErr w:type="spellStart"/>
      <w:r w:rsidRPr="00BC641F">
        <w:rPr>
          <w:lang w:val="uk-UA"/>
        </w:rPr>
        <w:t>валідаційну</w:t>
      </w:r>
      <w:proofErr w:type="spellEnd"/>
      <w:r w:rsidRPr="00BC641F">
        <w:rPr>
          <w:lang w:val="uk-UA"/>
        </w:rPr>
        <w:t xml:space="preserve"> когорту.</w:t>
      </w:r>
    </w:p>
    <w:p w:rsidR="001162C9" w:rsidRPr="00BC641F" w:rsidRDefault="001271AD" w:rsidP="005170AF">
      <w:pPr>
        <w:autoSpaceDE w:val="0"/>
        <w:autoSpaceDN w:val="0"/>
        <w:adjustRightInd w:val="0"/>
        <w:ind w:firstLine="709"/>
        <w:jc w:val="left"/>
        <w:rPr>
          <w:b/>
          <w:lang w:val="uk-UA"/>
        </w:rPr>
      </w:pPr>
      <w:r w:rsidRPr="00BC641F">
        <w:rPr>
          <w:b/>
          <w:lang w:val="uk-UA"/>
        </w:rPr>
        <w:t>Результати</w:t>
      </w:r>
    </w:p>
    <w:p w:rsidR="001162C9" w:rsidRPr="00BC641F" w:rsidRDefault="001271AD" w:rsidP="005170AF">
      <w:pPr>
        <w:autoSpaceDE w:val="0"/>
        <w:autoSpaceDN w:val="0"/>
        <w:adjustRightInd w:val="0"/>
        <w:ind w:firstLine="709"/>
        <w:rPr>
          <w:lang w:val="uk-UA"/>
        </w:rPr>
      </w:pPr>
      <w:r w:rsidRPr="00BC641F">
        <w:rPr>
          <w:lang w:val="uk-UA"/>
        </w:rPr>
        <w:t xml:space="preserve">Серед пацієнтів із </w:t>
      </w:r>
      <w:proofErr w:type="spellStart"/>
      <w:r w:rsidRPr="00BC641F">
        <w:rPr>
          <w:lang w:val="uk-UA"/>
        </w:rPr>
        <w:t>рецидивуючим</w:t>
      </w:r>
      <w:proofErr w:type="spellEnd"/>
      <w:r w:rsidRPr="00BC641F">
        <w:rPr>
          <w:lang w:val="uk-UA"/>
        </w:rPr>
        <w:t xml:space="preserve"> ГП (РГП) у 142 (12,98%) пацієнтів розвинувся ХП. З іншого боку, серед пацієнтів тільки з одним епізодом ГП ХП розвинувся у 32 (1,21%) хворих. Багатофакторний аналіз виявив, що наявність РГП, алкоголізм, куріння і вік &lt;55 років були 4 важливими факторами ризику ХП. Ми розробили систему оцінки (оцінка ризику 1 і оцінка ризику 2) із дериваційної когорти, класифікуючи пацієнтів за категоріями низького, середнього і високого ризику на основі подібних величин ризику, і перевірили ефективність з використанням іншої </w:t>
      </w:r>
      <w:proofErr w:type="spellStart"/>
      <w:r w:rsidRPr="00BC641F">
        <w:rPr>
          <w:lang w:val="uk-UA"/>
        </w:rPr>
        <w:t>валідаційної</w:t>
      </w:r>
      <w:proofErr w:type="spellEnd"/>
      <w:r w:rsidRPr="00BC641F">
        <w:rPr>
          <w:lang w:val="uk-UA"/>
        </w:rPr>
        <w:t xml:space="preserve"> когорти. З використанням моделі оцінки прогнозу, площа під кривою (AUC) [95% довірчий інтервал (ДІ)] при прогнозуванні 5-річної частоти ХП в оцінці ризику 1 (без кількості епізодів ГП) склала 0,83 (0,79, 0,87), тоді як AUC (95% ДІ) в оцінці ризику 2 (включаючи кількість епізодів ГП) склала 0,84 (0,80, 0,88). Цей результат продемонстрував, що показник ризику 2 має трохи кращу прогностичну ефективність, ніж показник ризику 1. Однак обидва показники мали подібні оціночні дані в дериваційній і </w:t>
      </w:r>
      <w:proofErr w:type="spellStart"/>
      <w:r w:rsidRPr="00BC641F">
        <w:rPr>
          <w:lang w:val="uk-UA"/>
        </w:rPr>
        <w:t>валідаційній</w:t>
      </w:r>
      <w:proofErr w:type="spellEnd"/>
      <w:r w:rsidRPr="00BC641F">
        <w:rPr>
          <w:lang w:val="uk-UA"/>
        </w:rPr>
        <w:t xml:space="preserve"> когортах.</w:t>
      </w:r>
    </w:p>
    <w:p w:rsidR="001162C9" w:rsidRPr="00BC641F" w:rsidRDefault="001271AD" w:rsidP="005170AF">
      <w:pPr>
        <w:autoSpaceDE w:val="0"/>
        <w:autoSpaceDN w:val="0"/>
        <w:adjustRightInd w:val="0"/>
        <w:ind w:firstLine="709"/>
        <w:jc w:val="left"/>
        <w:rPr>
          <w:b/>
          <w:lang w:val="uk-UA"/>
        </w:rPr>
      </w:pPr>
      <w:r w:rsidRPr="00BC641F">
        <w:rPr>
          <w:b/>
          <w:lang w:val="uk-UA"/>
        </w:rPr>
        <w:t>Висновок</w:t>
      </w:r>
    </w:p>
    <w:p w:rsidR="001162C9" w:rsidRPr="00BC641F" w:rsidRDefault="001271AD" w:rsidP="005170AF">
      <w:pPr>
        <w:autoSpaceDE w:val="0"/>
        <w:autoSpaceDN w:val="0"/>
        <w:adjustRightInd w:val="0"/>
        <w:ind w:firstLine="709"/>
        <w:jc w:val="left"/>
        <w:rPr>
          <w:lang w:val="uk-UA"/>
        </w:rPr>
      </w:pPr>
      <w:r w:rsidRPr="00BC641F">
        <w:rPr>
          <w:lang w:val="uk-UA"/>
        </w:rPr>
        <w:t>Упродовж дослідження ми визначили чинники ризику ХП і розробили модель оцінки прогнозу ХП.</w:t>
      </w:r>
    </w:p>
    <w:p w:rsidR="001162C9" w:rsidRPr="00BC641F" w:rsidRDefault="001271AD" w:rsidP="005170AF">
      <w:pPr>
        <w:pStyle w:val="70"/>
        <w:shd w:val="clear" w:color="auto" w:fill="auto"/>
        <w:spacing w:after="0" w:line="240" w:lineRule="auto"/>
        <w:ind w:firstLine="709"/>
        <w:rPr>
          <w:b/>
          <w:sz w:val="24"/>
          <w:szCs w:val="24"/>
          <w:lang w:val="uk-UA"/>
        </w:rPr>
      </w:pPr>
      <w:r w:rsidRPr="00BC641F">
        <w:rPr>
          <w:b/>
          <w:sz w:val="24"/>
          <w:szCs w:val="24"/>
          <w:lang w:val="uk-UA"/>
        </w:rPr>
        <w:t>Головна порада</w:t>
      </w:r>
    </w:p>
    <w:p w:rsidR="001162C9" w:rsidRPr="00BC641F" w:rsidRDefault="001271AD" w:rsidP="005170AF">
      <w:pPr>
        <w:pStyle w:val="70"/>
        <w:shd w:val="clear" w:color="auto" w:fill="auto"/>
        <w:spacing w:after="0" w:line="240" w:lineRule="auto"/>
        <w:ind w:firstLine="709"/>
        <w:rPr>
          <w:sz w:val="24"/>
          <w:szCs w:val="24"/>
          <w:lang w:val="uk-UA"/>
        </w:rPr>
      </w:pPr>
      <w:r w:rsidRPr="00BC641F">
        <w:rPr>
          <w:sz w:val="24"/>
          <w:szCs w:val="24"/>
          <w:lang w:val="uk-UA"/>
        </w:rPr>
        <w:lastRenderedPageBreak/>
        <w:t xml:space="preserve">У цьому великому загальнонаціональному популяційному </w:t>
      </w:r>
      <w:proofErr w:type="spellStart"/>
      <w:r w:rsidRPr="00BC641F">
        <w:rPr>
          <w:sz w:val="24"/>
          <w:szCs w:val="24"/>
          <w:lang w:val="uk-UA"/>
        </w:rPr>
        <w:t>когортного</w:t>
      </w:r>
      <w:proofErr w:type="spellEnd"/>
      <w:r w:rsidRPr="00BC641F">
        <w:rPr>
          <w:sz w:val="24"/>
          <w:szCs w:val="24"/>
          <w:lang w:val="uk-UA"/>
        </w:rPr>
        <w:t xml:space="preserve"> дослідження ми дійшли висновку, що наявність РГП, а також споживання алкоголю, вік початку і куріння є 4 важливими факторами ризику розвитку ХП. Ми розробили нову модель оцінки прогнозу для ХП з відмінною дискримінацією і успішно перевірили цю модель у нашому дослідженні. Використовуючи цю систему оцінки, лікар може легко передбачити результат пацієнта з епізодом ГП і організувати подальше обстеження, таке як функціональне тестування підшлункової залози або ендоскопічне ультразвукове дослідження для максимально ранньої діагностики ХП (за даними нашого дослідження, рівень захворюваності близько 31 на 1000 людино-років у групі високого ризику), оскільки ХП є важливим фактором ризику раку підшлункової залози.</w:t>
      </w:r>
    </w:p>
    <w:p w:rsidR="001162C9" w:rsidRPr="00BC641F" w:rsidRDefault="001162C9" w:rsidP="005170AF">
      <w:pPr>
        <w:pStyle w:val="70"/>
        <w:shd w:val="clear" w:color="auto" w:fill="auto"/>
        <w:spacing w:after="0" w:line="240" w:lineRule="auto"/>
        <w:ind w:firstLine="709"/>
        <w:rPr>
          <w:sz w:val="24"/>
          <w:szCs w:val="24"/>
          <w:lang w:val="uk-UA"/>
        </w:rPr>
      </w:pPr>
    </w:p>
    <w:p w:rsidR="002922DA" w:rsidRPr="00BC641F" w:rsidRDefault="002922DA" w:rsidP="005170AF">
      <w:pPr>
        <w:autoSpaceDE w:val="0"/>
        <w:autoSpaceDN w:val="0"/>
        <w:adjustRightInd w:val="0"/>
        <w:ind w:firstLine="709"/>
        <w:jc w:val="center"/>
        <w:rPr>
          <w:b/>
          <w:bCs/>
          <w:lang w:val="en-US"/>
        </w:rPr>
      </w:pPr>
      <w:r w:rsidRPr="00BC641F">
        <w:rPr>
          <w:b/>
          <w:bCs/>
          <w:lang w:val="en-US"/>
        </w:rPr>
        <w:t>Risk factors and prediction score for chronic pancreatitis:</w:t>
      </w:r>
    </w:p>
    <w:p w:rsidR="002922DA" w:rsidRPr="00BC641F" w:rsidRDefault="002922DA" w:rsidP="005170AF">
      <w:pPr>
        <w:autoSpaceDE w:val="0"/>
        <w:autoSpaceDN w:val="0"/>
        <w:adjustRightInd w:val="0"/>
        <w:ind w:firstLine="709"/>
        <w:jc w:val="center"/>
        <w:rPr>
          <w:b/>
          <w:bCs/>
          <w:lang w:val="en-US"/>
        </w:rPr>
      </w:pPr>
      <w:r w:rsidRPr="00BC641F">
        <w:rPr>
          <w:b/>
          <w:bCs/>
          <w:lang w:val="en-US"/>
        </w:rPr>
        <w:t>a nationwide population-based cohort study</w:t>
      </w:r>
    </w:p>
    <w:p w:rsidR="002922DA" w:rsidRPr="00BC641F" w:rsidRDefault="002922DA" w:rsidP="005170AF">
      <w:pPr>
        <w:autoSpaceDE w:val="0"/>
        <w:autoSpaceDN w:val="0"/>
        <w:adjustRightInd w:val="0"/>
        <w:ind w:firstLine="709"/>
        <w:jc w:val="center"/>
        <w:rPr>
          <w:vertAlign w:val="superscript"/>
          <w:lang w:val="en-US"/>
        </w:rPr>
      </w:pPr>
      <w:r w:rsidRPr="00BC641F">
        <w:rPr>
          <w:lang w:val="en-US"/>
        </w:rPr>
        <w:t>Yen-</w:t>
      </w:r>
      <w:proofErr w:type="spellStart"/>
      <w:r w:rsidRPr="00BC641F">
        <w:rPr>
          <w:lang w:val="en-US"/>
        </w:rPr>
        <w:t>Chih</w:t>
      </w:r>
      <w:proofErr w:type="spellEnd"/>
      <w:r w:rsidRPr="00BC641F">
        <w:rPr>
          <w:lang w:val="en-US"/>
        </w:rPr>
        <w:t xml:space="preserve"> Lin</w:t>
      </w:r>
      <w:r w:rsidRPr="00BC641F">
        <w:rPr>
          <w:vertAlign w:val="superscript"/>
          <w:lang w:val="en-US"/>
        </w:rPr>
        <w:t>1</w:t>
      </w:r>
      <w:r w:rsidRPr="00BC641F">
        <w:rPr>
          <w:lang w:val="en-US"/>
        </w:rPr>
        <w:t>, Chew-Teng Kor</w:t>
      </w:r>
      <w:r w:rsidRPr="00BC641F">
        <w:rPr>
          <w:vertAlign w:val="superscript"/>
          <w:lang w:val="en-US"/>
        </w:rPr>
        <w:t>2</w:t>
      </w:r>
      <w:r w:rsidRPr="00BC641F">
        <w:rPr>
          <w:lang w:val="en-US"/>
        </w:rPr>
        <w:t>, Wei-Wen Su</w:t>
      </w:r>
      <w:r w:rsidRPr="00BC641F">
        <w:rPr>
          <w:vertAlign w:val="superscript"/>
          <w:lang w:val="en-US"/>
        </w:rPr>
        <w:t>1</w:t>
      </w:r>
      <w:r w:rsidRPr="00BC641F">
        <w:rPr>
          <w:lang w:val="en-US"/>
        </w:rPr>
        <w:t>, Yu-Chun Hsu</w:t>
      </w:r>
      <w:r w:rsidRPr="00BC641F">
        <w:rPr>
          <w:vertAlign w:val="superscript"/>
          <w:lang w:val="en-US"/>
        </w:rPr>
        <w:t>1</w:t>
      </w:r>
    </w:p>
    <w:p w:rsidR="002922DA" w:rsidRPr="00BC641F" w:rsidRDefault="002922DA" w:rsidP="005170AF">
      <w:pPr>
        <w:pStyle w:val="70"/>
        <w:spacing w:after="0" w:line="240" w:lineRule="auto"/>
        <w:ind w:firstLine="709"/>
        <w:jc w:val="center"/>
        <w:rPr>
          <w:sz w:val="24"/>
          <w:szCs w:val="24"/>
          <w:lang w:val="en-US"/>
        </w:rPr>
      </w:pPr>
      <w:r w:rsidRPr="00BC641F">
        <w:rPr>
          <w:sz w:val="24"/>
          <w:szCs w:val="24"/>
          <w:vertAlign w:val="superscript"/>
          <w:lang w:val="en-US"/>
        </w:rPr>
        <w:t>1</w:t>
      </w:r>
      <w:r w:rsidR="00070801" w:rsidRPr="00BC641F">
        <w:rPr>
          <w:sz w:val="24"/>
          <w:szCs w:val="24"/>
          <w:lang w:val="en-US"/>
        </w:rPr>
        <w:t>Division of Gastroenterology, Department of Internal Medicine, Changhua Christian Hospital, Changhua, Taiwan, China</w:t>
      </w:r>
    </w:p>
    <w:p w:rsidR="002922DA" w:rsidRPr="00BC641F" w:rsidRDefault="002922DA" w:rsidP="005170AF">
      <w:pPr>
        <w:pStyle w:val="70"/>
        <w:shd w:val="clear" w:color="auto" w:fill="auto"/>
        <w:spacing w:after="0" w:line="240" w:lineRule="auto"/>
        <w:ind w:firstLine="709"/>
        <w:jc w:val="center"/>
        <w:rPr>
          <w:sz w:val="24"/>
          <w:szCs w:val="24"/>
          <w:lang w:val="en-US"/>
        </w:rPr>
      </w:pPr>
      <w:r w:rsidRPr="00BC641F">
        <w:rPr>
          <w:sz w:val="24"/>
          <w:szCs w:val="24"/>
          <w:vertAlign w:val="superscript"/>
          <w:lang w:val="en-US"/>
        </w:rPr>
        <w:t>2</w:t>
      </w:r>
      <w:r w:rsidR="00070801" w:rsidRPr="00BC641F">
        <w:rPr>
          <w:sz w:val="24"/>
          <w:szCs w:val="24"/>
          <w:lang w:val="en-US"/>
        </w:rPr>
        <w:t>Internal Medicine Research Center, Changhua Christian Hospital, Changhua, Taiwan, China</w:t>
      </w:r>
    </w:p>
    <w:p w:rsidR="002922DA" w:rsidRPr="00BC641F" w:rsidRDefault="002922DA" w:rsidP="005170AF">
      <w:pPr>
        <w:autoSpaceDE w:val="0"/>
        <w:autoSpaceDN w:val="0"/>
        <w:adjustRightInd w:val="0"/>
        <w:ind w:firstLine="709"/>
        <w:jc w:val="left"/>
        <w:rPr>
          <w:lang w:val="en-US"/>
        </w:rPr>
      </w:pPr>
    </w:p>
    <w:p w:rsidR="002922DA" w:rsidRPr="00BC641F" w:rsidRDefault="002922DA" w:rsidP="005170AF">
      <w:pPr>
        <w:autoSpaceDE w:val="0"/>
        <w:autoSpaceDN w:val="0"/>
        <w:adjustRightInd w:val="0"/>
        <w:ind w:firstLine="709"/>
        <w:jc w:val="center"/>
        <w:rPr>
          <w:lang w:val="en-US"/>
        </w:rPr>
      </w:pPr>
      <w:r w:rsidRPr="00BC641F">
        <w:rPr>
          <w:i/>
          <w:iCs/>
          <w:lang w:val="en-US"/>
        </w:rPr>
        <w:t xml:space="preserve">World J Gastroenterol. </w:t>
      </w:r>
      <w:r w:rsidRPr="00BC641F">
        <w:rPr>
          <w:lang w:val="en-US"/>
        </w:rPr>
        <w:t>2018. Vol. 24, No 44. P. 5034–5045.</w:t>
      </w:r>
    </w:p>
    <w:p w:rsidR="002922DA" w:rsidRPr="00BC641F" w:rsidRDefault="002922DA" w:rsidP="005170AF">
      <w:pPr>
        <w:autoSpaceDE w:val="0"/>
        <w:autoSpaceDN w:val="0"/>
        <w:adjustRightInd w:val="0"/>
        <w:ind w:firstLine="709"/>
        <w:jc w:val="left"/>
        <w:rPr>
          <w:lang w:val="en-US"/>
        </w:rPr>
      </w:pPr>
    </w:p>
    <w:p w:rsidR="002922DA" w:rsidRPr="00BC641F" w:rsidRDefault="00070801" w:rsidP="005170AF">
      <w:pPr>
        <w:autoSpaceDE w:val="0"/>
        <w:autoSpaceDN w:val="0"/>
        <w:adjustRightInd w:val="0"/>
        <w:ind w:firstLine="709"/>
        <w:rPr>
          <w:lang w:val="en-US"/>
        </w:rPr>
      </w:pPr>
      <w:r w:rsidRPr="00BC641F">
        <w:rPr>
          <w:b/>
          <w:lang w:val="en-US"/>
        </w:rPr>
        <w:t>Key words</w:t>
      </w:r>
      <w:r w:rsidR="002922DA" w:rsidRPr="00BC641F">
        <w:rPr>
          <w:b/>
          <w:lang w:val="en-US"/>
        </w:rPr>
        <w:t>:</w:t>
      </w:r>
      <w:r w:rsidR="002922DA" w:rsidRPr="00BC641F">
        <w:rPr>
          <w:lang w:val="en-US"/>
        </w:rPr>
        <w:t xml:space="preserve"> </w:t>
      </w:r>
      <w:r w:rsidRPr="00BC641F">
        <w:rPr>
          <w:lang w:val="en-US"/>
        </w:rPr>
        <w:t>chronic pancreatitis, acute pancreatitis, prediction score, endoscopic ultrasound, recurrent acute pancreatitis</w:t>
      </w:r>
    </w:p>
    <w:p w:rsidR="002922DA" w:rsidRPr="00BC641F" w:rsidRDefault="002922DA" w:rsidP="005170AF">
      <w:pPr>
        <w:autoSpaceDE w:val="0"/>
        <w:autoSpaceDN w:val="0"/>
        <w:adjustRightInd w:val="0"/>
        <w:ind w:firstLine="709"/>
        <w:jc w:val="left"/>
        <w:rPr>
          <w:lang w:val="en-US"/>
        </w:rPr>
      </w:pPr>
    </w:p>
    <w:p w:rsidR="002922DA" w:rsidRPr="00BC641F" w:rsidRDefault="00070801" w:rsidP="005170AF">
      <w:pPr>
        <w:autoSpaceDE w:val="0"/>
        <w:autoSpaceDN w:val="0"/>
        <w:adjustRightInd w:val="0"/>
        <w:ind w:firstLine="709"/>
        <w:rPr>
          <w:b/>
          <w:lang w:val="en-US"/>
        </w:rPr>
      </w:pPr>
      <w:r w:rsidRPr="00BC641F">
        <w:rPr>
          <w:b/>
          <w:lang w:val="en-US"/>
        </w:rPr>
        <w:t>Aim</w:t>
      </w:r>
    </w:p>
    <w:p w:rsidR="002922DA" w:rsidRPr="00BC641F" w:rsidRDefault="00070801" w:rsidP="005170AF">
      <w:pPr>
        <w:autoSpaceDE w:val="0"/>
        <w:autoSpaceDN w:val="0"/>
        <w:adjustRightInd w:val="0"/>
        <w:ind w:firstLine="709"/>
        <w:rPr>
          <w:lang w:val="en-US"/>
        </w:rPr>
      </w:pPr>
      <w:r w:rsidRPr="00BC641F">
        <w:rPr>
          <w:lang w:val="en-US"/>
        </w:rPr>
        <w:t>To explore the risk factors of developing chronic pancreatitis (CP) in patients with acute pancreatitis (AP) and develop a prediction score for CP.</w:t>
      </w:r>
    </w:p>
    <w:p w:rsidR="002922DA" w:rsidRPr="00BC641F" w:rsidRDefault="00070801" w:rsidP="005170AF">
      <w:pPr>
        <w:autoSpaceDE w:val="0"/>
        <w:autoSpaceDN w:val="0"/>
        <w:adjustRightInd w:val="0"/>
        <w:ind w:firstLine="709"/>
        <w:rPr>
          <w:b/>
          <w:lang w:val="en-US"/>
        </w:rPr>
      </w:pPr>
      <w:r w:rsidRPr="00BC641F">
        <w:rPr>
          <w:b/>
          <w:lang w:val="en-US"/>
        </w:rPr>
        <w:t>Methods</w:t>
      </w:r>
    </w:p>
    <w:p w:rsidR="00070801" w:rsidRPr="00BC641F" w:rsidRDefault="00070801" w:rsidP="005170AF">
      <w:pPr>
        <w:pStyle w:val="70"/>
        <w:spacing w:after="0" w:line="240" w:lineRule="auto"/>
        <w:ind w:firstLine="709"/>
        <w:rPr>
          <w:sz w:val="24"/>
          <w:szCs w:val="24"/>
          <w:lang w:val="en-US"/>
        </w:rPr>
      </w:pPr>
      <w:r w:rsidRPr="00BC641F">
        <w:rPr>
          <w:sz w:val="24"/>
          <w:szCs w:val="24"/>
          <w:lang w:val="en-US"/>
        </w:rPr>
        <w:t>Using the National Health Insurance Research Database in Taiwan, we obtained large, population-based data of 5971 eligible patients diagnosed with AP from 2000 to 2013. After excluding patients with obstructive pancreatitis and biliary pancreatitis and those with a follow-up period of less than 1 year, we conducted a multivariate analysis using the data of 3739 patients to identify the risk factors of CP and subsequently develop a scoring system that could predict the development of CP in patients with AP. In addition, we validated the scoring system using a validation cohort.</w:t>
      </w:r>
    </w:p>
    <w:p w:rsidR="00070801" w:rsidRPr="00BC641F" w:rsidRDefault="00070801" w:rsidP="005170AF">
      <w:pPr>
        <w:pStyle w:val="70"/>
        <w:spacing w:after="0" w:line="240" w:lineRule="auto"/>
        <w:ind w:firstLine="709"/>
        <w:rPr>
          <w:b/>
          <w:sz w:val="24"/>
          <w:szCs w:val="24"/>
          <w:lang w:val="en-US"/>
        </w:rPr>
      </w:pPr>
      <w:r w:rsidRPr="00BC641F">
        <w:rPr>
          <w:b/>
          <w:sz w:val="24"/>
          <w:szCs w:val="24"/>
          <w:lang w:val="en-US"/>
        </w:rPr>
        <w:t>Results</w:t>
      </w:r>
    </w:p>
    <w:p w:rsidR="00070801" w:rsidRPr="00BC641F" w:rsidRDefault="00070801" w:rsidP="005170AF">
      <w:pPr>
        <w:pStyle w:val="70"/>
        <w:spacing w:after="0" w:line="240" w:lineRule="auto"/>
        <w:ind w:firstLine="709"/>
        <w:rPr>
          <w:sz w:val="24"/>
          <w:szCs w:val="24"/>
          <w:lang w:val="en-US"/>
        </w:rPr>
      </w:pPr>
      <w:r w:rsidRPr="00BC641F">
        <w:rPr>
          <w:sz w:val="24"/>
          <w:szCs w:val="24"/>
          <w:lang w:val="en-US"/>
        </w:rPr>
        <w:t>Among the study subjects, 142 patients (12.98%) developed CP among patients with RAP. On the other hand, only 32 patients (1.21%) developed CP among patients with only one episode of AP. The multivariate analysis revealed that the presence of recurrent AP (RAP), alcoholism, smoking habit, and age of onset of &lt; 55 years were the four important risk factors for CP. We developed a scoring system (risk score 1 and risk score 2) from the derivation cohort by classifying the patients into low-risk, moderate-risk, and high-risk categories based on similar magnitudes of hazard and validated the performance using another validation cohort. Using the prediction score model, the area under the curve (AUC) [95% confidence interval (CI)] in predicting the 5-year CP incidence in risk score 1 (without the number of AP episodes) was 0.83 (0.79, 0.87), whereas the AUC (95%CI) in risk score 2 (including the number of AP episodes) was 0.84 (0.80, 0.88). This result demonstrated that the risk score 2 has somewhat better prediction performance than risk score 1. However, both of them had similar performance between the derivation and validation cohorts.</w:t>
      </w:r>
    </w:p>
    <w:p w:rsidR="00070801" w:rsidRPr="00BC641F" w:rsidRDefault="00070801" w:rsidP="005170AF">
      <w:pPr>
        <w:pStyle w:val="70"/>
        <w:spacing w:after="0" w:line="240" w:lineRule="auto"/>
        <w:ind w:firstLine="709"/>
        <w:rPr>
          <w:b/>
          <w:sz w:val="24"/>
          <w:szCs w:val="24"/>
          <w:lang w:val="en-US"/>
        </w:rPr>
      </w:pPr>
      <w:r w:rsidRPr="00BC641F">
        <w:rPr>
          <w:b/>
          <w:sz w:val="24"/>
          <w:szCs w:val="24"/>
          <w:lang w:val="en-US"/>
        </w:rPr>
        <w:t>Conclusion</w:t>
      </w:r>
    </w:p>
    <w:p w:rsidR="00070801" w:rsidRPr="00BC641F" w:rsidRDefault="00070801" w:rsidP="005170AF">
      <w:pPr>
        <w:pStyle w:val="70"/>
        <w:spacing w:after="0" w:line="240" w:lineRule="auto"/>
        <w:ind w:firstLine="709"/>
        <w:rPr>
          <w:sz w:val="24"/>
          <w:szCs w:val="24"/>
          <w:lang w:val="en-US"/>
        </w:rPr>
      </w:pPr>
      <w:r w:rsidRPr="00BC641F">
        <w:rPr>
          <w:sz w:val="24"/>
          <w:szCs w:val="24"/>
          <w:lang w:val="en-US"/>
        </w:rPr>
        <w:t>In the study, we identified the risk factors of CP and developed a prediction score model for CP.</w:t>
      </w:r>
    </w:p>
    <w:p w:rsidR="00647F73" w:rsidRPr="00BC641F" w:rsidRDefault="00070801" w:rsidP="005170AF">
      <w:pPr>
        <w:pStyle w:val="70"/>
        <w:spacing w:after="0" w:line="240" w:lineRule="auto"/>
        <w:ind w:firstLine="709"/>
        <w:rPr>
          <w:sz w:val="24"/>
          <w:szCs w:val="24"/>
          <w:lang w:val="en-US"/>
        </w:rPr>
      </w:pPr>
      <w:r w:rsidRPr="00BC641F">
        <w:rPr>
          <w:b/>
          <w:sz w:val="24"/>
          <w:szCs w:val="24"/>
          <w:lang w:val="en-US"/>
        </w:rPr>
        <w:lastRenderedPageBreak/>
        <w:t xml:space="preserve">Core tip </w:t>
      </w:r>
      <w:proofErr w:type="gramStart"/>
      <w:r w:rsidRPr="00BC641F">
        <w:rPr>
          <w:sz w:val="24"/>
          <w:szCs w:val="24"/>
          <w:lang w:val="en-US"/>
        </w:rPr>
        <w:t>In</w:t>
      </w:r>
      <w:proofErr w:type="gramEnd"/>
      <w:r w:rsidRPr="00BC641F">
        <w:rPr>
          <w:sz w:val="24"/>
          <w:szCs w:val="24"/>
          <w:lang w:val="en-US"/>
        </w:rPr>
        <w:t xml:space="preserve"> this large number, nationwide population</w:t>
      </w:r>
      <w:r w:rsidR="001162C9" w:rsidRPr="00BC641F">
        <w:rPr>
          <w:sz w:val="24"/>
          <w:szCs w:val="24"/>
          <w:lang w:val="en-US"/>
        </w:rPr>
        <w:t>-</w:t>
      </w:r>
      <w:r w:rsidRPr="00BC641F">
        <w:rPr>
          <w:sz w:val="24"/>
          <w:szCs w:val="24"/>
          <w:lang w:val="en-US"/>
        </w:rPr>
        <w:t>based cohort study, we concluded that the presence of recurrent acute pancreatitis (RAP), along with alcohol consumption, age of onset, and smoking habit are 4 important risk factors of chronic pancreatitis (CP). We developed a novel prediction score model for CP with excellent discrimination and successfully validated this model in our study. Using this scoring system, a clinician can predict the outcome of a patient with AP episode easily and arrange further examination such as pancreatic functional test or endoscopic ultrasound after the acute stage for the high-risk category to diagnose CP as early as possible (incidence rate of CP about 31 per 1000 person</w:t>
      </w:r>
      <w:r w:rsidR="001162C9" w:rsidRPr="00BC641F">
        <w:rPr>
          <w:sz w:val="24"/>
          <w:szCs w:val="24"/>
          <w:lang w:val="en-US"/>
        </w:rPr>
        <w:t>-</w:t>
      </w:r>
      <w:r w:rsidRPr="00BC641F">
        <w:rPr>
          <w:sz w:val="24"/>
          <w:szCs w:val="24"/>
          <w:lang w:val="en-US"/>
        </w:rPr>
        <w:t xml:space="preserve">years in high-risk group, based on our study) since CP is an important risk factor of pancreatic cancer. </w:t>
      </w:r>
    </w:p>
    <w:sectPr w:rsidR="00647F73" w:rsidRPr="00BC64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D92"/>
    <w:multiLevelType w:val="hybridMultilevel"/>
    <w:tmpl w:val="AA1C6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63E037E"/>
    <w:multiLevelType w:val="multilevel"/>
    <w:tmpl w:val="D7404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94618E"/>
    <w:multiLevelType w:val="hybridMultilevel"/>
    <w:tmpl w:val="A1C6C3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D2"/>
    <w:rsid w:val="00000648"/>
    <w:rsid w:val="00001990"/>
    <w:rsid w:val="00007162"/>
    <w:rsid w:val="00011A5C"/>
    <w:rsid w:val="00013FD6"/>
    <w:rsid w:val="00016F9C"/>
    <w:rsid w:val="000251C2"/>
    <w:rsid w:val="00035A95"/>
    <w:rsid w:val="00070801"/>
    <w:rsid w:val="0008366A"/>
    <w:rsid w:val="000A5F1C"/>
    <w:rsid w:val="000A75E3"/>
    <w:rsid w:val="000B3154"/>
    <w:rsid w:val="000C02BE"/>
    <w:rsid w:val="00107282"/>
    <w:rsid w:val="00110C98"/>
    <w:rsid w:val="001162C9"/>
    <w:rsid w:val="001164C4"/>
    <w:rsid w:val="001271AD"/>
    <w:rsid w:val="00133D13"/>
    <w:rsid w:val="0015798A"/>
    <w:rsid w:val="00161F3B"/>
    <w:rsid w:val="00165E73"/>
    <w:rsid w:val="00174F96"/>
    <w:rsid w:val="00181F29"/>
    <w:rsid w:val="001863F4"/>
    <w:rsid w:val="00196989"/>
    <w:rsid w:val="00197A51"/>
    <w:rsid w:val="001B4D1A"/>
    <w:rsid w:val="001B5DA6"/>
    <w:rsid w:val="001C2D71"/>
    <w:rsid w:val="001E1FD2"/>
    <w:rsid w:val="001F5C1D"/>
    <w:rsid w:val="002119DB"/>
    <w:rsid w:val="002236A4"/>
    <w:rsid w:val="00223DF6"/>
    <w:rsid w:val="00225F2A"/>
    <w:rsid w:val="00232C42"/>
    <w:rsid w:val="00242C2E"/>
    <w:rsid w:val="00250999"/>
    <w:rsid w:val="00253B24"/>
    <w:rsid w:val="00264150"/>
    <w:rsid w:val="002642BF"/>
    <w:rsid w:val="002922DA"/>
    <w:rsid w:val="00297C61"/>
    <w:rsid w:val="002A5B57"/>
    <w:rsid w:val="002C4288"/>
    <w:rsid w:val="003000CE"/>
    <w:rsid w:val="00301447"/>
    <w:rsid w:val="00302860"/>
    <w:rsid w:val="003130D2"/>
    <w:rsid w:val="0031721E"/>
    <w:rsid w:val="00320AB9"/>
    <w:rsid w:val="0032152D"/>
    <w:rsid w:val="0032776B"/>
    <w:rsid w:val="00344D66"/>
    <w:rsid w:val="00351E4C"/>
    <w:rsid w:val="00357F2B"/>
    <w:rsid w:val="003764C8"/>
    <w:rsid w:val="00387839"/>
    <w:rsid w:val="00393DFF"/>
    <w:rsid w:val="003A5A72"/>
    <w:rsid w:val="003B289D"/>
    <w:rsid w:val="003C42D8"/>
    <w:rsid w:val="003F66AB"/>
    <w:rsid w:val="00424A34"/>
    <w:rsid w:val="00425499"/>
    <w:rsid w:val="00430F95"/>
    <w:rsid w:val="00447DA0"/>
    <w:rsid w:val="0045503A"/>
    <w:rsid w:val="0045532E"/>
    <w:rsid w:val="00470540"/>
    <w:rsid w:val="00477C19"/>
    <w:rsid w:val="004A094C"/>
    <w:rsid w:val="004A1008"/>
    <w:rsid w:val="004A3AA7"/>
    <w:rsid w:val="004B3DE8"/>
    <w:rsid w:val="004B5C86"/>
    <w:rsid w:val="005026C8"/>
    <w:rsid w:val="005161F8"/>
    <w:rsid w:val="0051621D"/>
    <w:rsid w:val="005170AF"/>
    <w:rsid w:val="00535331"/>
    <w:rsid w:val="005464C3"/>
    <w:rsid w:val="00556C68"/>
    <w:rsid w:val="005723C0"/>
    <w:rsid w:val="005741B7"/>
    <w:rsid w:val="005960AD"/>
    <w:rsid w:val="005966B5"/>
    <w:rsid w:val="005A04D9"/>
    <w:rsid w:val="005A17AA"/>
    <w:rsid w:val="005A4608"/>
    <w:rsid w:val="005B3D0D"/>
    <w:rsid w:val="005B4D94"/>
    <w:rsid w:val="005E68E8"/>
    <w:rsid w:val="005E785A"/>
    <w:rsid w:val="005F044C"/>
    <w:rsid w:val="005F634A"/>
    <w:rsid w:val="00603831"/>
    <w:rsid w:val="0063265D"/>
    <w:rsid w:val="00647F73"/>
    <w:rsid w:val="006753FD"/>
    <w:rsid w:val="006854A7"/>
    <w:rsid w:val="0069326D"/>
    <w:rsid w:val="006A34F5"/>
    <w:rsid w:val="006A486D"/>
    <w:rsid w:val="00701A3A"/>
    <w:rsid w:val="007107BC"/>
    <w:rsid w:val="0071718B"/>
    <w:rsid w:val="00723463"/>
    <w:rsid w:val="00727BD8"/>
    <w:rsid w:val="007417A6"/>
    <w:rsid w:val="00746F50"/>
    <w:rsid w:val="0076015D"/>
    <w:rsid w:val="00764B70"/>
    <w:rsid w:val="00764F16"/>
    <w:rsid w:val="0077546C"/>
    <w:rsid w:val="00785034"/>
    <w:rsid w:val="007A4188"/>
    <w:rsid w:val="007B5727"/>
    <w:rsid w:val="007B5836"/>
    <w:rsid w:val="007C2533"/>
    <w:rsid w:val="007E1C3B"/>
    <w:rsid w:val="007E2CDE"/>
    <w:rsid w:val="007E31E8"/>
    <w:rsid w:val="007E6546"/>
    <w:rsid w:val="00804E99"/>
    <w:rsid w:val="008146D6"/>
    <w:rsid w:val="00821759"/>
    <w:rsid w:val="00821F55"/>
    <w:rsid w:val="00822AFA"/>
    <w:rsid w:val="00824117"/>
    <w:rsid w:val="00831DC9"/>
    <w:rsid w:val="00831F5B"/>
    <w:rsid w:val="00832D2B"/>
    <w:rsid w:val="0083786E"/>
    <w:rsid w:val="00845CE6"/>
    <w:rsid w:val="0085788A"/>
    <w:rsid w:val="008608A9"/>
    <w:rsid w:val="008617AE"/>
    <w:rsid w:val="00865038"/>
    <w:rsid w:val="008661E6"/>
    <w:rsid w:val="008B6A9C"/>
    <w:rsid w:val="008C2E1B"/>
    <w:rsid w:val="008C4E76"/>
    <w:rsid w:val="008F3AB8"/>
    <w:rsid w:val="00907FF7"/>
    <w:rsid w:val="00911A84"/>
    <w:rsid w:val="0092159A"/>
    <w:rsid w:val="009218ED"/>
    <w:rsid w:val="009274E6"/>
    <w:rsid w:val="009303C3"/>
    <w:rsid w:val="0094441A"/>
    <w:rsid w:val="009456DA"/>
    <w:rsid w:val="009731B4"/>
    <w:rsid w:val="009971C3"/>
    <w:rsid w:val="009B4801"/>
    <w:rsid w:val="009B754D"/>
    <w:rsid w:val="009C14F0"/>
    <w:rsid w:val="009C6ED2"/>
    <w:rsid w:val="009D7F8C"/>
    <w:rsid w:val="009E4F3E"/>
    <w:rsid w:val="009E7473"/>
    <w:rsid w:val="009F1DD5"/>
    <w:rsid w:val="009F5D21"/>
    <w:rsid w:val="009F62A8"/>
    <w:rsid w:val="00A10334"/>
    <w:rsid w:val="00A157C7"/>
    <w:rsid w:val="00A560DF"/>
    <w:rsid w:val="00A57E77"/>
    <w:rsid w:val="00A724A2"/>
    <w:rsid w:val="00A73911"/>
    <w:rsid w:val="00A83AC8"/>
    <w:rsid w:val="00A85CDA"/>
    <w:rsid w:val="00A86BC7"/>
    <w:rsid w:val="00A87F62"/>
    <w:rsid w:val="00A95384"/>
    <w:rsid w:val="00AA1454"/>
    <w:rsid w:val="00AB753B"/>
    <w:rsid w:val="00AD6571"/>
    <w:rsid w:val="00AE4B78"/>
    <w:rsid w:val="00AF73AF"/>
    <w:rsid w:val="00B15F19"/>
    <w:rsid w:val="00B21319"/>
    <w:rsid w:val="00B37F2A"/>
    <w:rsid w:val="00B52FD7"/>
    <w:rsid w:val="00B70C3C"/>
    <w:rsid w:val="00B776F9"/>
    <w:rsid w:val="00B77C25"/>
    <w:rsid w:val="00B91775"/>
    <w:rsid w:val="00BC641F"/>
    <w:rsid w:val="00C03D0D"/>
    <w:rsid w:val="00C03F61"/>
    <w:rsid w:val="00C05548"/>
    <w:rsid w:val="00C32EDC"/>
    <w:rsid w:val="00C34550"/>
    <w:rsid w:val="00C56E66"/>
    <w:rsid w:val="00C738BF"/>
    <w:rsid w:val="00C8316C"/>
    <w:rsid w:val="00C866EA"/>
    <w:rsid w:val="00C95C81"/>
    <w:rsid w:val="00C97891"/>
    <w:rsid w:val="00CA5E26"/>
    <w:rsid w:val="00CE083C"/>
    <w:rsid w:val="00CE2383"/>
    <w:rsid w:val="00CF33D5"/>
    <w:rsid w:val="00D16080"/>
    <w:rsid w:val="00D21E26"/>
    <w:rsid w:val="00D24CB1"/>
    <w:rsid w:val="00D31937"/>
    <w:rsid w:val="00D42104"/>
    <w:rsid w:val="00D5798E"/>
    <w:rsid w:val="00D649F1"/>
    <w:rsid w:val="00D70292"/>
    <w:rsid w:val="00D70D39"/>
    <w:rsid w:val="00D756A3"/>
    <w:rsid w:val="00D81FB2"/>
    <w:rsid w:val="00D8330E"/>
    <w:rsid w:val="00D86D1F"/>
    <w:rsid w:val="00D96D0D"/>
    <w:rsid w:val="00DC117E"/>
    <w:rsid w:val="00DD16C1"/>
    <w:rsid w:val="00E07002"/>
    <w:rsid w:val="00E159B3"/>
    <w:rsid w:val="00E20903"/>
    <w:rsid w:val="00E22C95"/>
    <w:rsid w:val="00E370BE"/>
    <w:rsid w:val="00E41319"/>
    <w:rsid w:val="00E41943"/>
    <w:rsid w:val="00E434D7"/>
    <w:rsid w:val="00E476D2"/>
    <w:rsid w:val="00E52426"/>
    <w:rsid w:val="00E63ABD"/>
    <w:rsid w:val="00E72C12"/>
    <w:rsid w:val="00E8661B"/>
    <w:rsid w:val="00EA2906"/>
    <w:rsid w:val="00EC25B7"/>
    <w:rsid w:val="00EE35E2"/>
    <w:rsid w:val="00EE6BB8"/>
    <w:rsid w:val="00F002F2"/>
    <w:rsid w:val="00F261DC"/>
    <w:rsid w:val="00F35868"/>
    <w:rsid w:val="00F37CA2"/>
    <w:rsid w:val="00F42D01"/>
    <w:rsid w:val="00F747CB"/>
    <w:rsid w:val="00FA7B26"/>
    <w:rsid w:val="00FC2E2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71E4"/>
  <w15:docId w15:val="{0BAAD2C1-315C-48C8-B3C7-5C7F5D88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0C98"/>
    <w:pPr>
      <w:spacing w:after="0" w:line="240" w:lineRule="auto"/>
      <w:jc w:val="both"/>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Основной текст (7)_"/>
    <w:basedOn w:val="a0"/>
    <w:link w:val="70"/>
    <w:rsid w:val="005B3D0D"/>
    <w:rPr>
      <w:rFonts w:ascii="Times New Roman" w:eastAsia="Times New Roman" w:hAnsi="Times New Roman" w:cs="Times New Roman"/>
      <w:sz w:val="17"/>
      <w:szCs w:val="17"/>
      <w:shd w:val="clear" w:color="auto" w:fill="FFFFFF"/>
    </w:rPr>
  </w:style>
  <w:style w:type="character" w:customStyle="1" w:styleId="7Verdana9pt0pt">
    <w:name w:val="Основной текст (7) + Verdana;9 pt;Интервал 0 pt"/>
    <w:basedOn w:val="7"/>
    <w:rsid w:val="005B3D0D"/>
    <w:rPr>
      <w:rFonts w:ascii="Verdana" w:eastAsia="Verdana" w:hAnsi="Verdana" w:cs="Verdana"/>
      <w:color w:val="000000"/>
      <w:spacing w:val="-10"/>
      <w:w w:val="100"/>
      <w:position w:val="0"/>
      <w:sz w:val="18"/>
      <w:szCs w:val="18"/>
      <w:shd w:val="clear" w:color="auto" w:fill="FFFFFF"/>
      <w:lang w:val="en-US"/>
    </w:rPr>
  </w:style>
  <w:style w:type="paragraph" w:customStyle="1" w:styleId="70">
    <w:name w:val="Основной текст (7)"/>
    <w:basedOn w:val="a"/>
    <w:link w:val="7"/>
    <w:rsid w:val="005B3D0D"/>
    <w:pPr>
      <w:widowControl w:val="0"/>
      <w:shd w:val="clear" w:color="auto" w:fill="FFFFFF"/>
      <w:spacing w:after="180" w:line="206" w:lineRule="exact"/>
    </w:pPr>
    <w:rPr>
      <w:rFonts w:eastAsia="Times New Roman"/>
      <w:sz w:val="17"/>
      <w:szCs w:val="17"/>
    </w:rPr>
  </w:style>
  <w:style w:type="character" w:customStyle="1" w:styleId="71">
    <w:name w:val="Основной текст (7) + Курсив"/>
    <w:basedOn w:val="7"/>
    <w:rsid w:val="0032152D"/>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en-US"/>
    </w:rPr>
  </w:style>
  <w:style w:type="character" w:styleId="a3">
    <w:name w:val="Hyperlink"/>
    <w:basedOn w:val="a0"/>
    <w:uiPriority w:val="99"/>
    <w:unhideWhenUsed/>
    <w:rsid w:val="0032152D"/>
    <w:rPr>
      <w:color w:val="0000FF" w:themeColor="hyperlink"/>
      <w:u w:val="single"/>
    </w:rPr>
  </w:style>
  <w:style w:type="paragraph" w:styleId="a4">
    <w:name w:val="Balloon Text"/>
    <w:basedOn w:val="a"/>
    <w:link w:val="a5"/>
    <w:uiPriority w:val="99"/>
    <w:semiHidden/>
    <w:unhideWhenUsed/>
    <w:rsid w:val="009274E6"/>
    <w:rPr>
      <w:rFonts w:ascii="Tahoma" w:hAnsi="Tahoma" w:cs="Tahoma"/>
      <w:sz w:val="16"/>
      <w:szCs w:val="16"/>
    </w:rPr>
  </w:style>
  <w:style w:type="character" w:customStyle="1" w:styleId="a5">
    <w:name w:val="Текст выноски Знак"/>
    <w:basedOn w:val="a0"/>
    <w:link w:val="a4"/>
    <w:uiPriority w:val="99"/>
    <w:semiHidden/>
    <w:rsid w:val="009274E6"/>
    <w:rPr>
      <w:rFonts w:ascii="Tahoma" w:hAnsi="Tahoma" w:cs="Tahoma"/>
      <w:sz w:val="16"/>
      <w:szCs w:val="16"/>
    </w:rPr>
  </w:style>
  <w:style w:type="character" w:customStyle="1" w:styleId="a6">
    <w:name w:val="Основной текст_"/>
    <w:basedOn w:val="a0"/>
    <w:link w:val="1"/>
    <w:rsid w:val="006854A7"/>
    <w:rPr>
      <w:rFonts w:ascii="Verdana" w:eastAsia="Verdana" w:hAnsi="Verdana" w:cs="Verdana"/>
      <w:spacing w:val="-10"/>
      <w:sz w:val="18"/>
      <w:szCs w:val="18"/>
      <w:shd w:val="clear" w:color="auto" w:fill="FFFFFF"/>
    </w:rPr>
  </w:style>
  <w:style w:type="character" w:customStyle="1" w:styleId="TrebuchetMS6pt0pt">
    <w:name w:val="Основной текст + Trebuchet MS;6 pt;Интервал 0 pt"/>
    <w:basedOn w:val="a6"/>
    <w:rsid w:val="006854A7"/>
    <w:rPr>
      <w:rFonts w:ascii="Trebuchet MS" w:eastAsia="Trebuchet MS" w:hAnsi="Trebuchet MS" w:cs="Trebuchet MS"/>
      <w:color w:val="000000"/>
      <w:spacing w:val="0"/>
      <w:w w:val="100"/>
      <w:position w:val="0"/>
      <w:sz w:val="12"/>
      <w:szCs w:val="12"/>
      <w:shd w:val="clear" w:color="auto" w:fill="FFFFFF"/>
      <w:lang w:val="en-US"/>
    </w:rPr>
  </w:style>
  <w:style w:type="character" w:customStyle="1" w:styleId="7pt0pt">
    <w:name w:val="Основной текст + 7 pt;Курсив;Интервал 0 pt"/>
    <w:basedOn w:val="a6"/>
    <w:rsid w:val="006854A7"/>
    <w:rPr>
      <w:rFonts w:ascii="Verdana" w:eastAsia="Verdana" w:hAnsi="Verdana" w:cs="Verdana"/>
      <w:i/>
      <w:iCs/>
      <w:color w:val="000000"/>
      <w:spacing w:val="0"/>
      <w:w w:val="100"/>
      <w:position w:val="0"/>
      <w:sz w:val="14"/>
      <w:szCs w:val="14"/>
      <w:shd w:val="clear" w:color="auto" w:fill="FFFFFF"/>
      <w:lang w:val="en-US"/>
    </w:rPr>
  </w:style>
  <w:style w:type="character" w:customStyle="1" w:styleId="TimesNewRoman7pt0pt">
    <w:name w:val="Основной текст + Times New Roman;7 pt;Интервал 0 pt"/>
    <w:basedOn w:val="a6"/>
    <w:rsid w:val="006854A7"/>
    <w:rPr>
      <w:rFonts w:ascii="Times New Roman" w:eastAsia="Times New Roman" w:hAnsi="Times New Roman" w:cs="Times New Roman"/>
      <w:color w:val="000000"/>
      <w:spacing w:val="0"/>
      <w:w w:val="100"/>
      <w:position w:val="0"/>
      <w:sz w:val="14"/>
      <w:szCs w:val="14"/>
      <w:shd w:val="clear" w:color="auto" w:fill="FFFFFF"/>
      <w:lang w:val="en-US"/>
    </w:rPr>
  </w:style>
  <w:style w:type="paragraph" w:customStyle="1" w:styleId="1">
    <w:name w:val="Основной текст1"/>
    <w:basedOn w:val="a"/>
    <w:link w:val="a6"/>
    <w:rsid w:val="006854A7"/>
    <w:pPr>
      <w:widowControl w:val="0"/>
      <w:shd w:val="clear" w:color="auto" w:fill="FFFFFF"/>
      <w:spacing w:before="180" w:line="0" w:lineRule="atLeast"/>
      <w:jc w:val="left"/>
    </w:pPr>
    <w:rPr>
      <w:rFonts w:ascii="Verdana" w:eastAsia="Verdana" w:hAnsi="Verdana" w:cs="Verdana"/>
      <w:spacing w:val="-10"/>
      <w:sz w:val="18"/>
      <w:szCs w:val="18"/>
    </w:rPr>
  </w:style>
  <w:style w:type="table" w:styleId="a7">
    <w:name w:val="Table Grid"/>
    <w:basedOn w:val="a1"/>
    <w:uiPriority w:val="59"/>
    <w:rsid w:val="0034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Exact">
    <w:name w:val="Основной текст (15) Exact"/>
    <w:basedOn w:val="a0"/>
    <w:rsid w:val="00B15F19"/>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15">
    <w:name w:val="Основной текст (15)_"/>
    <w:basedOn w:val="a0"/>
    <w:link w:val="150"/>
    <w:rsid w:val="00D70D39"/>
    <w:rPr>
      <w:rFonts w:ascii="Times New Roman" w:eastAsia="Times New Roman" w:hAnsi="Times New Roman" w:cs="Times New Roman"/>
      <w:sz w:val="15"/>
      <w:szCs w:val="15"/>
      <w:shd w:val="clear" w:color="auto" w:fill="FFFFFF"/>
    </w:rPr>
  </w:style>
  <w:style w:type="character" w:customStyle="1" w:styleId="151">
    <w:name w:val="Основной текст (15) + Курсив"/>
    <w:basedOn w:val="15"/>
    <w:rsid w:val="00D70D39"/>
    <w:rPr>
      <w:rFonts w:ascii="Times New Roman" w:eastAsia="Times New Roman" w:hAnsi="Times New Roman" w:cs="Times New Roman"/>
      <w:i/>
      <w:iCs/>
      <w:color w:val="000000"/>
      <w:spacing w:val="0"/>
      <w:w w:val="100"/>
      <w:position w:val="0"/>
      <w:sz w:val="15"/>
      <w:szCs w:val="15"/>
      <w:shd w:val="clear" w:color="auto" w:fill="FFFFFF"/>
      <w:lang w:val="en-US"/>
    </w:rPr>
  </w:style>
  <w:style w:type="paragraph" w:customStyle="1" w:styleId="150">
    <w:name w:val="Основной текст (15)"/>
    <w:basedOn w:val="a"/>
    <w:link w:val="15"/>
    <w:rsid w:val="00D70D39"/>
    <w:pPr>
      <w:widowControl w:val="0"/>
      <w:shd w:val="clear" w:color="auto" w:fill="FFFFFF"/>
      <w:spacing w:before="120" w:line="197" w:lineRule="exact"/>
      <w:ind w:hanging="360"/>
    </w:pPr>
    <w:rPr>
      <w:rFonts w:eastAsia="Times New Roman"/>
      <w:sz w:val="15"/>
      <w:szCs w:val="15"/>
    </w:rPr>
  </w:style>
  <w:style w:type="character" w:customStyle="1" w:styleId="5">
    <w:name w:val="Основной текст (5)_"/>
    <w:basedOn w:val="a0"/>
    <w:link w:val="50"/>
    <w:rsid w:val="00D70D39"/>
    <w:rPr>
      <w:rFonts w:ascii="Verdana" w:eastAsia="Verdana" w:hAnsi="Verdana" w:cs="Verdana"/>
      <w:sz w:val="17"/>
      <w:szCs w:val="17"/>
      <w:shd w:val="clear" w:color="auto" w:fill="FFFFFF"/>
    </w:rPr>
  </w:style>
  <w:style w:type="paragraph" w:customStyle="1" w:styleId="50">
    <w:name w:val="Основной текст (5)"/>
    <w:basedOn w:val="a"/>
    <w:link w:val="5"/>
    <w:rsid w:val="00D70D39"/>
    <w:pPr>
      <w:widowControl w:val="0"/>
      <w:shd w:val="clear" w:color="auto" w:fill="FFFFFF"/>
      <w:spacing w:before="480" w:line="0" w:lineRule="atLeast"/>
      <w:jc w:val="left"/>
    </w:pPr>
    <w:rPr>
      <w:rFonts w:ascii="Verdana" w:eastAsia="Verdana" w:hAnsi="Verdana" w:cs="Verdan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596DB-F10C-48BC-A67D-A009A9528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18</Pages>
  <Words>7552</Words>
  <Characters>43051</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OWL</dc:creator>
  <cp:keywords/>
  <dc:description/>
  <cp:lastModifiedBy>Пользователь</cp:lastModifiedBy>
  <cp:revision>16</cp:revision>
  <dcterms:created xsi:type="dcterms:W3CDTF">2020-02-16T19:01:00Z</dcterms:created>
  <dcterms:modified xsi:type="dcterms:W3CDTF">2020-03-24T11:24:00Z</dcterms:modified>
</cp:coreProperties>
</file>