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9A1" w:rsidRDefault="002E293B" w:rsidP="00AE25A3">
      <w:pPr>
        <w:rPr>
          <w:rFonts w:ascii="Times New Roman" w:hAnsi="Times New Roman" w:cs="Times New Roman"/>
          <w:sz w:val="28"/>
          <w:szCs w:val="28"/>
        </w:rPr>
      </w:pPr>
      <w:r w:rsidRPr="00587927">
        <w:rPr>
          <w:rFonts w:ascii="Times New Roman" w:hAnsi="Times New Roman" w:cs="Times New Roman"/>
          <w:sz w:val="28"/>
          <w:szCs w:val="28"/>
        </w:rPr>
        <w:t>УДК 616.37-006</w:t>
      </w:r>
    </w:p>
    <w:p w:rsidR="00295FC4" w:rsidRPr="00B3501A" w:rsidRDefault="00295FC4" w:rsidP="00295FC4">
      <w:pPr>
        <w:spacing w:after="0" w:line="240" w:lineRule="auto"/>
        <w:rPr>
          <w:rFonts w:ascii="Times New Roman" w:hAnsi="Times New Roman" w:cs="Times New Roman"/>
          <w:b/>
          <w:sz w:val="28"/>
          <w:szCs w:val="28"/>
          <w:lang w:val="uk-UA"/>
        </w:rPr>
      </w:pPr>
      <w:r w:rsidRPr="00B3501A">
        <w:rPr>
          <w:rFonts w:ascii="Times New Roman" w:hAnsi="Times New Roman" w:cs="Times New Roman"/>
          <w:b/>
          <w:sz w:val="28"/>
          <w:szCs w:val="28"/>
          <w:lang w:val="uk-UA"/>
        </w:rPr>
        <w:t>Біологічні діагностичні маркери і фактори ризику раку підшлункової залози у пацієнтів із хронічним панкреатитом (огляд літератури)</w:t>
      </w:r>
    </w:p>
    <w:p w:rsidR="00C86879" w:rsidRPr="00587927" w:rsidRDefault="00C86879" w:rsidP="00C8687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lang w:val="uk-UA"/>
        </w:rPr>
        <w:t>А. А. Литвин</w:t>
      </w:r>
      <w:r w:rsidRPr="00587927">
        <w:rPr>
          <w:rFonts w:ascii="Times New Roman" w:hAnsi="Times New Roman" w:cs="Times New Roman"/>
          <w:sz w:val="28"/>
          <w:szCs w:val="28"/>
          <w:vertAlign w:val="superscript"/>
          <w:lang w:val="uk-UA"/>
        </w:rPr>
        <w:t>1,2</w:t>
      </w:r>
      <w:r w:rsidRPr="00587927">
        <w:rPr>
          <w:rFonts w:ascii="Times New Roman" w:hAnsi="Times New Roman" w:cs="Times New Roman"/>
          <w:sz w:val="28"/>
          <w:szCs w:val="28"/>
          <w:lang w:val="uk-UA"/>
        </w:rPr>
        <w:t>, С. В. Коренев</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К. М. Колокольцева</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В. С. Денисюк</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С. Б. Румовська</w:t>
      </w:r>
      <w:r w:rsidRPr="00587927">
        <w:rPr>
          <w:rFonts w:ascii="Times New Roman" w:hAnsi="Times New Roman" w:cs="Times New Roman"/>
          <w:sz w:val="28"/>
          <w:szCs w:val="28"/>
          <w:vertAlign w:val="superscript"/>
          <w:lang w:val="uk-UA"/>
        </w:rPr>
        <w:t>1</w:t>
      </w:r>
    </w:p>
    <w:p w:rsidR="00295FC4" w:rsidRPr="00B3501A" w:rsidRDefault="00295FC4" w:rsidP="00295FC4">
      <w:pPr>
        <w:spacing w:after="0" w:line="240" w:lineRule="auto"/>
        <w:rPr>
          <w:rFonts w:ascii="Times New Roman" w:hAnsi="Times New Roman" w:cs="Times New Roman"/>
          <w:sz w:val="28"/>
          <w:szCs w:val="28"/>
          <w:lang w:val="uk-UA"/>
        </w:rPr>
      </w:pPr>
      <w:r w:rsidRPr="00B3501A">
        <w:rPr>
          <w:rFonts w:ascii="Times New Roman" w:hAnsi="Times New Roman" w:cs="Times New Roman"/>
          <w:sz w:val="28"/>
          <w:szCs w:val="28"/>
          <w:vertAlign w:val="superscript"/>
          <w:lang w:val="uk-UA"/>
        </w:rPr>
        <w:t>1</w:t>
      </w:r>
      <w:r w:rsidRPr="00B3501A">
        <w:rPr>
          <w:rFonts w:ascii="Times New Roman" w:hAnsi="Times New Roman" w:cs="Times New Roman"/>
          <w:sz w:val="28"/>
          <w:szCs w:val="28"/>
          <w:lang w:val="uk-UA"/>
        </w:rPr>
        <w:t>Балтійский федеральний університет ім. І. Канта</w:t>
      </w:r>
    </w:p>
    <w:p w:rsidR="00295FC4" w:rsidRPr="00B3501A" w:rsidRDefault="00295FC4" w:rsidP="00295FC4">
      <w:pPr>
        <w:spacing w:after="0" w:line="240" w:lineRule="auto"/>
        <w:rPr>
          <w:rFonts w:ascii="Times New Roman" w:hAnsi="Times New Roman" w:cs="Times New Roman"/>
          <w:sz w:val="28"/>
          <w:szCs w:val="28"/>
          <w:lang w:val="uk-UA"/>
        </w:rPr>
      </w:pPr>
      <w:r w:rsidRPr="00B3501A">
        <w:rPr>
          <w:rFonts w:ascii="Times New Roman" w:hAnsi="Times New Roman" w:cs="Times New Roman"/>
          <w:sz w:val="28"/>
          <w:szCs w:val="28"/>
          <w:vertAlign w:val="superscript"/>
          <w:lang w:val="uk-UA"/>
        </w:rPr>
        <w:t>2</w:t>
      </w:r>
      <w:r w:rsidRPr="00B3501A">
        <w:rPr>
          <w:rFonts w:ascii="Times New Roman" w:hAnsi="Times New Roman" w:cs="Times New Roman"/>
          <w:sz w:val="28"/>
          <w:szCs w:val="28"/>
          <w:lang w:val="uk-UA"/>
        </w:rPr>
        <w:t>Обласна клінічна лікарня Калінінградської області, Калінінград, Росія</w:t>
      </w:r>
    </w:p>
    <w:p w:rsidR="00295FC4" w:rsidRPr="00B3501A" w:rsidRDefault="00295FC4" w:rsidP="00295FC4">
      <w:pPr>
        <w:spacing w:after="0" w:line="240" w:lineRule="auto"/>
        <w:rPr>
          <w:rFonts w:ascii="Times New Roman" w:hAnsi="Times New Roman" w:cs="Times New Roman"/>
          <w:sz w:val="28"/>
          <w:szCs w:val="28"/>
          <w:lang w:val="uk-UA"/>
        </w:rPr>
      </w:pPr>
    </w:p>
    <w:p w:rsidR="00295FC4" w:rsidRPr="00B3501A" w:rsidRDefault="00295FC4" w:rsidP="00295FC4">
      <w:pPr>
        <w:spacing w:after="0" w:line="240" w:lineRule="auto"/>
        <w:ind w:firstLine="709"/>
        <w:rPr>
          <w:rFonts w:ascii="Times New Roman" w:hAnsi="Times New Roman" w:cs="Times New Roman"/>
          <w:sz w:val="28"/>
          <w:szCs w:val="28"/>
          <w:lang w:val="uk-UA"/>
        </w:rPr>
      </w:pPr>
      <w:r w:rsidRPr="00B3501A">
        <w:rPr>
          <w:rFonts w:ascii="Times New Roman" w:hAnsi="Times New Roman" w:cs="Times New Roman"/>
          <w:b/>
          <w:sz w:val="28"/>
          <w:szCs w:val="28"/>
          <w:lang w:val="uk-UA"/>
        </w:rPr>
        <w:t>Ключові слова:</w:t>
      </w:r>
      <w:r w:rsidRPr="00B3501A">
        <w:rPr>
          <w:rFonts w:ascii="Times New Roman" w:hAnsi="Times New Roman" w:cs="Times New Roman"/>
          <w:sz w:val="28"/>
          <w:szCs w:val="28"/>
          <w:lang w:val="uk-UA"/>
        </w:rPr>
        <w:t xml:space="preserve"> рак підшлункової залози, хронічний панкреатит, диференціальна діагностика, пухлинні маркери, діагностичні </w:t>
      </w:r>
      <w:proofErr w:type="spellStart"/>
      <w:r w:rsidRPr="00B3501A">
        <w:rPr>
          <w:rFonts w:ascii="Times New Roman" w:hAnsi="Times New Roman" w:cs="Times New Roman"/>
          <w:sz w:val="28"/>
          <w:szCs w:val="28"/>
          <w:lang w:val="uk-UA"/>
        </w:rPr>
        <w:t>біомаркери</w:t>
      </w:r>
      <w:proofErr w:type="spellEnd"/>
      <w:r w:rsidRPr="00B3501A">
        <w:rPr>
          <w:rFonts w:ascii="Times New Roman" w:hAnsi="Times New Roman" w:cs="Times New Roman"/>
          <w:sz w:val="28"/>
          <w:szCs w:val="28"/>
          <w:lang w:val="uk-UA"/>
        </w:rPr>
        <w:t xml:space="preserve">, CA 19-9, K-RAS, </w:t>
      </w:r>
      <w:proofErr w:type="spellStart"/>
      <w:r w:rsidRPr="00B3501A">
        <w:rPr>
          <w:rFonts w:ascii="Times New Roman" w:hAnsi="Times New Roman" w:cs="Times New Roman"/>
          <w:sz w:val="28"/>
          <w:szCs w:val="28"/>
          <w:lang w:val="uk-UA"/>
        </w:rPr>
        <w:t>miRNA</w:t>
      </w:r>
      <w:proofErr w:type="spellEnd"/>
    </w:p>
    <w:p w:rsidR="00295FC4" w:rsidRPr="00B3501A" w:rsidRDefault="00295FC4" w:rsidP="00295FC4">
      <w:pPr>
        <w:spacing w:after="0" w:line="240" w:lineRule="auto"/>
        <w:ind w:firstLine="709"/>
        <w:rPr>
          <w:rFonts w:ascii="Times New Roman" w:hAnsi="Times New Roman" w:cs="Times New Roman"/>
          <w:b/>
          <w:sz w:val="28"/>
          <w:szCs w:val="28"/>
          <w:lang w:val="uk-UA"/>
        </w:rPr>
      </w:pPr>
      <w:r w:rsidRPr="00B3501A">
        <w:rPr>
          <w:rFonts w:ascii="Times New Roman" w:hAnsi="Times New Roman" w:cs="Times New Roman"/>
          <w:b/>
          <w:sz w:val="28"/>
          <w:szCs w:val="28"/>
          <w:lang w:val="uk-UA"/>
        </w:rPr>
        <w:t>Вступ</w:t>
      </w:r>
    </w:p>
    <w:p w:rsidR="00295FC4" w:rsidRPr="00B3501A" w:rsidRDefault="00295FC4" w:rsidP="00B3501A">
      <w:pPr>
        <w:spacing w:after="0" w:line="240" w:lineRule="auto"/>
        <w:ind w:firstLine="709"/>
        <w:jc w:val="both"/>
        <w:rPr>
          <w:rFonts w:ascii="Times New Roman" w:hAnsi="Times New Roman" w:cs="Times New Roman"/>
          <w:sz w:val="28"/>
          <w:szCs w:val="28"/>
          <w:lang w:val="uk-UA"/>
        </w:rPr>
      </w:pPr>
      <w:r w:rsidRPr="00B3501A">
        <w:rPr>
          <w:rFonts w:ascii="Times New Roman" w:hAnsi="Times New Roman" w:cs="Times New Roman"/>
          <w:sz w:val="28"/>
          <w:szCs w:val="28"/>
          <w:lang w:val="uk-UA"/>
        </w:rPr>
        <w:t>Статистика останніх років свідчить про неухильне зростання захворюваності і смертності від раку підшлункової залози (</w:t>
      </w:r>
      <w:r w:rsidRPr="00F857D2">
        <w:rPr>
          <w:rFonts w:ascii="Times New Roman" w:hAnsi="Times New Roman" w:cs="Times New Roman"/>
          <w:sz w:val="28"/>
          <w:szCs w:val="28"/>
          <w:lang w:val="uk-UA"/>
        </w:rPr>
        <w:t>РП</w:t>
      </w:r>
      <w:r w:rsidR="00B3501A" w:rsidRPr="00F857D2">
        <w:rPr>
          <w:rFonts w:ascii="Times New Roman" w:hAnsi="Times New Roman" w:cs="Times New Roman"/>
          <w:sz w:val="28"/>
          <w:szCs w:val="28"/>
          <w:lang w:val="uk-UA"/>
        </w:rPr>
        <w:t>З</w:t>
      </w:r>
      <w:r w:rsidRPr="00B3501A">
        <w:rPr>
          <w:rFonts w:ascii="Times New Roman" w:hAnsi="Times New Roman" w:cs="Times New Roman"/>
          <w:sz w:val="28"/>
          <w:szCs w:val="28"/>
          <w:lang w:val="uk-UA"/>
        </w:rPr>
        <w:t xml:space="preserve">) практично у всіх індустріально розвинених країнах [15]. Відзначено також зростання захворюваності на хронічний панкреатит (ХП) [23].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характеризується досить низькою </w:t>
      </w:r>
      <w:proofErr w:type="spellStart"/>
      <w:r w:rsidR="00B3501A" w:rsidRPr="00B3501A">
        <w:rPr>
          <w:rFonts w:ascii="Times New Roman" w:hAnsi="Times New Roman" w:cs="Times New Roman"/>
          <w:sz w:val="28"/>
          <w:szCs w:val="28"/>
          <w:lang w:val="uk-UA"/>
        </w:rPr>
        <w:t>резектабельн</w:t>
      </w:r>
      <w:r w:rsidR="00B3501A">
        <w:rPr>
          <w:rFonts w:ascii="Times New Roman" w:hAnsi="Times New Roman" w:cs="Times New Roman"/>
          <w:sz w:val="28"/>
          <w:szCs w:val="28"/>
          <w:lang w:val="uk-UA"/>
        </w:rPr>
        <w:t>і</w:t>
      </w:r>
      <w:r w:rsidR="00B3501A" w:rsidRPr="00B3501A">
        <w:rPr>
          <w:rFonts w:ascii="Times New Roman" w:hAnsi="Times New Roman" w:cs="Times New Roman"/>
          <w:sz w:val="28"/>
          <w:szCs w:val="28"/>
          <w:lang w:val="uk-UA"/>
        </w:rPr>
        <w:t>стю</w:t>
      </w:r>
      <w:proofErr w:type="spellEnd"/>
      <w:r w:rsidRPr="00B3501A">
        <w:rPr>
          <w:rFonts w:ascii="Times New Roman" w:hAnsi="Times New Roman" w:cs="Times New Roman"/>
          <w:sz w:val="28"/>
          <w:szCs w:val="28"/>
          <w:lang w:val="uk-UA"/>
        </w:rPr>
        <w:t xml:space="preserve"> і 5-річн</w:t>
      </w:r>
      <w:r w:rsidR="00B3501A">
        <w:rPr>
          <w:rFonts w:ascii="Times New Roman" w:hAnsi="Times New Roman" w:cs="Times New Roman"/>
          <w:sz w:val="28"/>
          <w:szCs w:val="28"/>
          <w:lang w:val="uk-UA"/>
        </w:rPr>
        <w:t>им</w:t>
      </w:r>
      <w:r w:rsidRPr="00B3501A">
        <w:rPr>
          <w:rFonts w:ascii="Times New Roman" w:hAnsi="Times New Roman" w:cs="Times New Roman"/>
          <w:sz w:val="28"/>
          <w:szCs w:val="28"/>
          <w:lang w:val="uk-UA"/>
        </w:rPr>
        <w:t xml:space="preserve"> виживан</w:t>
      </w:r>
      <w:r w:rsidR="00B3501A">
        <w:rPr>
          <w:rFonts w:ascii="Times New Roman" w:hAnsi="Times New Roman" w:cs="Times New Roman"/>
          <w:sz w:val="28"/>
          <w:szCs w:val="28"/>
          <w:lang w:val="uk-UA"/>
        </w:rPr>
        <w:t>ням</w:t>
      </w:r>
      <w:r w:rsidRPr="00B3501A">
        <w:rPr>
          <w:rFonts w:ascii="Times New Roman" w:hAnsi="Times New Roman" w:cs="Times New Roman"/>
          <w:sz w:val="28"/>
          <w:szCs w:val="28"/>
          <w:lang w:val="uk-UA"/>
        </w:rPr>
        <w:t xml:space="preserve">. За зведеними даними багатьох вітчизняних і зарубіжних авторів, </w:t>
      </w:r>
      <w:proofErr w:type="spellStart"/>
      <w:r w:rsidRPr="00B3501A">
        <w:rPr>
          <w:rFonts w:ascii="Times New Roman" w:hAnsi="Times New Roman" w:cs="Times New Roman"/>
          <w:sz w:val="28"/>
          <w:szCs w:val="28"/>
          <w:lang w:val="uk-UA"/>
        </w:rPr>
        <w:t>резектабельн</w:t>
      </w:r>
      <w:r w:rsidR="00B3501A">
        <w:rPr>
          <w:rFonts w:ascii="Times New Roman" w:hAnsi="Times New Roman" w:cs="Times New Roman"/>
          <w:sz w:val="28"/>
          <w:szCs w:val="28"/>
          <w:lang w:val="uk-UA"/>
        </w:rPr>
        <w:t>і</w:t>
      </w:r>
      <w:r w:rsidRPr="00B3501A">
        <w:rPr>
          <w:rFonts w:ascii="Times New Roman" w:hAnsi="Times New Roman" w:cs="Times New Roman"/>
          <w:sz w:val="28"/>
          <w:szCs w:val="28"/>
          <w:lang w:val="uk-UA"/>
        </w:rPr>
        <w:t>сть</w:t>
      </w:r>
      <w:proofErr w:type="spellEnd"/>
      <w:r w:rsidRPr="00B3501A">
        <w:rPr>
          <w:rFonts w:ascii="Times New Roman" w:hAnsi="Times New Roman" w:cs="Times New Roman"/>
          <w:sz w:val="28"/>
          <w:szCs w:val="28"/>
          <w:lang w:val="uk-UA"/>
        </w:rPr>
        <w:t xml:space="preserve">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не перевищує 25-30%, а 5-річн</w:t>
      </w:r>
      <w:r w:rsidR="00B3501A">
        <w:rPr>
          <w:rFonts w:ascii="Times New Roman" w:hAnsi="Times New Roman" w:cs="Times New Roman"/>
          <w:sz w:val="28"/>
          <w:szCs w:val="28"/>
          <w:lang w:val="uk-UA"/>
        </w:rPr>
        <w:t>е</w:t>
      </w:r>
      <w:r w:rsidRPr="00B3501A">
        <w:rPr>
          <w:rFonts w:ascii="Times New Roman" w:hAnsi="Times New Roman" w:cs="Times New Roman"/>
          <w:sz w:val="28"/>
          <w:szCs w:val="28"/>
          <w:lang w:val="uk-UA"/>
        </w:rPr>
        <w:t xml:space="preserve"> виживан</w:t>
      </w:r>
      <w:r w:rsidR="00B3501A">
        <w:rPr>
          <w:rFonts w:ascii="Times New Roman" w:hAnsi="Times New Roman" w:cs="Times New Roman"/>
          <w:sz w:val="28"/>
          <w:szCs w:val="28"/>
          <w:lang w:val="uk-UA"/>
        </w:rPr>
        <w:t>ня</w:t>
      </w:r>
      <w:r w:rsidRPr="00B3501A">
        <w:rPr>
          <w:rFonts w:ascii="Times New Roman" w:hAnsi="Times New Roman" w:cs="Times New Roman"/>
          <w:sz w:val="28"/>
          <w:szCs w:val="28"/>
          <w:lang w:val="uk-UA"/>
        </w:rPr>
        <w:t xml:space="preserve"> варіює від 0 до 30% [15] і не перевищує в середньому 1-3% [5]. Більшість пацієнтів після встановлення діагнозу гинуть </w:t>
      </w:r>
      <w:r w:rsidR="00F666CB">
        <w:rPr>
          <w:rFonts w:ascii="Times New Roman" w:hAnsi="Times New Roman" w:cs="Times New Roman"/>
          <w:sz w:val="28"/>
          <w:szCs w:val="28"/>
          <w:lang w:val="uk-UA"/>
        </w:rPr>
        <w:t>впродовж</w:t>
      </w:r>
      <w:r w:rsidRPr="00B3501A">
        <w:rPr>
          <w:rFonts w:ascii="Times New Roman" w:hAnsi="Times New Roman" w:cs="Times New Roman"/>
          <w:sz w:val="28"/>
          <w:szCs w:val="28"/>
          <w:lang w:val="uk-UA"/>
        </w:rPr>
        <w:t xml:space="preserve"> року [5]. Незадовільні результати лікування в основному пояснюються пізньою діагностикою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[18].</w:t>
      </w:r>
    </w:p>
    <w:p w:rsidR="00295FC4" w:rsidRPr="00B3501A" w:rsidRDefault="00295FC4" w:rsidP="00B3501A">
      <w:pPr>
        <w:spacing w:after="0" w:line="240" w:lineRule="auto"/>
        <w:ind w:firstLine="709"/>
        <w:jc w:val="both"/>
        <w:rPr>
          <w:rFonts w:ascii="Times New Roman" w:hAnsi="Times New Roman" w:cs="Times New Roman"/>
          <w:sz w:val="28"/>
          <w:szCs w:val="28"/>
          <w:lang w:val="uk-UA"/>
        </w:rPr>
      </w:pPr>
      <w:r w:rsidRPr="00B3501A">
        <w:rPr>
          <w:rFonts w:ascii="Times New Roman" w:hAnsi="Times New Roman" w:cs="Times New Roman"/>
          <w:sz w:val="28"/>
          <w:szCs w:val="28"/>
          <w:lang w:val="uk-UA"/>
        </w:rPr>
        <w:t xml:space="preserve">Несвоєчасна діагностика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пов'язана з особливостями клінічної картини - тривалим прихованим перебігом і пізнім проявом захворювання, схожістю з клінікою ХП, незначними змінами </w:t>
      </w:r>
      <w:proofErr w:type="spellStart"/>
      <w:r w:rsidRPr="00B3501A">
        <w:rPr>
          <w:rFonts w:ascii="Times New Roman" w:hAnsi="Times New Roman" w:cs="Times New Roman"/>
          <w:sz w:val="28"/>
          <w:szCs w:val="28"/>
          <w:lang w:val="uk-UA"/>
        </w:rPr>
        <w:t>загальноклінічних</w:t>
      </w:r>
      <w:proofErr w:type="spellEnd"/>
      <w:r w:rsidRPr="00B3501A">
        <w:rPr>
          <w:rFonts w:ascii="Times New Roman" w:hAnsi="Times New Roman" w:cs="Times New Roman"/>
          <w:sz w:val="28"/>
          <w:szCs w:val="28"/>
          <w:lang w:val="uk-UA"/>
        </w:rPr>
        <w:t xml:space="preserve"> лабораторних показників, малою інформативністю загальноприйнятих методів дослідження на ранніх стадіях захворювання і труднощами інтерпретації початкових змін в підшлунковій залозі (ПЗ) [4 ].</w:t>
      </w:r>
    </w:p>
    <w:p w:rsidR="00295FC4" w:rsidRPr="00587927" w:rsidRDefault="00295FC4" w:rsidP="00B3501A">
      <w:pPr>
        <w:spacing w:after="0" w:line="240" w:lineRule="auto"/>
        <w:ind w:firstLine="709"/>
        <w:jc w:val="both"/>
        <w:rPr>
          <w:rFonts w:ascii="Times New Roman" w:hAnsi="Times New Roman" w:cs="Times New Roman"/>
          <w:sz w:val="28"/>
          <w:szCs w:val="28"/>
        </w:rPr>
      </w:pPr>
      <w:r w:rsidRPr="00B3501A">
        <w:rPr>
          <w:rFonts w:ascii="Times New Roman" w:hAnsi="Times New Roman" w:cs="Times New Roman"/>
          <w:sz w:val="28"/>
          <w:szCs w:val="28"/>
          <w:lang w:val="uk-UA"/>
        </w:rPr>
        <w:t xml:space="preserve">Клінічні, лабораторні, інструментальні, </w:t>
      </w:r>
      <w:proofErr w:type="spellStart"/>
      <w:r w:rsidRPr="00B3501A">
        <w:rPr>
          <w:rFonts w:ascii="Times New Roman" w:hAnsi="Times New Roman" w:cs="Times New Roman"/>
          <w:sz w:val="28"/>
          <w:szCs w:val="28"/>
          <w:lang w:val="uk-UA"/>
        </w:rPr>
        <w:t>інтраопераційні</w:t>
      </w:r>
      <w:proofErr w:type="spellEnd"/>
      <w:r w:rsidRPr="00B3501A">
        <w:rPr>
          <w:rFonts w:ascii="Times New Roman" w:hAnsi="Times New Roman" w:cs="Times New Roman"/>
          <w:sz w:val="28"/>
          <w:szCs w:val="28"/>
          <w:lang w:val="uk-UA"/>
        </w:rPr>
        <w:t>, в тому числі і морфологічні</w:t>
      </w:r>
      <w:r w:rsidR="00F666CB" w:rsidRPr="00B3501A">
        <w:rPr>
          <w:rFonts w:ascii="Times New Roman" w:hAnsi="Times New Roman" w:cs="Times New Roman"/>
          <w:sz w:val="28"/>
          <w:szCs w:val="28"/>
          <w:lang w:val="uk-UA"/>
        </w:rPr>
        <w:t>,</w:t>
      </w:r>
      <w:r w:rsidRPr="00B3501A">
        <w:rPr>
          <w:rFonts w:ascii="Times New Roman" w:hAnsi="Times New Roman" w:cs="Times New Roman"/>
          <w:sz w:val="28"/>
          <w:szCs w:val="28"/>
          <w:lang w:val="uk-UA"/>
        </w:rPr>
        <w:t xml:space="preserve"> дані далеко не завжди дозволяють досить точно визначити природу осередкового ураження </w:t>
      </w:r>
      <w:r w:rsidR="00311891" w:rsidRPr="00F857D2">
        <w:rPr>
          <w:rFonts w:ascii="Times New Roman" w:hAnsi="Times New Roman" w:cs="Times New Roman"/>
          <w:sz w:val="28"/>
          <w:szCs w:val="28"/>
          <w:lang w:val="uk-UA"/>
        </w:rPr>
        <w:t>ПЗ</w:t>
      </w:r>
      <w:r w:rsidRPr="00B3501A">
        <w:rPr>
          <w:rFonts w:ascii="Times New Roman" w:hAnsi="Times New Roman" w:cs="Times New Roman"/>
          <w:sz w:val="28"/>
          <w:szCs w:val="28"/>
          <w:lang w:val="uk-UA"/>
        </w:rPr>
        <w:t xml:space="preserve"> [5]. Найбільші труднощі виникають в ситуаціях, коли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і ХП співіснують одночасно у одного пацієнта, коли пухлина </w:t>
      </w:r>
      <w:r w:rsidR="00311891">
        <w:rPr>
          <w:rFonts w:ascii="Times New Roman" w:hAnsi="Times New Roman" w:cs="Times New Roman"/>
          <w:sz w:val="28"/>
          <w:szCs w:val="28"/>
          <w:lang w:val="uk-UA"/>
        </w:rPr>
        <w:t>ПЗ</w:t>
      </w:r>
      <w:r w:rsidRPr="00B3501A">
        <w:rPr>
          <w:rFonts w:ascii="Times New Roman" w:hAnsi="Times New Roman" w:cs="Times New Roman"/>
          <w:sz w:val="28"/>
          <w:szCs w:val="28"/>
          <w:lang w:val="uk-UA"/>
        </w:rPr>
        <w:t xml:space="preserve"> розвинулася як ускладнення тривало існуючого ХП [4] або коли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супроводжується вираженим хронічним запаленням [5]. Саме тому проблема диференціальної діагностики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і ХП залишається досі не вирішеною і до теперішнього часу вкрай актуальною [4, 20], а своєчасна і максимально достовірна діагностика цих захворювань повинна зіграти істотну роль в поліпшенні результатів лікування.</w:t>
      </w:r>
    </w:p>
    <w:p w:rsidR="00B3501A" w:rsidRPr="00B3501A" w:rsidRDefault="00B3501A" w:rsidP="00B3501A">
      <w:pPr>
        <w:pStyle w:val="HTML"/>
        <w:ind w:firstLine="680"/>
        <w:jc w:val="both"/>
        <w:rPr>
          <w:rFonts w:ascii="Times New Roman" w:hAnsi="Times New Roman" w:cs="Times New Roman"/>
          <w:sz w:val="28"/>
          <w:szCs w:val="28"/>
          <w:lang w:val="uk-UA"/>
        </w:rPr>
      </w:pPr>
      <w:r w:rsidRPr="00B3501A">
        <w:rPr>
          <w:rFonts w:ascii="Times New Roman" w:hAnsi="Times New Roman" w:cs="Times New Roman"/>
          <w:sz w:val="28"/>
          <w:szCs w:val="28"/>
          <w:lang w:val="uk-UA"/>
        </w:rPr>
        <w:t xml:space="preserve">В останні роки особлива увага приділяється </w:t>
      </w:r>
      <w:proofErr w:type="spellStart"/>
      <w:r w:rsidRPr="00B3501A">
        <w:rPr>
          <w:rFonts w:ascii="Times New Roman" w:hAnsi="Times New Roman" w:cs="Times New Roman"/>
          <w:sz w:val="28"/>
          <w:szCs w:val="28"/>
          <w:lang w:val="uk-UA"/>
        </w:rPr>
        <w:t>біомаркер</w:t>
      </w:r>
      <w:r>
        <w:rPr>
          <w:rFonts w:ascii="Times New Roman" w:hAnsi="Times New Roman" w:cs="Times New Roman"/>
          <w:sz w:val="28"/>
          <w:szCs w:val="28"/>
          <w:lang w:val="uk-UA"/>
        </w:rPr>
        <w:t>ам</w:t>
      </w:r>
      <w:proofErr w:type="spellEnd"/>
      <w:r w:rsidRPr="00B3501A">
        <w:rPr>
          <w:rFonts w:ascii="Times New Roman" w:hAnsi="Times New Roman" w:cs="Times New Roman"/>
          <w:sz w:val="28"/>
          <w:szCs w:val="28"/>
          <w:lang w:val="uk-UA"/>
        </w:rPr>
        <w:t xml:space="preserve"> можливого пухлинного росту в </w:t>
      </w:r>
      <w:r w:rsidR="00311891">
        <w:rPr>
          <w:rFonts w:ascii="Times New Roman" w:hAnsi="Times New Roman" w:cs="Times New Roman"/>
          <w:sz w:val="28"/>
          <w:szCs w:val="28"/>
          <w:lang w:val="uk-UA"/>
        </w:rPr>
        <w:t>ПЗ</w:t>
      </w:r>
      <w:r w:rsidRPr="00B3501A">
        <w:rPr>
          <w:rFonts w:ascii="Times New Roman" w:hAnsi="Times New Roman" w:cs="Times New Roman"/>
          <w:sz w:val="28"/>
          <w:szCs w:val="28"/>
          <w:lang w:val="uk-UA"/>
        </w:rPr>
        <w:t xml:space="preserve"> на тлі ХП [17].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 xml:space="preserve"> дуже багатогранне захворювання, в статті будуть розглядатися питання діагностики за допомогою </w:t>
      </w:r>
      <w:proofErr w:type="spellStart"/>
      <w:r w:rsidRPr="00B3501A">
        <w:rPr>
          <w:rFonts w:ascii="Times New Roman" w:hAnsi="Times New Roman" w:cs="Times New Roman"/>
          <w:sz w:val="28"/>
          <w:szCs w:val="28"/>
          <w:lang w:val="uk-UA"/>
        </w:rPr>
        <w:t>біомаркерів</w:t>
      </w:r>
      <w:proofErr w:type="spellEnd"/>
      <w:r w:rsidRPr="00B3501A">
        <w:rPr>
          <w:rFonts w:ascii="Times New Roman" w:hAnsi="Times New Roman" w:cs="Times New Roman"/>
          <w:sz w:val="28"/>
          <w:szCs w:val="28"/>
          <w:lang w:val="uk-UA"/>
        </w:rPr>
        <w:t xml:space="preserve"> пухлини </w:t>
      </w:r>
      <w:r w:rsidR="00311891">
        <w:rPr>
          <w:rFonts w:ascii="Times New Roman" w:hAnsi="Times New Roman" w:cs="Times New Roman"/>
          <w:sz w:val="28"/>
          <w:szCs w:val="28"/>
          <w:lang w:val="uk-UA"/>
        </w:rPr>
        <w:t>ПЗ</w:t>
      </w:r>
      <w:r>
        <w:rPr>
          <w:rFonts w:ascii="Times New Roman" w:hAnsi="Times New Roman" w:cs="Times New Roman"/>
          <w:sz w:val="28"/>
          <w:szCs w:val="28"/>
          <w:lang w:val="uk-UA"/>
        </w:rPr>
        <w:t xml:space="preserve">, що </w:t>
      </w:r>
      <w:r w:rsidRPr="00B3501A">
        <w:rPr>
          <w:rFonts w:ascii="Times New Roman" w:hAnsi="Times New Roman" w:cs="Times New Roman"/>
          <w:sz w:val="28"/>
          <w:szCs w:val="28"/>
          <w:lang w:val="uk-UA"/>
        </w:rPr>
        <w:t>найчаст</w:t>
      </w:r>
      <w:r w:rsidR="00855848">
        <w:rPr>
          <w:rFonts w:ascii="Times New Roman" w:hAnsi="Times New Roman" w:cs="Times New Roman"/>
          <w:sz w:val="28"/>
          <w:szCs w:val="28"/>
          <w:lang w:val="uk-UA"/>
        </w:rPr>
        <w:t>іше</w:t>
      </w:r>
      <w:r w:rsidRPr="00B3501A">
        <w:rPr>
          <w:rFonts w:ascii="Times New Roman" w:hAnsi="Times New Roman" w:cs="Times New Roman"/>
          <w:sz w:val="28"/>
          <w:szCs w:val="28"/>
          <w:lang w:val="uk-UA"/>
        </w:rPr>
        <w:t xml:space="preserve"> зустрічається - </w:t>
      </w:r>
      <w:proofErr w:type="spellStart"/>
      <w:r w:rsidRPr="00B3501A">
        <w:rPr>
          <w:rFonts w:ascii="Times New Roman" w:hAnsi="Times New Roman" w:cs="Times New Roman"/>
          <w:sz w:val="28"/>
          <w:szCs w:val="28"/>
          <w:lang w:val="uk-UA"/>
        </w:rPr>
        <w:t>протоково</w:t>
      </w:r>
      <w:r w:rsidR="00855848">
        <w:rPr>
          <w:rFonts w:ascii="Times New Roman" w:hAnsi="Times New Roman" w:cs="Times New Roman"/>
          <w:sz w:val="28"/>
          <w:szCs w:val="28"/>
          <w:lang w:val="uk-UA"/>
        </w:rPr>
        <w:t>ї</w:t>
      </w:r>
      <w:proofErr w:type="spellEnd"/>
      <w:r w:rsidRPr="00B3501A">
        <w:rPr>
          <w:rFonts w:ascii="Times New Roman" w:hAnsi="Times New Roman" w:cs="Times New Roman"/>
          <w:sz w:val="28"/>
          <w:szCs w:val="28"/>
          <w:lang w:val="uk-UA"/>
        </w:rPr>
        <w:t xml:space="preserve"> аденокарциноми </w:t>
      </w:r>
      <w:r w:rsidR="00311891">
        <w:rPr>
          <w:rFonts w:ascii="Times New Roman" w:hAnsi="Times New Roman" w:cs="Times New Roman"/>
          <w:sz w:val="28"/>
          <w:szCs w:val="28"/>
          <w:lang w:val="uk-UA"/>
        </w:rPr>
        <w:t>ПЗ</w:t>
      </w:r>
      <w:r w:rsidRPr="00B3501A">
        <w:rPr>
          <w:rFonts w:ascii="Times New Roman" w:hAnsi="Times New Roman" w:cs="Times New Roman"/>
          <w:sz w:val="28"/>
          <w:szCs w:val="28"/>
          <w:lang w:val="uk-UA"/>
        </w:rPr>
        <w:t>.</w:t>
      </w:r>
    </w:p>
    <w:p w:rsidR="00B3501A" w:rsidRPr="00B3501A" w:rsidRDefault="00B3501A" w:rsidP="00B3501A">
      <w:pPr>
        <w:pStyle w:val="HTML"/>
        <w:ind w:firstLine="680"/>
        <w:jc w:val="both"/>
        <w:rPr>
          <w:rFonts w:ascii="Times New Roman" w:hAnsi="Times New Roman" w:cs="Times New Roman"/>
          <w:sz w:val="28"/>
          <w:szCs w:val="28"/>
          <w:lang w:val="uk-UA"/>
        </w:rPr>
      </w:pPr>
      <w:r w:rsidRPr="00B3501A">
        <w:rPr>
          <w:rFonts w:ascii="Times New Roman" w:hAnsi="Times New Roman" w:cs="Times New Roman"/>
          <w:b/>
          <w:sz w:val="28"/>
          <w:szCs w:val="28"/>
          <w:lang w:val="uk-UA"/>
        </w:rPr>
        <w:lastRenderedPageBreak/>
        <w:t>Метою</w:t>
      </w:r>
      <w:r w:rsidRPr="00B3501A">
        <w:rPr>
          <w:rFonts w:ascii="Times New Roman" w:hAnsi="Times New Roman" w:cs="Times New Roman"/>
          <w:sz w:val="28"/>
          <w:szCs w:val="28"/>
          <w:lang w:val="uk-UA"/>
        </w:rPr>
        <w:t xml:space="preserve"> статті </w:t>
      </w:r>
      <w:r w:rsidR="00855848">
        <w:rPr>
          <w:rFonts w:ascii="Times New Roman" w:hAnsi="Times New Roman" w:cs="Times New Roman"/>
          <w:sz w:val="28"/>
          <w:szCs w:val="28"/>
          <w:lang w:val="uk-UA"/>
        </w:rPr>
        <w:t>є</w:t>
      </w:r>
      <w:r w:rsidRPr="00B3501A">
        <w:rPr>
          <w:rFonts w:ascii="Times New Roman" w:hAnsi="Times New Roman" w:cs="Times New Roman"/>
          <w:sz w:val="28"/>
          <w:szCs w:val="28"/>
          <w:lang w:val="uk-UA"/>
        </w:rPr>
        <w:t xml:space="preserve"> огляд літератури, присвяченої </w:t>
      </w:r>
      <w:proofErr w:type="spellStart"/>
      <w:r w:rsidR="00855848" w:rsidRPr="00B3501A">
        <w:rPr>
          <w:rFonts w:ascii="Times New Roman" w:hAnsi="Times New Roman" w:cs="Times New Roman"/>
          <w:sz w:val="28"/>
          <w:szCs w:val="28"/>
          <w:lang w:val="uk-UA"/>
        </w:rPr>
        <w:t>біомаркер</w:t>
      </w:r>
      <w:r w:rsidR="00855848">
        <w:rPr>
          <w:rFonts w:ascii="Times New Roman" w:hAnsi="Times New Roman" w:cs="Times New Roman"/>
          <w:sz w:val="28"/>
          <w:szCs w:val="28"/>
          <w:lang w:val="uk-UA"/>
        </w:rPr>
        <w:t>ам</w:t>
      </w:r>
      <w:proofErr w:type="spellEnd"/>
      <w:r w:rsidR="00855848">
        <w:rPr>
          <w:rFonts w:ascii="Times New Roman" w:hAnsi="Times New Roman" w:cs="Times New Roman"/>
          <w:sz w:val="28"/>
          <w:szCs w:val="28"/>
          <w:lang w:val="uk-UA"/>
        </w:rPr>
        <w:t>, які</w:t>
      </w:r>
      <w:r w:rsidR="00855848" w:rsidRPr="00B3501A">
        <w:rPr>
          <w:rFonts w:ascii="Times New Roman" w:hAnsi="Times New Roman" w:cs="Times New Roman"/>
          <w:sz w:val="28"/>
          <w:szCs w:val="28"/>
          <w:lang w:val="uk-UA"/>
        </w:rPr>
        <w:t xml:space="preserve"> </w:t>
      </w:r>
      <w:r w:rsidRPr="00B3501A">
        <w:rPr>
          <w:rFonts w:ascii="Times New Roman" w:hAnsi="Times New Roman" w:cs="Times New Roman"/>
          <w:sz w:val="28"/>
          <w:szCs w:val="28"/>
          <w:lang w:val="uk-UA"/>
        </w:rPr>
        <w:t>розробляються в даний час і вже використову</w:t>
      </w:r>
      <w:r w:rsidR="00855848">
        <w:rPr>
          <w:rFonts w:ascii="Times New Roman" w:hAnsi="Times New Roman" w:cs="Times New Roman"/>
          <w:sz w:val="28"/>
          <w:szCs w:val="28"/>
          <w:lang w:val="uk-UA"/>
        </w:rPr>
        <w:t>ю</w:t>
      </w:r>
      <w:r w:rsidRPr="00B3501A">
        <w:rPr>
          <w:rFonts w:ascii="Times New Roman" w:hAnsi="Times New Roman" w:cs="Times New Roman"/>
          <w:sz w:val="28"/>
          <w:szCs w:val="28"/>
          <w:lang w:val="uk-UA"/>
        </w:rPr>
        <w:t>ться в клінічній практиці</w:t>
      </w:r>
      <w:r w:rsidR="00855848">
        <w:rPr>
          <w:rFonts w:ascii="Times New Roman" w:hAnsi="Times New Roman" w:cs="Times New Roman"/>
          <w:sz w:val="28"/>
          <w:szCs w:val="28"/>
          <w:lang w:val="uk-UA"/>
        </w:rPr>
        <w:t xml:space="preserve"> та</w:t>
      </w:r>
      <w:r w:rsidRPr="00B3501A">
        <w:rPr>
          <w:rFonts w:ascii="Times New Roman" w:hAnsi="Times New Roman" w:cs="Times New Roman"/>
          <w:sz w:val="28"/>
          <w:szCs w:val="28"/>
          <w:lang w:val="uk-UA"/>
        </w:rPr>
        <w:t xml:space="preserve"> дозволяють проводити диференці</w:t>
      </w:r>
      <w:r w:rsidR="002164A7">
        <w:rPr>
          <w:rFonts w:ascii="Times New Roman" w:hAnsi="Times New Roman" w:cs="Times New Roman"/>
          <w:sz w:val="28"/>
          <w:szCs w:val="28"/>
          <w:lang w:val="uk-UA"/>
        </w:rPr>
        <w:t>аль</w:t>
      </w:r>
      <w:r w:rsidRPr="00B3501A">
        <w:rPr>
          <w:rFonts w:ascii="Times New Roman" w:hAnsi="Times New Roman" w:cs="Times New Roman"/>
          <w:sz w:val="28"/>
          <w:szCs w:val="28"/>
          <w:lang w:val="uk-UA"/>
        </w:rPr>
        <w:t xml:space="preserve">ну діагностику між ХП і </w:t>
      </w:r>
      <w:r w:rsidR="00311891">
        <w:rPr>
          <w:rFonts w:ascii="Times New Roman" w:hAnsi="Times New Roman" w:cs="Times New Roman"/>
          <w:sz w:val="28"/>
          <w:szCs w:val="28"/>
          <w:lang w:val="uk-UA"/>
        </w:rPr>
        <w:t>РПЗ</w:t>
      </w:r>
      <w:r w:rsidRPr="00B3501A">
        <w:rPr>
          <w:rFonts w:ascii="Times New Roman" w:hAnsi="Times New Roman" w:cs="Times New Roman"/>
          <w:sz w:val="28"/>
          <w:szCs w:val="28"/>
          <w:lang w:val="uk-UA"/>
        </w:rPr>
        <w:t>.</w:t>
      </w:r>
    </w:p>
    <w:p w:rsidR="00B3501A" w:rsidRPr="00B3501A" w:rsidRDefault="00B3501A" w:rsidP="00B3501A">
      <w:pPr>
        <w:pStyle w:val="HTML"/>
        <w:ind w:firstLine="680"/>
        <w:jc w:val="both"/>
        <w:rPr>
          <w:rFonts w:ascii="Times New Roman" w:hAnsi="Times New Roman" w:cs="Times New Roman"/>
          <w:sz w:val="28"/>
          <w:szCs w:val="28"/>
          <w:lang w:val="uk-UA"/>
        </w:rPr>
      </w:pPr>
      <w:r w:rsidRPr="00B3501A">
        <w:rPr>
          <w:rFonts w:ascii="Times New Roman" w:hAnsi="Times New Roman" w:cs="Times New Roman"/>
          <w:sz w:val="28"/>
          <w:szCs w:val="28"/>
          <w:lang w:val="uk-UA"/>
        </w:rPr>
        <w:t xml:space="preserve">Огляд літератури був проведений по базі даних </w:t>
      </w:r>
      <w:proofErr w:type="spellStart"/>
      <w:r w:rsidRPr="00B3501A">
        <w:rPr>
          <w:rFonts w:ascii="Times New Roman" w:hAnsi="Times New Roman" w:cs="Times New Roman"/>
          <w:sz w:val="28"/>
          <w:szCs w:val="28"/>
          <w:lang w:val="uk-UA"/>
        </w:rPr>
        <w:t>PubMed</w:t>
      </w:r>
      <w:proofErr w:type="spellEnd"/>
      <w:r w:rsidRPr="00B3501A">
        <w:rPr>
          <w:rFonts w:ascii="Times New Roman" w:hAnsi="Times New Roman" w:cs="Times New Roman"/>
          <w:sz w:val="28"/>
          <w:szCs w:val="28"/>
          <w:lang w:val="uk-UA"/>
        </w:rPr>
        <w:t xml:space="preserve"> з використанням рядка пошуку: ("</w:t>
      </w:r>
      <w:proofErr w:type="spellStart"/>
      <w:r w:rsidRPr="00B3501A">
        <w:rPr>
          <w:rFonts w:ascii="Times New Roman" w:hAnsi="Times New Roman" w:cs="Times New Roman"/>
          <w:sz w:val="28"/>
          <w:szCs w:val="28"/>
          <w:lang w:val="uk-UA"/>
        </w:rPr>
        <w:t>biomarkers</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MeSH</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Terms</w:t>
      </w:r>
      <w:proofErr w:type="spellEnd"/>
      <w:r w:rsidRPr="00B3501A">
        <w:rPr>
          <w:rFonts w:ascii="Times New Roman" w:hAnsi="Times New Roman" w:cs="Times New Roman"/>
          <w:sz w:val="28"/>
          <w:szCs w:val="28"/>
          <w:lang w:val="uk-UA"/>
        </w:rPr>
        <w:t>] OR "</w:t>
      </w:r>
      <w:proofErr w:type="spellStart"/>
      <w:r w:rsidRPr="00B3501A">
        <w:rPr>
          <w:rFonts w:ascii="Times New Roman" w:hAnsi="Times New Roman" w:cs="Times New Roman"/>
          <w:sz w:val="28"/>
          <w:szCs w:val="28"/>
          <w:lang w:val="uk-UA"/>
        </w:rPr>
        <w:t>biomarkers</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All</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Fields</w:t>
      </w:r>
      <w:proofErr w:type="spellEnd"/>
      <w:r w:rsidRPr="00B3501A">
        <w:rPr>
          <w:rFonts w:ascii="Times New Roman" w:hAnsi="Times New Roman" w:cs="Times New Roman"/>
          <w:sz w:val="28"/>
          <w:szCs w:val="28"/>
          <w:lang w:val="uk-UA"/>
        </w:rPr>
        <w:t>] AND "</w:t>
      </w:r>
      <w:proofErr w:type="spellStart"/>
      <w:r w:rsidRPr="00B3501A">
        <w:rPr>
          <w:rFonts w:ascii="Times New Roman" w:hAnsi="Times New Roman" w:cs="Times New Roman"/>
          <w:sz w:val="28"/>
          <w:szCs w:val="28"/>
          <w:lang w:val="uk-UA"/>
        </w:rPr>
        <w:t>pancreatitis</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chronic</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MeSH</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Terms</w:t>
      </w:r>
      <w:proofErr w:type="spellEnd"/>
      <w:r w:rsidRPr="00B3501A">
        <w:rPr>
          <w:rFonts w:ascii="Times New Roman" w:hAnsi="Times New Roman" w:cs="Times New Roman"/>
          <w:sz w:val="28"/>
          <w:szCs w:val="28"/>
          <w:lang w:val="uk-UA"/>
        </w:rPr>
        <w:t>] OR "</w:t>
      </w:r>
      <w:proofErr w:type="spellStart"/>
      <w:r w:rsidRPr="00B3501A">
        <w:rPr>
          <w:rFonts w:ascii="Times New Roman" w:hAnsi="Times New Roman" w:cs="Times New Roman"/>
          <w:sz w:val="28"/>
          <w:szCs w:val="28"/>
          <w:lang w:val="uk-UA"/>
        </w:rPr>
        <w:t>chronic</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pancreatitis</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All</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Fields</w:t>
      </w:r>
      <w:proofErr w:type="spellEnd"/>
      <w:r w:rsidRPr="00B3501A">
        <w:rPr>
          <w:rFonts w:ascii="Times New Roman" w:hAnsi="Times New Roman" w:cs="Times New Roman"/>
          <w:sz w:val="28"/>
          <w:szCs w:val="28"/>
          <w:lang w:val="uk-UA"/>
        </w:rPr>
        <w:t xml:space="preserve">] AND </w:t>
      </w:r>
      <w:proofErr w:type="spellStart"/>
      <w:r w:rsidRPr="00B3501A">
        <w:rPr>
          <w:rFonts w:ascii="Times New Roman" w:hAnsi="Times New Roman" w:cs="Times New Roman"/>
          <w:sz w:val="28"/>
          <w:szCs w:val="28"/>
          <w:lang w:val="uk-UA"/>
        </w:rPr>
        <w:t>versus</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All</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Fields</w:t>
      </w:r>
      <w:proofErr w:type="spellEnd"/>
      <w:r w:rsidRPr="00B3501A">
        <w:rPr>
          <w:rFonts w:ascii="Times New Roman" w:hAnsi="Times New Roman" w:cs="Times New Roman"/>
          <w:sz w:val="28"/>
          <w:szCs w:val="28"/>
          <w:lang w:val="uk-UA"/>
        </w:rPr>
        <w:t>] AND ("</w:t>
      </w:r>
      <w:proofErr w:type="spellStart"/>
      <w:r w:rsidRPr="00B3501A">
        <w:rPr>
          <w:rFonts w:ascii="Times New Roman" w:hAnsi="Times New Roman" w:cs="Times New Roman"/>
          <w:sz w:val="28"/>
          <w:szCs w:val="28"/>
          <w:lang w:val="uk-UA"/>
        </w:rPr>
        <w:t>adenocarcinoma</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MeSH</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Terms</w:t>
      </w:r>
      <w:proofErr w:type="spellEnd"/>
      <w:r w:rsidRPr="00B3501A">
        <w:rPr>
          <w:rFonts w:ascii="Times New Roman" w:hAnsi="Times New Roman" w:cs="Times New Roman"/>
          <w:sz w:val="28"/>
          <w:szCs w:val="28"/>
          <w:lang w:val="uk-UA"/>
        </w:rPr>
        <w:t>] OR "</w:t>
      </w:r>
      <w:proofErr w:type="spellStart"/>
      <w:r w:rsidRPr="00B3501A">
        <w:rPr>
          <w:rFonts w:ascii="Times New Roman" w:hAnsi="Times New Roman" w:cs="Times New Roman"/>
          <w:sz w:val="28"/>
          <w:szCs w:val="28"/>
          <w:lang w:val="uk-UA"/>
        </w:rPr>
        <w:t>adenocarcinoma</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All</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Fields</w:t>
      </w:r>
      <w:proofErr w:type="spellEnd"/>
      <w:r w:rsidRPr="00B3501A">
        <w:rPr>
          <w:rFonts w:ascii="Times New Roman" w:hAnsi="Times New Roman" w:cs="Times New Roman"/>
          <w:sz w:val="28"/>
          <w:szCs w:val="28"/>
          <w:lang w:val="uk-UA"/>
        </w:rPr>
        <w:t>]) AND ("</w:t>
      </w:r>
      <w:proofErr w:type="spellStart"/>
      <w:r w:rsidRPr="00B3501A">
        <w:rPr>
          <w:rFonts w:ascii="Times New Roman" w:hAnsi="Times New Roman" w:cs="Times New Roman"/>
          <w:sz w:val="28"/>
          <w:szCs w:val="28"/>
          <w:lang w:val="uk-UA"/>
        </w:rPr>
        <w:t>pancreas</w:t>
      </w:r>
      <w:proofErr w:type="spellEnd"/>
      <w:r w:rsidRPr="00B3501A">
        <w:rPr>
          <w:rFonts w:ascii="Times New Roman" w:hAnsi="Times New Roman" w:cs="Times New Roman"/>
          <w:sz w:val="28"/>
          <w:szCs w:val="28"/>
          <w:lang w:val="uk-UA"/>
        </w:rPr>
        <w:t>" [</w:t>
      </w:r>
      <w:proofErr w:type="spellStart"/>
      <w:r w:rsidRPr="00B3501A">
        <w:rPr>
          <w:rFonts w:ascii="Times New Roman" w:hAnsi="Times New Roman" w:cs="Times New Roman"/>
          <w:sz w:val="28"/>
          <w:szCs w:val="28"/>
          <w:lang w:val="uk-UA"/>
        </w:rPr>
        <w:t>MeSH</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Terms</w:t>
      </w:r>
      <w:proofErr w:type="spellEnd"/>
      <w:r w:rsidRPr="00B3501A">
        <w:rPr>
          <w:rFonts w:ascii="Times New Roman" w:hAnsi="Times New Roman" w:cs="Times New Roman"/>
          <w:sz w:val="28"/>
          <w:szCs w:val="28"/>
          <w:lang w:val="uk-UA"/>
        </w:rPr>
        <w:t>]. "2019/02/04" [</w:t>
      </w:r>
      <w:proofErr w:type="spellStart"/>
      <w:r w:rsidRPr="00B3501A">
        <w:rPr>
          <w:rFonts w:ascii="Times New Roman" w:hAnsi="Times New Roman" w:cs="Times New Roman"/>
          <w:sz w:val="28"/>
          <w:szCs w:val="28"/>
          <w:lang w:val="uk-UA"/>
        </w:rPr>
        <w:t>PDat</w:t>
      </w:r>
      <w:proofErr w:type="spellEnd"/>
      <w:r w:rsidRPr="00B3501A">
        <w:rPr>
          <w:rFonts w:ascii="Times New Roman" w:hAnsi="Times New Roman" w:cs="Times New Roman"/>
          <w:sz w:val="28"/>
          <w:szCs w:val="28"/>
          <w:lang w:val="uk-UA"/>
        </w:rPr>
        <w:t>].</w:t>
      </w:r>
    </w:p>
    <w:p w:rsidR="00B3501A" w:rsidRDefault="00B3501A" w:rsidP="00B3501A">
      <w:pPr>
        <w:pStyle w:val="HTML"/>
        <w:ind w:firstLine="680"/>
        <w:jc w:val="both"/>
        <w:rPr>
          <w:rFonts w:ascii="Times New Roman" w:hAnsi="Times New Roman" w:cs="Times New Roman"/>
          <w:sz w:val="28"/>
          <w:szCs w:val="28"/>
          <w:lang w:val="uk-UA"/>
        </w:rPr>
      </w:pPr>
      <w:r w:rsidRPr="00B3501A">
        <w:rPr>
          <w:rFonts w:ascii="Times New Roman" w:hAnsi="Times New Roman" w:cs="Times New Roman"/>
          <w:sz w:val="28"/>
          <w:szCs w:val="28"/>
          <w:lang w:val="uk-UA"/>
        </w:rPr>
        <w:t>Біологічний маркер - це характеристика (біологічн</w:t>
      </w:r>
      <w:r w:rsidR="00855848">
        <w:rPr>
          <w:rFonts w:ascii="Times New Roman" w:hAnsi="Times New Roman" w:cs="Times New Roman"/>
          <w:sz w:val="28"/>
          <w:szCs w:val="28"/>
          <w:lang w:val="uk-UA"/>
        </w:rPr>
        <w:t>а</w:t>
      </w:r>
      <w:r w:rsidRPr="00B3501A">
        <w:rPr>
          <w:rFonts w:ascii="Times New Roman" w:hAnsi="Times New Roman" w:cs="Times New Roman"/>
          <w:sz w:val="28"/>
          <w:szCs w:val="28"/>
          <w:lang w:val="uk-UA"/>
        </w:rPr>
        <w:t xml:space="preserve"> ознака), яка може використовуватися як індикатор фізіологічних і патофізіологічних процесів, а також ефективності лікування захворювання [22]. Виділяють три види </w:t>
      </w:r>
      <w:proofErr w:type="spellStart"/>
      <w:r w:rsidRPr="00B3501A">
        <w:rPr>
          <w:rFonts w:ascii="Times New Roman" w:hAnsi="Times New Roman" w:cs="Times New Roman"/>
          <w:sz w:val="28"/>
          <w:szCs w:val="28"/>
          <w:lang w:val="uk-UA"/>
        </w:rPr>
        <w:t>біомаркерів</w:t>
      </w:r>
      <w:proofErr w:type="spellEnd"/>
      <w:r w:rsidRPr="00B3501A">
        <w:rPr>
          <w:rFonts w:ascii="Times New Roman" w:hAnsi="Times New Roman" w:cs="Times New Roman"/>
          <w:sz w:val="28"/>
          <w:szCs w:val="28"/>
          <w:lang w:val="uk-UA"/>
        </w:rPr>
        <w:t xml:space="preserve">: діагностичні, прогностичні і </w:t>
      </w:r>
      <w:r w:rsidR="00855848" w:rsidRPr="000346AC">
        <w:rPr>
          <w:rFonts w:ascii="Times New Roman" w:hAnsi="Times New Roman" w:cs="Times New Roman"/>
          <w:sz w:val="28"/>
          <w:szCs w:val="28"/>
          <w:lang w:val="uk-UA"/>
        </w:rPr>
        <w:t>предиктивн</w:t>
      </w:r>
      <w:r w:rsidR="00855848">
        <w:rPr>
          <w:rFonts w:ascii="Times New Roman" w:hAnsi="Times New Roman" w:cs="Times New Roman"/>
          <w:sz w:val="28"/>
          <w:szCs w:val="28"/>
          <w:lang w:val="uk-UA"/>
        </w:rPr>
        <w:t>і</w:t>
      </w:r>
      <w:r w:rsidRPr="00B3501A">
        <w:rPr>
          <w:rFonts w:ascii="Times New Roman" w:hAnsi="Times New Roman" w:cs="Times New Roman"/>
          <w:sz w:val="28"/>
          <w:szCs w:val="28"/>
          <w:lang w:val="uk-UA"/>
        </w:rPr>
        <w:t xml:space="preserve"> (рис. 1) [22]. </w:t>
      </w:r>
      <w:proofErr w:type="spellStart"/>
      <w:r w:rsidRPr="00B3501A">
        <w:rPr>
          <w:rFonts w:ascii="Times New Roman" w:hAnsi="Times New Roman" w:cs="Times New Roman"/>
          <w:sz w:val="28"/>
          <w:szCs w:val="28"/>
          <w:lang w:val="uk-UA"/>
        </w:rPr>
        <w:t>Біомаркер</w:t>
      </w:r>
      <w:proofErr w:type="spellEnd"/>
      <w:r w:rsidRPr="00B3501A">
        <w:rPr>
          <w:rFonts w:ascii="Times New Roman" w:hAnsi="Times New Roman" w:cs="Times New Roman"/>
          <w:sz w:val="28"/>
          <w:szCs w:val="28"/>
          <w:lang w:val="uk-UA"/>
        </w:rPr>
        <w:t xml:space="preserve"> </w:t>
      </w:r>
      <w:proofErr w:type="spellStart"/>
      <w:r w:rsidRPr="00B3501A">
        <w:rPr>
          <w:rFonts w:ascii="Times New Roman" w:hAnsi="Times New Roman" w:cs="Times New Roman"/>
          <w:sz w:val="28"/>
          <w:szCs w:val="28"/>
          <w:lang w:val="uk-UA"/>
        </w:rPr>
        <w:t>рідко</w:t>
      </w:r>
      <w:proofErr w:type="spellEnd"/>
      <w:r w:rsidRPr="00B3501A">
        <w:rPr>
          <w:rFonts w:ascii="Times New Roman" w:hAnsi="Times New Roman" w:cs="Times New Roman"/>
          <w:sz w:val="28"/>
          <w:szCs w:val="28"/>
          <w:lang w:val="uk-UA"/>
        </w:rPr>
        <w:t xml:space="preserve"> належить тільки одній категорії, і багато хто з них можуть мати кілька функцій. Крім цього, </w:t>
      </w:r>
      <w:proofErr w:type="spellStart"/>
      <w:r w:rsidRPr="00B3501A">
        <w:rPr>
          <w:rFonts w:ascii="Times New Roman" w:hAnsi="Times New Roman" w:cs="Times New Roman"/>
          <w:sz w:val="28"/>
          <w:szCs w:val="28"/>
          <w:lang w:val="uk-UA"/>
        </w:rPr>
        <w:t>біомаркери</w:t>
      </w:r>
      <w:proofErr w:type="spellEnd"/>
      <w:r w:rsidRPr="00B3501A">
        <w:rPr>
          <w:rFonts w:ascii="Times New Roman" w:hAnsi="Times New Roman" w:cs="Times New Roman"/>
          <w:sz w:val="28"/>
          <w:szCs w:val="28"/>
          <w:lang w:val="uk-UA"/>
        </w:rPr>
        <w:t xml:space="preserve"> слід розглядати разом з факторами ризику того чи іншого захворювання [17].</w:t>
      </w:r>
    </w:p>
    <w:p w:rsidR="00F666CB" w:rsidRDefault="00F666CB" w:rsidP="00B3501A">
      <w:pPr>
        <w:pStyle w:val="HTML"/>
        <w:ind w:firstLine="680"/>
        <w:jc w:val="both"/>
        <w:rPr>
          <w:rFonts w:ascii="Times New Roman" w:hAnsi="Times New Roman" w:cs="Times New Roman"/>
          <w:sz w:val="28"/>
          <w:szCs w:val="28"/>
          <w:lang w:val="uk-UA"/>
        </w:rPr>
      </w:pPr>
    </w:p>
    <w:p w:rsidR="00964BD2" w:rsidRPr="00F666CB" w:rsidRDefault="00F666CB" w:rsidP="00ED37EC">
      <w:pPr>
        <w:spacing w:after="0" w:line="240" w:lineRule="auto"/>
        <w:jc w:val="center"/>
        <w:rPr>
          <w:rFonts w:ascii="Times New Roman" w:hAnsi="Times New Roman" w:cs="Times New Roman"/>
          <w:sz w:val="28"/>
          <w:szCs w:val="28"/>
        </w:rPr>
      </w:pPr>
      <w:r w:rsidRPr="00F666CB">
        <w:rPr>
          <w:rFonts w:ascii="Times New Roman" w:hAnsi="Times New Roman" w:cs="Times New Roman"/>
          <w:noProof/>
          <w:sz w:val="28"/>
          <w:szCs w:val="28"/>
        </w:rPr>
        <w:drawing>
          <wp:inline distT="0" distB="0" distL="0" distR="0">
            <wp:extent cx="3226328" cy="2964873"/>
            <wp:effectExtent l="0" t="0" r="0" b="0"/>
            <wp:docPr id="1" name="Рисунок 1" descr="D:\Lina\Dissertacia\Gubergrits\Вестник Клуба панкреатологов\2020\Февраль 2020\Рисунки-укр\Рис._4_U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na\Dissertacia\Gubergrits\Вестник Клуба панкреатологов\2020\Февраль 2020\Рисунки-укр\Рис._4_UK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425" cy="2989775"/>
                    </a:xfrm>
                    <a:prstGeom prst="rect">
                      <a:avLst/>
                    </a:prstGeom>
                    <a:noFill/>
                    <a:ln>
                      <a:noFill/>
                    </a:ln>
                  </pic:spPr>
                </pic:pic>
              </a:graphicData>
            </a:graphic>
          </wp:inline>
        </w:drawing>
      </w:r>
    </w:p>
    <w:p w:rsidR="00F857D2" w:rsidRPr="00F666CB" w:rsidRDefault="00ED37EC" w:rsidP="00F857D2">
      <w:pPr>
        <w:spacing w:after="0" w:line="240" w:lineRule="auto"/>
        <w:ind w:firstLine="567"/>
        <w:jc w:val="both"/>
        <w:rPr>
          <w:lang w:val="uk-UA"/>
        </w:rPr>
      </w:pPr>
      <w:r w:rsidRPr="00F666CB">
        <w:rPr>
          <w:rFonts w:ascii="Times New Roman" w:hAnsi="Times New Roman" w:cs="Times New Roman"/>
          <w:sz w:val="28"/>
          <w:szCs w:val="28"/>
          <w:lang w:val="uk-UA"/>
        </w:rPr>
        <w:t>Рис.</w:t>
      </w:r>
      <w:r w:rsidR="00964BD2" w:rsidRPr="00F666CB">
        <w:rPr>
          <w:rFonts w:ascii="Times New Roman" w:hAnsi="Times New Roman" w:cs="Times New Roman"/>
          <w:sz w:val="28"/>
          <w:szCs w:val="28"/>
          <w:lang w:val="uk-UA"/>
        </w:rPr>
        <w:t xml:space="preserve"> 1.</w:t>
      </w:r>
      <w:r w:rsidR="00F52EB2" w:rsidRPr="00F666CB">
        <w:rPr>
          <w:rFonts w:ascii="Times New Roman" w:hAnsi="Times New Roman" w:cs="Times New Roman"/>
          <w:sz w:val="28"/>
          <w:szCs w:val="28"/>
          <w:lang w:val="uk-UA"/>
        </w:rPr>
        <w:t xml:space="preserve"> </w:t>
      </w:r>
      <w:r w:rsidR="00964BD2" w:rsidRPr="00F666CB">
        <w:rPr>
          <w:rFonts w:ascii="Times New Roman" w:hAnsi="Times New Roman" w:cs="Times New Roman"/>
          <w:sz w:val="28"/>
          <w:szCs w:val="28"/>
          <w:lang w:val="uk-UA"/>
        </w:rPr>
        <w:t>Вза</w:t>
      </w:r>
      <w:r w:rsidR="00855848" w:rsidRPr="00F666CB">
        <w:rPr>
          <w:rFonts w:ascii="Times New Roman" w:hAnsi="Times New Roman" w:cs="Times New Roman"/>
          <w:sz w:val="28"/>
          <w:szCs w:val="28"/>
          <w:lang w:val="uk-UA"/>
        </w:rPr>
        <w:t>ємозв’язок</w:t>
      </w:r>
      <w:r w:rsidR="00964BD2" w:rsidRPr="00F666CB">
        <w:rPr>
          <w:rFonts w:ascii="Times New Roman" w:hAnsi="Times New Roman" w:cs="Times New Roman"/>
          <w:sz w:val="28"/>
          <w:szCs w:val="28"/>
          <w:lang w:val="uk-UA"/>
        </w:rPr>
        <w:t xml:space="preserve"> м</w:t>
      </w:r>
      <w:r w:rsidR="00855848" w:rsidRPr="00F666CB">
        <w:rPr>
          <w:rFonts w:ascii="Times New Roman" w:hAnsi="Times New Roman" w:cs="Times New Roman"/>
          <w:sz w:val="28"/>
          <w:szCs w:val="28"/>
          <w:lang w:val="uk-UA"/>
        </w:rPr>
        <w:t xml:space="preserve">іж </w:t>
      </w:r>
      <w:r w:rsidR="00964BD2" w:rsidRPr="00F666CB">
        <w:rPr>
          <w:rFonts w:ascii="Times New Roman" w:hAnsi="Times New Roman" w:cs="Times New Roman"/>
          <w:sz w:val="28"/>
          <w:szCs w:val="28"/>
          <w:lang w:val="uk-UA"/>
        </w:rPr>
        <w:t>д</w:t>
      </w:r>
      <w:r w:rsidR="00855848" w:rsidRPr="00F666CB">
        <w:rPr>
          <w:rFonts w:ascii="Times New Roman" w:hAnsi="Times New Roman" w:cs="Times New Roman"/>
          <w:sz w:val="28"/>
          <w:szCs w:val="28"/>
          <w:lang w:val="uk-UA"/>
        </w:rPr>
        <w:t>і</w:t>
      </w:r>
      <w:r w:rsidR="00964BD2" w:rsidRPr="00F666CB">
        <w:rPr>
          <w:rFonts w:ascii="Times New Roman" w:hAnsi="Times New Roman" w:cs="Times New Roman"/>
          <w:sz w:val="28"/>
          <w:szCs w:val="28"/>
          <w:lang w:val="uk-UA"/>
        </w:rPr>
        <w:t>агностич</w:t>
      </w:r>
      <w:r w:rsidR="00855848" w:rsidRPr="00F666CB">
        <w:rPr>
          <w:rFonts w:ascii="Times New Roman" w:hAnsi="Times New Roman" w:cs="Times New Roman"/>
          <w:sz w:val="28"/>
          <w:szCs w:val="28"/>
          <w:lang w:val="uk-UA"/>
        </w:rPr>
        <w:t>н</w:t>
      </w:r>
      <w:r w:rsidR="00964BD2" w:rsidRPr="00F666CB">
        <w:rPr>
          <w:rFonts w:ascii="Times New Roman" w:hAnsi="Times New Roman" w:cs="Times New Roman"/>
          <w:sz w:val="28"/>
          <w:szCs w:val="28"/>
          <w:lang w:val="uk-UA"/>
        </w:rPr>
        <w:t>ими, прогностич</w:t>
      </w:r>
      <w:r w:rsidR="00855848" w:rsidRPr="00F666CB">
        <w:rPr>
          <w:rFonts w:ascii="Times New Roman" w:hAnsi="Times New Roman" w:cs="Times New Roman"/>
          <w:sz w:val="28"/>
          <w:szCs w:val="28"/>
          <w:lang w:val="uk-UA"/>
        </w:rPr>
        <w:t>н</w:t>
      </w:r>
      <w:r w:rsidR="00964BD2" w:rsidRPr="00F666CB">
        <w:rPr>
          <w:rFonts w:ascii="Times New Roman" w:hAnsi="Times New Roman" w:cs="Times New Roman"/>
          <w:sz w:val="28"/>
          <w:szCs w:val="28"/>
          <w:lang w:val="uk-UA"/>
        </w:rPr>
        <w:t xml:space="preserve">ими, </w:t>
      </w:r>
      <w:proofErr w:type="spellStart"/>
      <w:r w:rsidR="00964BD2" w:rsidRPr="00F666CB">
        <w:rPr>
          <w:rFonts w:ascii="Times New Roman" w:hAnsi="Times New Roman" w:cs="Times New Roman"/>
          <w:sz w:val="28"/>
          <w:szCs w:val="28"/>
          <w:lang w:val="uk-UA"/>
        </w:rPr>
        <w:t>предиктивн</w:t>
      </w:r>
      <w:r w:rsidR="00855848" w:rsidRPr="00F666CB">
        <w:rPr>
          <w:rFonts w:ascii="Times New Roman" w:hAnsi="Times New Roman" w:cs="Times New Roman"/>
          <w:sz w:val="28"/>
          <w:szCs w:val="28"/>
          <w:lang w:val="uk-UA"/>
        </w:rPr>
        <w:t>и</w:t>
      </w:r>
      <w:r w:rsidR="00964BD2" w:rsidRPr="00F666CB">
        <w:rPr>
          <w:rFonts w:ascii="Times New Roman" w:hAnsi="Times New Roman" w:cs="Times New Roman"/>
          <w:sz w:val="28"/>
          <w:szCs w:val="28"/>
          <w:lang w:val="uk-UA"/>
        </w:rPr>
        <w:t>ми</w:t>
      </w:r>
      <w:proofErr w:type="spellEnd"/>
      <w:r w:rsidR="00964BD2" w:rsidRPr="00F666CB">
        <w:rPr>
          <w:rFonts w:ascii="Times New Roman" w:hAnsi="Times New Roman" w:cs="Times New Roman"/>
          <w:sz w:val="28"/>
          <w:szCs w:val="28"/>
          <w:lang w:val="uk-UA"/>
        </w:rPr>
        <w:t xml:space="preserve"> маркерами </w:t>
      </w:r>
      <w:r w:rsidR="00855848" w:rsidRPr="00F666CB">
        <w:rPr>
          <w:rFonts w:ascii="Times New Roman" w:hAnsi="Times New Roman" w:cs="Times New Roman"/>
          <w:sz w:val="28"/>
          <w:szCs w:val="28"/>
          <w:lang w:val="uk-UA"/>
        </w:rPr>
        <w:t xml:space="preserve">та </w:t>
      </w:r>
      <w:r w:rsidR="00964BD2" w:rsidRPr="00F666CB">
        <w:rPr>
          <w:rFonts w:ascii="Times New Roman" w:hAnsi="Times New Roman" w:cs="Times New Roman"/>
          <w:sz w:val="28"/>
          <w:szCs w:val="28"/>
          <w:lang w:val="uk-UA"/>
        </w:rPr>
        <w:t>факторами ри</w:t>
      </w:r>
      <w:r w:rsidR="00855848" w:rsidRPr="00F666CB">
        <w:rPr>
          <w:rFonts w:ascii="Times New Roman" w:hAnsi="Times New Roman" w:cs="Times New Roman"/>
          <w:sz w:val="28"/>
          <w:szCs w:val="28"/>
          <w:lang w:val="uk-UA"/>
        </w:rPr>
        <w:t>зику</w:t>
      </w:r>
      <w:r w:rsidR="00884A87" w:rsidRPr="00F666CB">
        <w:rPr>
          <w:rFonts w:ascii="Times New Roman" w:hAnsi="Times New Roman" w:cs="Times New Roman"/>
          <w:sz w:val="28"/>
          <w:szCs w:val="28"/>
          <w:lang w:val="uk-UA"/>
        </w:rPr>
        <w:t xml:space="preserve"> </w:t>
      </w:r>
      <w:r w:rsidR="00855848" w:rsidRPr="00F666CB">
        <w:rPr>
          <w:rFonts w:ascii="Times New Roman" w:hAnsi="Times New Roman" w:cs="Times New Roman"/>
          <w:sz w:val="28"/>
          <w:szCs w:val="28"/>
          <w:lang w:val="uk-UA"/>
        </w:rPr>
        <w:t>пухлинн</w:t>
      </w:r>
      <w:r w:rsidR="00434473" w:rsidRPr="00F666CB">
        <w:rPr>
          <w:rFonts w:ascii="Times New Roman" w:hAnsi="Times New Roman" w:cs="Times New Roman"/>
          <w:sz w:val="28"/>
          <w:szCs w:val="28"/>
          <w:lang w:val="uk-UA"/>
        </w:rPr>
        <w:t>ого за</w:t>
      </w:r>
      <w:r w:rsidR="00855848" w:rsidRPr="00F666CB">
        <w:rPr>
          <w:rFonts w:ascii="Times New Roman" w:hAnsi="Times New Roman" w:cs="Times New Roman"/>
          <w:sz w:val="28"/>
          <w:szCs w:val="28"/>
          <w:lang w:val="uk-UA"/>
        </w:rPr>
        <w:t>хворюванн</w:t>
      </w:r>
      <w:r w:rsidR="00434473" w:rsidRPr="00F666CB">
        <w:rPr>
          <w:rFonts w:ascii="Times New Roman" w:hAnsi="Times New Roman" w:cs="Times New Roman"/>
          <w:sz w:val="28"/>
          <w:szCs w:val="28"/>
          <w:lang w:val="uk-UA"/>
        </w:rPr>
        <w:t>я</w:t>
      </w:r>
      <w:r w:rsidR="00F52EB2" w:rsidRPr="00F666CB">
        <w:rPr>
          <w:rFonts w:ascii="Times New Roman" w:hAnsi="Times New Roman" w:cs="Times New Roman"/>
          <w:sz w:val="28"/>
          <w:szCs w:val="28"/>
          <w:lang w:val="uk-UA"/>
        </w:rPr>
        <w:t xml:space="preserve"> </w:t>
      </w:r>
      <w:r w:rsidR="00152155" w:rsidRPr="00F666CB">
        <w:rPr>
          <w:rFonts w:ascii="Times New Roman" w:hAnsi="Times New Roman" w:cs="Times New Roman"/>
          <w:sz w:val="28"/>
          <w:szCs w:val="28"/>
          <w:lang w:val="uk-UA"/>
        </w:rPr>
        <w:t>[</w:t>
      </w:r>
      <w:r w:rsidR="00C637E7" w:rsidRPr="00F666CB">
        <w:rPr>
          <w:rFonts w:ascii="Times New Roman" w:hAnsi="Times New Roman" w:cs="Times New Roman"/>
          <w:sz w:val="28"/>
          <w:szCs w:val="28"/>
          <w:lang w:val="uk-UA"/>
        </w:rPr>
        <w:fldChar w:fldCharType="begin"/>
      </w:r>
      <w:r w:rsidR="00C637E7" w:rsidRPr="00F666CB">
        <w:rPr>
          <w:rFonts w:ascii="Times New Roman" w:hAnsi="Times New Roman" w:cs="Times New Roman"/>
          <w:sz w:val="28"/>
          <w:szCs w:val="28"/>
          <w:lang w:val="uk-UA"/>
        </w:rPr>
        <w:instrText xml:space="preserve"> REF _Ref24052956 \r \h </w:instrText>
      </w:r>
      <w:r w:rsidR="00587927" w:rsidRPr="00F666CB">
        <w:rPr>
          <w:rFonts w:ascii="Times New Roman" w:hAnsi="Times New Roman" w:cs="Times New Roman"/>
          <w:sz w:val="28"/>
          <w:szCs w:val="28"/>
          <w:lang w:val="uk-UA"/>
        </w:rPr>
        <w:instrText xml:space="preserve"> \* MERGEFORMAT </w:instrText>
      </w:r>
      <w:r w:rsidR="00C637E7" w:rsidRPr="00F666CB">
        <w:rPr>
          <w:rFonts w:ascii="Times New Roman" w:hAnsi="Times New Roman" w:cs="Times New Roman"/>
          <w:sz w:val="28"/>
          <w:szCs w:val="28"/>
          <w:lang w:val="uk-UA"/>
        </w:rPr>
      </w:r>
      <w:r w:rsidR="00C637E7" w:rsidRPr="00F666CB">
        <w:rPr>
          <w:rFonts w:ascii="Times New Roman" w:hAnsi="Times New Roman" w:cs="Times New Roman"/>
          <w:sz w:val="28"/>
          <w:szCs w:val="28"/>
          <w:lang w:val="uk-UA"/>
        </w:rPr>
        <w:fldChar w:fldCharType="separate"/>
      </w:r>
      <w:r w:rsidR="00C637E7" w:rsidRPr="00F666CB">
        <w:rPr>
          <w:rFonts w:ascii="Times New Roman" w:hAnsi="Times New Roman" w:cs="Times New Roman"/>
          <w:sz w:val="28"/>
          <w:szCs w:val="28"/>
          <w:lang w:val="uk-UA"/>
        </w:rPr>
        <w:t>22</w:t>
      </w:r>
      <w:r w:rsidR="00C637E7" w:rsidRPr="00F666CB">
        <w:rPr>
          <w:rFonts w:ascii="Times New Roman" w:hAnsi="Times New Roman" w:cs="Times New Roman"/>
          <w:sz w:val="28"/>
          <w:szCs w:val="28"/>
          <w:lang w:val="uk-UA"/>
        </w:rPr>
        <w:fldChar w:fldCharType="end"/>
      </w:r>
      <w:r w:rsidR="00152155" w:rsidRPr="00F666CB">
        <w:rPr>
          <w:rFonts w:ascii="Times New Roman" w:hAnsi="Times New Roman" w:cs="Times New Roman"/>
          <w:sz w:val="28"/>
          <w:szCs w:val="28"/>
          <w:lang w:val="uk-UA"/>
        </w:rPr>
        <w:t>]</w:t>
      </w:r>
      <w:r w:rsidR="008B71F5" w:rsidRPr="00F666CB">
        <w:rPr>
          <w:rFonts w:ascii="Times New Roman" w:hAnsi="Times New Roman" w:cs="Times New Roman"/>
          <w:sz w:val="28"/>
          <w:szCs w:val="28"/>
          <w:lang w:val="uk-UA"/>
        </w:rPr>
        <w:t>.</w:t>
      </w:r>
    </w:p>
    <w:p w:rsidR="00964BD2" w:rsidRPr="00FA7218" w:rsidRDefault="00F857D2" w:rsidP="00FA7218">
      <w:pPr>
        <w:spacing w:after="0" w:line="240" w:lineRule="auto"/>
        <w:ind w:firstLine="709"/>
        <w:jc w:val="both"/>
        <w:rPr>
          <w:rFonts w:ascii="Times New Roman" w:hAnsi="Times New Roman" w:cs="Times New Roman"/>
          <w:sz w:val="28"/>
          <w:szCs w:val="28"/>
          <w:lang w:val="uk-UA"/>
        </w:rPr>
      </w:pPr>
      <w:r w:rsidRPr="00F857D2">
        <w:rPr>
          <w:rFonts w:ascii="Times New Roman" w:hAnsi="Times New Roman" w:cs="Times New Roman"/>
          <w:sz w:val="28"/>
          <w:szCs w:val="28"/>
          <w:lang w:val="uk-UA"/>
        </w:rPr>
        <w:t xml:space="preserve"> </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 xml:space="preserve">Діагностичним </w:t>
      </w:r>
      <w:proofErr w:type="spellStart"/>
      <w:r w:rsidRPr="00FA7218">
        <w:rPr>
          <w:rFonts w:ascii="Times New Roman" w:hAnsi="Times New Roman" w:cs="Times New Roman"/>
          <w:sz w:val="28"/>
          <w:szCs w:val="28"/>
          <w:lang w:val="uk-UA"/>
        </w:rPr>
        <w:t>б</w:t>
      </w:r>
      <w:r w:rsidR="00FA7218">
        <w:rPr>
          <w:rFonts w:ascii="Times New Roman" w:hAnsi="Times New Roman" w:cs="Times New Roman"/>
          <w:sz w:val="28"/>
          <w:szCs w:val="28"/>
          <w:lang w:val="uk-UA"/>
        </w:rPr>
        <w:t>і</w:t>
      </w:r>
      <w:r w:rsidRPr="00FA7218">
        <w:rPr>
          <w:rFonts w:ascii="Times New Roman" w:hAnsi="Times New Roman" w:cs="Times New Roman"/>
          <w:sz w:val="28"/>
          <w:szCs w:val="28"/>
          <w:lang w:val="uk-UA"/>
        </w:rPr>
        <w:t>омаркером</w:t>
      </w:r>
      <w:proofErr w:type="spellEnd"/>
      <w:r w:rsidRPr="00FA7218">
        <w:rPr>
          <w:rFonts w:ascii="Times New Roman" w:hAnsi="Times New Roman" w:cs="Times New Roman"/>
          <w:sz w:val="28"/>
          <w:szCs w:val="28"/>
          <w:lang w:val="uk-UA"/>
        </w:rPr>
        <w:t xml:space="preserve"> називають такий біологічний маркер, який дозволяє діагностувати те чи інше </w:t>
      </w:r>
      <w:proofErr w:type="spellStart"/>
      <w:r w:rsidRPr="00FA7218">
        <w:rPr>
          <w:rFonts w:ascii="Times New Roman" w:hAnsi="Times New Roman" w:cs="Times New Roman"/>
          <w:sz w:val="28"/>
          <w:szCs w:val="28"/>
          <w:lang w:val="uk-UA"/>
        </w:rPr>
        <w:t>онкозахворювання</w:t>
      </w:r>
      <w:proofErr w:type="spellEnd"/>
      <w:r w:rsidRPr="00FA7218">
        <w:rPr>
          <w:rFonts w:ascii="Times New Roman" w:hAnsi="Times New Roman" w:cs="Times New Roman"/>
          <w:sz w:val="28"/>
          <w:szCs w:val="28"/>
          <w:lang w:val="uk-UA"/>
        </w:rPr>
        <w:t xml:space="preserve"> [22]. В ідеалі діагностичний маркер повинен бути </w:t>
      </w:r>
      <w:proofErr w:type="spellStart"/>
      <w:r w:rsidRPr="00FA7218">
        <w:rPr>
          <w:rFonts w:ascii="Times New Roman" w:hAnsi="Times New Roman" w:cs="Times New Roman"/>
          <w:sz w:val="28"/>
          <w:szCs w:val="28"/>
          <w:lang w:val="uk-UA"/>
        </w:rPr>
        <w:t>неінвазивним</w:t>
      </w:r>
      <w:proofErr w:type="spellEnd"/>
      <w:r w:rsidRPr="00FA7218">
        <w:rPr>
          <w:rFonts w:ascii="Times New Roman" w:hAnsi="Times New Roman" w:cs="Times New Roman"/>
          <w:sz w:val="28"/>
          <w:szCs w:val="28"/>
          <w:lang w:val="uk-UA"/>
        </w:rPr>
        <w:t>, дешевим і ефективним. Прогностичний маркер дає інформацію про ймовірн</w:t>
      </w:r>
      <w:r w:rsidR="00FA7218">
        <w:rPr>
          <w:rFonts w:ascii="Times New Roman" w:hAnsi="Times New Roman" w:cs="Times New Roman"/>
          <w:sz w:val="28"/>
          <w:szCs w:val="28"/>
          <w:lang w:val="uk-UA"/>
        </w:rPr>
        <w:t>ий</w:t>
      </w:r>
      <w:r w:rsidRPr="00FA7218">
        <w:rPr>
          <w:rFonts w:ascii="Times New Roman" w:hAnsi="Times New Roman" w:cs="Times New Roman"/>
          <w:sz w:val="28"/>
          <w:szCs w:val="28"/>
          <w:lang w:val="uk-UA"/>
        </w:rPr>
        <w:t xml:space="preserve"> перебіг захворювання. </w:t>
      </w:r>
      <w:proofErr w:type="spellStart"/>
      <w:r w:rsidR="00FA7218" w:rsidRPr="000346AC">
        <w:rPr>
          <w:rFonts w:ascii="Times New Roman" w:hAnsi="Times New Roman" w:cs="Times New Roman"/>
          <w:sz w:val="28"/>
          <w:szCs w:val="28"/>
          <w:lang w:val="uk-UA"/>
        </w:rPr>
        <w:t>Предиктивн</w:t>
      </w:r>
      <w:r w:rsidR="00FA7218">
        <w:rPr>
          <w:rFonts w:ascii="Times New Roman" w:hAnsi="Times New Roman" w:cs="Times New Roman"/>
          <w:sz w:val="28"/>
          <w:szCs w:val="28"/>
          <w:lang w:val="uk-UA"/>
        </w:rPr>
        <w:t>и</w:t>
      </w:r>
      <w:r w:rsidR="00FA7218" w:rsidRPr="000346AC">
        <w:rPr>
          <w:rFonts w:ascii="Times New Roman" w:hAnsi="Times New Roman" w:cs="Times New Roman"/>
          <w:sz w:val="28"/>
          <w:szCs w:val="28"/>
          <w:lang w:val="uk-UA"/>
        </w:rPr>
        <w:t>й</w:t>
      </w:r>
      <w:proofErr w:type="spellEnd"/>
      <w:r w:rsidRPr="00FA7218">
        <w:rPr>
          <w:rFonts w:ascii="Times New Roman" w:hAnsi="Times New Roman" w:cs="Times New Roman"/>
          <w:sz w:val="28"/>
          <w:szCs w:val="28"/>
          <w:lang w:val="uk-UA"/>
        </w:rPr>
        <w:t xml:space="preserve"> маркер дозволяє передбачити клінічний ефект терапії, тривалість </w:t>
      </w:r>
      <w:proofErr w:type="spellStart"/>
      <w:r w:rsidRPr="00FA7218">
        <w:rPr>
          <w:rFonts w:ascii="Times New Roman" w:hAnsi="Times New Roman" w:cs="Times New Roman"/>
          <w:sz w:val="28"/>
          <w:szCs w:val="28"/>
          <w:lang w:val="uk-UA"/>
        </w:rPr>
        <w:t>безрецидивного</w:t>
      </w:r>
      <w:proofErr w:type="spellEnd"/>
      <w:r w:rsidRPr="00FA7218">
        <w:rPr>
          <w:rFonts w:ascii="Times New Roman" w:hAnsi="Times New Roman" w:cs="Times New Roman"/>
          <w:sz w:val="28"/>
          <w:szCs w:val="28"/>
          <w:lang w:val="uk-UA"/>
        </w:rPr>
        <w:t xml:space="preserve"> періоду і виживан</w:t>
      </w:r>
      <w:r w:rsidR="00FA7218">
        <w:rPr>
          <w:rFonts w:ascii="Times New Roman" w:hAnsi="Times New Roman" w:cs="Times New Roman"/>
          <w:sz w:val="28"/>
          <w:szCs w:val="28"/>
          <w:lang w:val="uk-UA"/>
        </w:rPr>
        <w:t>ня</w:t>
      </w:r>
      <w:r w:rsidRPr="00FA7218">
        <w:rPr>
          <w:rFonts w:ascii="Times New Roman" w:hAnsi="Times New Roman" w:cs="Times New Roman"/>
          <w:sz w:val="28"/>
          <w:szCs w:val="28"/>
          <w:lang w:val="uk-UA"/>
        </w:rPr>
        <w:t xml:space="preserve"> при раку тієї чи іншої локалізації [22]. Для диференціальної діагностики ХП та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використовуються діагностичні </w:t>
      </w:r>
      <w:proofErr w:type="spellStart"/>
      <w:r w:rsidRPr="00FA7218">
        <w:rPr>
          <w:rFonts w:ascii="Times New Roman" w:hAnsi="Times New Roman" w:cs="Times New Roman"/>
          <w:sz w:val="28"/>
          <w:szCs w:val="28"/>
          <w:lang w:val="uk-UA"/>
        </w:rPr>
        <w:t>біомаркери</w:t>
      </w:r>
      <w:proofErr w:type="spellEnd"/>
      <w:r w:rsidRPr="00FA7218">
        <w:rPr>
          <w:rFonts w:ascii="Times New Roman" w:hAnsi="Times New Roman" w:cs="Times New Roman"/>
          <w:sz w:val="28"/>
          <w:szCs w:val="28"/>
          <w:lang w:val="uk-UA"/>
        </w:rPr>
        <w:t xml:space="preserve">. Разом з факторами ризику розвитку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саме діагностичні </w:t>
      </w:r>
      <w:proofErr w:type="spellStart"/>
      <w:r w:rsidRPr="00FA7218">
        <w:rPr>
          <w:rFonts w:ascii="Times New Roman" w:hAnsi="Times New Roman" w:cs="Times New Roman"/>
          <w:sz w:val="28"/>
          <w:szCs w:val="28"/>
          <w:lang w:val="uk-UA"/>
        </w:rPr>
        <w:t>біомаркери</w:t>
      </w:r>
      <w:proofErr w:type="spellEnd"/>
      <w:r w:rsidRPr="00FA7218">
        <w:rPr>
          <w:rFonts w:ascii="Times New Roman" w:hAnsi="Times New Roman" w:cs="Times New Roman"/>
          <w:sz w:val="28"/>
          <w:szCs w:val="28"/>
          <w:lang w:val="uk-UA"/>
        </w:rPr>
        <w:t xml:space="preserve">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отримали відображення в нашій статті.</w:t>
      </w:r>
    </w:p>
    <w:p w:rsidR="00855848" w:rsidRPr="00092D3A" w:rsidRDefault="00855848" w:rsidP="00FA7218">
      <w:pPr>
        <w:spacing w:after="0" w:line="240" w:lineRule="auto"/>
        <w:ind w:firstLine="709"/>
        <w:jc w:val="both"/>
        <w:rPr>
          <w:rFonts w:ascii="Times New Roman" w:hAnsi="Times New Roman" w:cs="Times New Roman"/>
          <w:b/>
          <w:sz w:val="28"/>
          <w:szCs w:val="28"/>
          <w:lang w:val="uk-UA"/>
        </w:rPr>
      </w:pPr>
      <w:r w:rsidRPr="00092D3A">
        <w:rPr>
          <w:rFonts w:ascii="Times New Roman" w:hAnsi="Times New Roman" w:cs="Times New Roman"/>
          <w:b/>
          <w:sz w:val="28"/>
          <w:szCs w:val="28"/>
          <w:lang w:val="uk-UA"/>
        </w:rPr>
        <w:lastRenderedPageBreak/>
        <w:t xml:space="preserve">Неспадкові фактори ризику </w:t>
      </w:r>
      <w:r w:rsidR="00311891" w:rsidRPr="00092D3A">
        <w:rPr>
          <w:rFonts w:ascii="Times New Roman" w:hAnsi="Times New Roman" w:cs="Times New Roman"/>
          <w:b/>
          <w:sz w:val="28"/>
          <w:szCs w:val="28"/>
          <w:lang w:val="uk-UA"/>
        </w:rPr>
        <w:t>РПЗ</w:t>
      </w:r>
    </w:p>
    <w:p w:rsidR="00855848" w:rsidRPr="00092D3A" w:rsidRDefault="00855848" w:rsidP="00FA7218">
      <w:pPr>
        <w:spacing w:after="0" w:line="240" w:lineRule="auto"/>
        <w:ind w:firstLine="709"/>
        <w:jc w:val="both"/>
        <w:rPr>
          <w:rFonts w:ascii="Times New Roman" w:hAnsi="Times New Roman" w:cs="Times New Roman"/>
          <w:sz w:val="28"/>
          <w:szCs w:val="28"/>
          <w:lang w:val="uk-UA"/>
        </w:rPr>
      </w:pPr>
      <w:r w:rsidRPr="00092D3A">
        <w:rPr>
          <w:rFonts w:ascii="Times New Roman" w:hAnsi="Times New Roman" w:cs="Times New Roman"/>
          <w:sz w:val="28"/>
          <w:szCs w:val="28"/>
          <w:lang w:val="uk-UA"/>
        </w:rPr>
        <w:t xml:space="preserve">При розгляді розвитку будь-якого захворювання важливе значення мають фактори ризику. </w:t>
      </w:r>
      <w:r w:rsidR="00311891" w:rsidRPr="00092D3A">
        <w:rPr>
          <w:rFonts w:ascii="Times New Roman" w:hAnsi="Times New Roman" w:cs="Times New Roman"/>
          <w:sz w:val="28"/>
          <w:szCs w:val="28"/>
          <w:lang w:val="uk-UA"/>
        </w:rPr>
        <w:t>РПЗ</w:t>
      </w:r>
      <w:r w:rsidRPr="00092D3A">
        <w:rPr>
          <w:rFonts w:ascii="Times New Roman" w:hAnsi="Times New Roman" w:cs="Times New Roman"/>
          <w:sz w:val="28"/>
          <w:szCs w:val="28"/>
          <w:lang w:val="uk-UA"/>
        </w:rPr>
        <w:t xml:space="preserve"> пов'язаний з декількома факторами ризику, як спадковими, так і неспадковими, і їх</w:t>
      </w:r>
      <w:r w:rsidR="00FA7218" w:rsidRPr="00092D3A">
        <w:rPr>
          <w:rFonts w:ascii="Times New Roman" w:hAnsi="Times New Roman" w:cs="Times New Roman"/>
          <w:sz w:val="28"/>
          <w:szCs w:val="28"/>
          <w:lang w:val="uk-UA"/>
        </w:rPr>
        <w:t>ня</w:t>
      </w:r>
      <w:r w:rsidRPr="00092D3A">
        <w:rPr>
          <w:rFonts w:ascii="Times New Roman" w:hAnsi="Times New Roman" w:cs="Times New Roman"/>
          <w:sz w:val="28"/>
          <w:szCs w:val="28"/>
          <w:lang w:val="uk-UA"/>
        </w:rPr>
        <w:t xml:space="preserve"> характеристика може сприяти ранній діагностиці і виявленн</w:t>
      </w:r>
      <w:r w:rsidR="00FA7218" w:rsidRPr="00092D3A">
        <w:rPr>
          <w:rFonts w:ascii="Times New Roman" w:hAnsi="Times New Roman" w:cs="Times New Roman"/>
          <w:sz w:val="28"/>
          <w:szCs w:val="28"/>
          <w:lang w:val="uk-UA"/>
        </w:rPr>
        <w:t>ю</w:t>
      </w:r>
      <w:r w:rsidRPr="00092D3A">
        <w:rPr>
          <w:rFonts w:ascii="Times New Roman" w:hAnsi="Times New Roman" w:cs="Times New Roman"/>
          <w:sz w:val="28"/>
          <w:szCs w:val="28"/>
          <w:lang w:val="uk-UA"/>
        </w:rPr>
        <w:t xml:space="preserve"> нових </w:t>
      </w:r>
      <w:proofErr w:type="spellStart"/>
      <w:r w:rsidRPr="00092D3A">
        <w:rPr>
          <w:rFonts w:ascii="Times New Roman" w:hAnsi="Times New Roman" w:cs="Times New Roman"/>
          <w:sz w:val="28"/>
          <w:szCs w:val="28"/>
          <w:lang w:val="uk-UA"/>
        </w:rPr>
        <w:t>біомаркерів</w:t>
      </w:r>
      <w:proofErr w:type="spellEnd"/>
      <w:r w:rsidRPr="00092D3A">
        <w:rPr>
          <w:rFonts w:ascii="Times New Roman" w:hAnsi="Times New Roman" w:cs="Times New Roman"/>
          <w:sz w:val="28"/>
          <w:szCs w:val="28"/>
          <w:lang w:val="uk-UA"/>
        </w:rPr>
        <w:t>.</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092D3A">
        <w:rPr>
          <w:rFonts w:ascii="Times New Roman" w:hAnsi="Times New Roman" w:cs="Times New Roman"/>
          <w:sz w:val="28"/>
          <w:szCs w:val="28"/>
          <w:lang w:val="uk-UA"/>
        </w:rPr>
        <w:t xml:space="preserve">Виникнення </w:t>
      </w:r>
      <w:r w:rsidR="00311891" w:rsidRPr="00092D3A">
        <w:rPr>
          <w:rFonts w:ascii="Times New Roman" w:hAnsi="Times New Roman" w:cs="Times New Roman"/>
          <w:sz w:val="28"/>
          <w:szCs w:val="28"/>
          <w:lang w:val="uk-UA"/>
        </w:rPr>
        <w:t>РПЗ</w:t>
      </w:r>
      <w:r w:rsidRPr="00092D3A">
        <w:rPr>
          <w:rFonts w:ascii="Times New Roman" w:hAnsi="Times New Roman" w:cs="Times New Roman"/>
          <w:sz w:val="28"/>
          <w:szCs w:val="28"/>
          <w:lang w:val="uk-UA"/>
        </w:rPr>
        <w:t xml:space="preserve"> сильно залежить від віку.</w:t>
      </w:r>
      <w:r w:rsidRPr="002164A7">
        <w:rPr>
          <w:rFonts w:ascii="Times New Roman" w:hAnsi="Times New Roman" w:cs="Times New Roman"/>
          <w:color w:val="FF0000"/>
          <w:sz w:val="28"/>
          <w:szCs w:val="28"/>
          <w:lang w:val="uk-UA"/>
        </w:rPr>
        <w:t xml:space="preserve"> </w:t>
      </w:r>
      <w:r w:rsidRPr="00FA7218">
        <w:rPr>
          <w:rFonts w:ascii="Times New Roman" w:hAnsi="Times New Roman" w:cs="Times New Roman"/>
          <w:sz w:val="28"/>
          <w:szCs w:val="28"/>
          <w:lang w:val="uk-UA"/>
        </w:rPr>
        <w:t xml:space="preserve">Сучасна тенденція до старіння населення призводить до підвищення частоти розвитку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[35].</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 xml:space="preserve">Куріння є головною причиною </w:t>
      </w:r>
      <w:r w:rsidR="00311891">
        <w:rPr>
          <w:rFonts w:ascii="Times New Roman" w:hAnsi="Times New Roman" w:cs="Times New Roman"/>
          <w:sz w:val="28"/>
          <w:szCs w:val="28"/>
          <w:lang w:val="uk-UA"/>
        </w:rPr>
        <w:t>РПЗ</w:t>
      </w:r>
      <w:r w:rsidR="00FA7218">
        <w:rPr>
          <w:rFonts w:ascii="Times New Roman" w:hAnsi="Times New Roman" w:cs="Times New Roman"/>
          <w:sz w:val="28"/>
          <w:szCs w:val="28"/>
          <w:lang w:val="uk-UA"/>
        </w:rPr>
        <w:t>, якої можна запобігти,</w:t>
      </w:r>
      <w:r w:rsidRPr="00FA7218">
        <w:rPr>
          <w:rFonts w:ascii="Times New Roman" w:hAnsi="Times New Roman" w:cs="Times New Roman"/>
          <w:sz w:val="28"/>
          <w:szCs w:val="28"/>
          <w:lang w:val="uk-UA"/>
        </w:rPr>
        <w:t xml:space="preserve"> і становить 20% серед пацієнтів </w:t>
      </w:r>
      <w:r w:rsidR="00A07567">
        <w:rPr>
          <w:rFonts w:ascii="Times New Roman" w:hAnsi="Times New Roman" w:cs="Times New Roman"/>
          <w:sz w:val="28"/>
          <w:szCs w:val="28"/>
          <w:lang w:val="uk-UA"/>
        </w:rPr>
        <w:t>і</w:t>
      </w:r>
      <w:r w:rsidRPr="00FA7218">
        <w:rPr>
          <w:rFonts w:ascii="Times New Roman" w:hAnsi="Times New Roman" w:cs="Times New Roman"/>
          <w:sz w:val="28"/>
          <w:szCs w:val="28"/>
          <w:lang w:val="uk-UA"/>
        </w:rPr>
        <w:t xml:space="preserve">з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[2]. Ризик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у курців на 25% вищ</w:t>
      </w:r>
      <w:r w:rsidR="00FA7218">
        <w:rPr>
          <w:rFonts w:ascii="Times New Roman" w:hAnsi="Times New Roman" w:cs="Times New Roman"/>
          <w:sz w:val="28"/>
          <w:szCs w:val="28"/>
          <w:lang w:val="uk-UA"/>
        </w:rPr>
        <w:t>ий</w:t>
      </w:r>
      <w:r w:rsidRPr="00FA7218">
        <w:rPr>
          <w:rFonts w:ascii="Times New Roman" w:hAnsi="Times New Roman" w:cs="Times New Roman"/>
          <w:sz w:val="28"/>
          <w:szCs w:val="28"/>
          <w:lang w:val="uk-UA"/>
        </w:rPr>
        <w:t xml:space="preserve"> в порівнянні з некур</w:t>
      </w:r>
      <w:r w:rsidR="00FA7218">
        <w:rPr>
          <w:rFonts w:ascii="Times New Roman" w:hAnsi="Times New Roman" w:cs="Times New Roman"/>
          <w:sz w:val="28"/>
          <w:szCs w:val="28"/>
          <w:lang w:val="uk-UA"/>
        </w:rPr>
        <w:t>ц</w:t>
      </w:r>
      <w:r w:rsidRPr="00FA7218">
        <w:rPr>
          <w:rFonts w:ascii="Times New Roman" w:hAnsi="Times New Roman" w:cs="Times New Roman"/>
          <w:sz w:val="28"/>
          <w:szCs w:val="28"/>
          <w:lang w:val="uk-UA"/>
        </w:rPr>
        <w:t>ями [25].</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 xml:space="preserve">ХП збільшує ризик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У пацієнтів після постановки діагнозу ХП протягом перших двох років ризик виникнення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в 16 разів вищ</w:t>
      </w:r>
      <w:r w:rsidR="00FA7218">
        <w:rPr>
          <w:rFonts w:ascii="Times New Roman" w:hAnsi="Times New Roman" w:cs="Times New Roman"/>
          <w:sz w:val="28"/>
          <w:szCs w:val="28"/>
          <w:lang w:val="uk-UA"/>
        </w:rPr>
        <w:t>ий</w:t>
      </w:r>
      <w:r w:rsidRPr="00FA7218">
        <w:rPr>
          <w:rFonts w:ascii="Times New Roman" w:hAnsi="Times New Roman" w:cs="Times New Roman"/>
          <w:sz w:val="28"/>
          <w:szCs w:val="28"/>
          <w:lang w:val="uk-UA"/>
        </w:rPr>
        <w:t>, а після 5 років - в 8 раз</w:t>
      </w:r>
      <w:r w:rsidR="00A07567">
        <w:rPr>
          <w:rFonts w:ascii="Times New Roman" w:hAnsi="Times New Roman" w:cs="Times New Roman"/>
          <w:sz w:val="28"/>
          <w:szCs w:val="28"/>
          <w:lang w:val="uk-UA"/>
        </w:rPr>
        <w:t>ів</w:t>
      </w:r>
      <w:r w:rsidRPr="00FA7218">
        <w:rPr>
          <w:rFonts w:ascii="Times New Roman" w:hAnsi="Times New Roman" w:cs="Times New Roman"/>
          <w:sz w:val="28"/>
          <w:szCs w:val="28"/>
          <w:lang w:val="uk-UA"/>
        </w:rPr>
        <w:t>, ніж у здорового населення. Навіть після 9 років спостереження ризик виникнення раку у цих пацієнтів вищ</w:t>
      </w:r>
      <w:r w:rsidR="00FA7218">
        <w:rPr>
          <w:rFonts w:ascii="Times New Roman" w:hAnsi="Times New Roman" w:cs="Times New Roman"/>
          <w:sz w:val="28"/>
          <w:szCs w:val="28"/>
          <w:lang w:val="uk-UA"/>
        </w:rPr>
        <w:t>ий</w:t>
      </w:r>
      <w:r w:rsidRPr="00FA7218">
        <w:rPr>
          <w:rFonts w:ascii="Times New Roman" w:hAnsi="Times New Roman" w:cs="Times New Roman"/>
          <w:sz w:val="28"/>
          <w:szCs w:val="28"/>
          <w:lang w:val="uk-UA"/>
        </w:rPr>
        <w:t xml:space="preserve"> в</w:t>
      </w:r>
      <w:r w:rsidR="00FA7218">
        <w:rPr>
          <w:rFonts w:ascii="Times New Roman" w:hAnsi="Times New Roman" w:cs="Times New Roman"/>
          <w:sz w:val="28"/>
          <w:szCs w:val="28"/>
          <w:lang w:val="uk-UA"/>
        </w:rPr>
        <w:t>тричі</w:t>
      </w:r>
      <w:r w:rsidRPr="00FA7218">
        <w:rPr>
          <w:rFonts w:ascii="Times New Roman" w:hAnsi="Times New Roman" w:cs="Times New Roman"/>
          <w:sz w:val="28"/>
          <w:szCs w:val="28"/>
          <w:lang w:val="uk-UA"/>
        </w:rPr>
        <w:t xml:space="preserve"> [26].</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 xml:space="preserve">У кількох дослідженнях була вивчена специфічна роль інфекційних агентів </w:t>
      </w:r>
      <w:r w:rsidR="00FA7218">
        <w:rPr>
          <w:rFonts w:ascii="Times New Roman" w:hAnsi="Times New Roman" w:cs="Times New Roman"/>
          <w:sz w:val="28"/>
          <w:szCs w:val="28"/>
          <w:lang w:val="uk-UA"/>
        </w:rPr>
        <w:t>у</w:t>
      </w:r>
      <w:r w:rsidRPr="00FA7218">
        <w:rPr>
          <w:rFonts w:ascii="Times New Roman" w:hAnsi="Times New Roman" w:cs="Times New Roman"/>
          <w:sz w:val="28"/>
          <w:szCs w:val="28"/>
          <w:lang w:val="uk-UA"/>
        </w:rPr>
        <w:t xml:space="preserve"> розвитку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Підвищений ризик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відзначається при інфікуванні H. </w:t>
      </w:r>
      <w:proofErr w:type="spellStart"/>
      <w:r w:rsidRPr="00FA7218">
        <w:rPr>
          <w:rFonts w:ascii="Times New Roman" w:hAnsi="Times New Roman" w:cs="Times New Roman"/>
          <w:sz w:val="28"/>
          <w:szCs w:val="28"/>
          <w:lang w:val="uk-UA"/>
        </w:rPr>
        <w:t>pylori</w:t>
      </w:r>
      <w:proofErr w:type="spellEnd"/>
      <w:r w:rsidRPr="00FA7218">
        <w:rPr>
          <w:rFonts w:ascii="Times New Roman" w:hAnsi="Times New Roman" w:cs="Times New Roman"/>
          <w:sz w:val="28"/>
          <w:szCs w:val="28"/>
          <w:lang w:val="uk-UA"/>
        </w:rPr>
        <w:t xml:space="preserve">, вірусному гепатиті B і </w:t>
      </w:r>
      <w:proofErr w:type="spellStart"/>
      <w:r w:rsidRPr="00FA7218">
        <w:rPr>
          <w:rFonts w:ascii="Times New Roman" w:hAnsi="Times New Roman" w:cs="Times New Roman"/>
          <w:sz w:val="28"/>
          <w:szCs w:val="28"/>
          <w:lang w:val="uk-UA"/>
        </w:rPr>
        <w:t>парадонтоз</w:t>
      </w:r>
      <w:r w:rsidR="00A12BC9">
        <w:rPr>
          <w:rFonts w:ascii="Times New Roman" w:hAnsi="Times New Roman" w:cs="Times New Roman"/>
          <w:sz w:val="28"/>
          <w:szCs w:val="28"/>
          <w:lang w:val="uk-UA"/>
        </w:rPr>
        <w:t>і</w:t>
      </w:r>
      <w:proofErr w:type="spellEnd"/>
      <w:r w:rsidRPr="00FA7218">
        <w:rPr>
          <w:rFonts w:ascii="Times New Roman" w:hAnsi="Times New Roman" w:cs="Times New Roman"/>
          <w:sz w:val="28"/>
          <w:szCs w:val="28"/>
          <w:lang w:val="uk-UA"/>
        </w:rPr>
        <w:t xml:space="preserve"> [26].</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Консорціум PANSCAN продемонстрував, що ожиріння пов'язане з 20%</w:t>
      </w:r>
      <w:r w:rsidR="00A12BC9">
        <w:rPr>
          <w:rFonts w:ascii="Times New Roman" w:hAnsi="Times New Roman" w:cs="Times New Roman"/>
          <w:sz w:val="28"/>
          <w:szCs w:val="28"/>
          <w:lang w:val="uk-UA"/>
        </w:rPr>
        <w:t>-ним</w:t>
      </w:r>
      <w:r w:rsidRPr="00FA7218">
        <w:rPr>
          <w:rFonts w:ascii="Times New Roman" w:hAnsi="Times New Roman" w:cs="Times New Roman"/>
          <w:sz w:val="28"/>
          <w:szCs w:val="28"/>
          <w:lang w:val="uk-UA"/>
        </w:rPr>
        <w:t xml:space="preserve"> ризиком розвитку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Ожиріння може грати роль не тільки як фактор ризику, але також впливає на прогноз пацієнтів </w:t>
      </w:r>
      <w:r w:rsidR="00A07567">
        <w:rPr>
          <w:rFonts w:ascii="Times New Roman" w:hAnsi="Times New Roman" w:cs="Times New Roman"/>
          <w:sz w:val="28"/>
          <w:szCs w:val="28"/>
          <w:lang w:val="uk-UA"/>
        </w:rPr>
        <w:t>і</w:t>
      </w:r>
      <w:r w:rsidRPr="00FA7218">
        <w:rPr>
          <w:rFonts w:ascii="Times New Roman" w:hAnsi="Times New Roman" w:cs="Times New Roman"/>
          <w:sz w:val="28"/>
          <w:szCs w:val="28"/>
          <w:lang w:val="uk-UA"/>
        </w:rPr>
        <w:t xml:space="preserve">з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[27].</w:t>
      </w:r>
    </w:p>
    <w:p w:rsidR="00855848" w:rsidRPr="00FA721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Недавн</w:t>
      </w:r>
      <w:r w:rsidR="00A12BC9">
        <w:rPr>
          <w:rFonts w:ascii="Times New Roman" w:hAnsi="Times New Roman" w:cs="Times New Roman"/>
          <w:sz w:val="28"/>
          <w:szCs w:val="28"/>
          <w:lang w:val="uk-UA"/>
        </w:rPr>
        <w:t>ій</w:t>
      </w:r>
      <w:r w:rsidRPr="00FA7218">
        <w:rPr>
          <w:rFonts w:ascii="Times New Roman" w:hAnsi="Times New Roman" w:cs="Times New Roman"/>
          <w:sz w:val="28"/>
          <w:szCs w:val="28"/>
          <w:lang w:val="uk-UA"/>
        </w:rPr>
        <w:t xml:space="preserve"> початок цукрового діабету також може бути раннім симптомом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і спостерігається приблизно у 30% всіх пацієнтів [3]. Проводилися дослідження [24], які показали, що пацієнти з цукровим діабетом, які використовували </w:t>
      </w:r>
      <w:proofErr w:type="spellStart"/>
      <w:r w:rsidRPr="00FA7218">
        <w:rPr>
          <w:rFonts w:ascii="Times New Roman" w:hAnsi="Times New Roman" w:cs="Times New Roman"/>
          <w:sz w:val="28"/>
          <w:szCs w:val="28"/>
          <w:lang w:val="uk-UA"/>
        </w:rPr>
        <w:t>метформін</w:t>
      </w:r>
      <w:proofErr w:type="spellEnd"/>
      <w:r w:rsidRPr="00FA7218">
        <w:rPr>
          <w:rFonts w:ascii="Times New Roman" w:hAnsi="Times New Roman" w:cs="Times New Roman"/>
          <w:sz w:val="28"/>
          <w:szCs w:val="28"/>
          <w:lang w:val="uk-UA"/>
        </w:rPr>
        <w:t xml:space="preserve">, мали знижений ризик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а пацієнти, які використовують інсулінову терапію або стимулятори секреції інсуліну, мали підвищений ризик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w:t>
      </w:r>
    </w:p>
    <w:p w:rsidR="00855848" w:rsidRDefault="00855848" w:rsidP="00FA7218">
      <w:pPr>
        <w:spacing w:after="0" w:line="240" w:lineRule="auto"/>
        <w:ind w:firstLine="709"/>
        <w:jc w:val="both"/>
        <w:rPr>
          <w:rFonts w:ascii="Times New Roman" w:hAnsi="Times New Roman" w:cs="Times New Roman"/>
          <w:sz w:val="28"/>
          <w:szCs w:val="28"/>
          <w:lang w:val="uk-UA"/>
        </w:rPr>
      </w:pPr>
      <w:r w:rsidRPr="00FA7218">
        <w:rPr>
          <w:rFonts w:ascii="Times New Roman" w:hAnsi="Times New Roman" w:cs="Times New Roman"/>
          <w:sz w:val="28"/>
          <w:szCs w:val="28"/>
          <w:lang w:val="uk-UA"/>
        </w:rPr>
        <w:t xml:space="preserve">Значні відмінності в частоті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існують між расами. Зокрема, темношкірі популяції показують більш високий відсоток розвитку </w:t>
      </w:r>
      <w:r w:rsidR="00311891">
        <w:rPr>
          <w:rFonts w:ascii="Times New Roman" w:hAnsi="Times New Roman" w:cs="Times New Roman"/>
          <w:sz w:val="28"/>
          <w:szCs w:val="28"/>
          <w:lang w:val="uk-UA"/>
        </w:rPr>
        <w:t>РПЗ</w:t>
      </w:r>
      <w:r w:rsidRPr="00FA7218">
        <w:rPr>
          <w:rFonts w:ascii="Times New Roman" w:hAnsi="Times New Roman" w:cs="Times New Roman"/>
          <w:sz w:val="28"/>
          <w:szCs w:val="28"/>
          <w:lang w:val="uk-UA"/>
        </w:rPr>
        <w:t xml:space="preserve"> в порівнянні з усіма іншими расами [7].</w:t>
      </w:r>
    </w:p>
    <w:p w:rsidR="00A12BC9" w:rsidRPr="00A12BC9" w:rsidRDefault="00A12BC9" w:rsidP="00A12BC9">
      <w:pPr>
        <w:spacing w:after="0" w:line="240" w:lineRule="auto"/>
        <w:ind w:firstLine="709"/>
        <w:jc w:val="both"/>
        <w:rPr>
          <w:rFonts w:ascii="Times New Roman" w:hAnsi="Times New Roman" w:cs="Times New Roman"/>
          <w:b/>
          <w:sz w:val="28"/>
          <w:szCs w:val="28"/>
          <w:lang w:val="uk-UA"/>
        </w:rPr>
      </w:pPr>
      <w:r w:rsidRPr="00A12BC9">
        <w:rPr>
          <w:rFonts w:ascii="Times New Roman" w:hAnsi="Times New Roman" w:cs="Times New Roman"/>
          <w:b/>
          <w:sz w:val="28"/>
          <w:szCs w:val="28"/>
          <w:lang w:val="uk-UA"/>
        </w:rPr>
        <w:t xml:space="preserve">Спадкові фактори ризику </w:t>
      </w:r>
      <w:r w:rsidR="00311891">
        <w:rPr>
          <w:rFonts w:ascii="Times New Roman" w:hAnsi="Times New Roman" w:cs="Times New Roman"/>
          <w:b/>
          <w:sz w:val="28"/>
          <w:szCs w:val="28"/>
          <w:lang w:val="uk-UA"/>
        </w:rPr>
        <w:t>РПЗ</w:t>
      </w:r>
      <w:r>
        <w:rPr>
          <w:rFonts w:ascii="Times New Roman" w:hAnsi="Times New Roman" w:cs="Times New Roman"/>
          <w:b/>
          <w:sz w:val="28"/>
          <w:szCs w:val="28"/>
          <w:lang w:val="uk-UA"/>
        </w:rPr>
        <w:t>.</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Приблизно 5-10% людей з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мають сімейний анамнез захворювання [32]. Було виявлено багато потенційних генів, таких як PRSS1, SPINK1, BRCA2, APC, UGT1A7 * 3, STK11 / LKB1, CDKN2A</w:t>
      </w:r>
      <w:r>
        <w:rPr>
          <w:rFonts w:ascii="Times New Roman" w:hAnsi="Times New Roman" w:cs="Times New Roman"/>
          <w:sz w:val="28"/>
          <w:szCs w:val="28"/>
          <w:lang w:val="uk-UA"/>
        </w:rPr>
        <w:t>,</w:t>
      </w:r>
      <w:r w:rsidRPr="00A12BC9">
        <w:rPr>
          <w:rFonts w:ascii="Times New Roman" w:hAnsi="Times New Roman" w:cs="Times New Roman"/>
          <w:sz w:val="28"/>
          <w:szCs w:val="28"/>
          <w:lang w:val="uk-UA"/>
        </w:rPr>
        <w:t xml:space="preserve"> і які можуть брати участь в патогенезі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[6].</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Спадковий панкреатит є рідкісним генетичним захворюванням з мутаціями в гені катіонного </w:t>
      </w:r>
      <w:proofErr w:type="spellStart"/>
      <w:r w:rsidRPr="00A12BC9">
        <w:rPr>
          <w:rFonts w:ascii="Times New Roman" w:hAnsi="Times New Roman" w:cs="Times New Roman"/>
          <w:sz w:val="28"/>
          <w:szCs w:val="28"/>
          <w:lang w:val="uk-UA"/>
        </w:rPr>
        <w:t>тр</w:t>
      </w:r>
      <w:r>
        <w:rPr>
          <w:rFonts w:ascii="Times New Roman" w:hAnsi="Times New Roman" w:cs="Times New Roman"/>
          <w:sz w:val="28"/>
          <w:szCs w:val="28"/>
          <w:lang w:val="uk-UA"/>
        </w:rPr>
        <w:t>и</w:t>
      </w:r>
      <w:r w:rsidRPr="00A12BC9">
        <w:rPr>
          <w:rFonts w:ascii="Times New Roman" w:hAnsi="Times New Roman" w:cs="Times New Roman"/>
          <w:sz w:val="28"/>
          <w:szCs w:val="28"/>
          <w:lang w:val="uk-UA"/>
        </w:rPr>
        <w:t>пс</w:t>
      </w:r>
      <w:r>
        <w:rPr>
          <w:rFonts w:ascii="Times New Roman" w:hAnsi="Times New Roman" w:cs="Times New Roman"/>
          <w:sz w:val="28"/>
          <w:szCs w:val="28"/>
          <w:lang w:val="uk-UA"/>
        </w:rPr>
        <w:t>и</w:t>
      </w:r>
      <w:r w:rsidRPr="00A12BC9">
        <w:rPr>
          <w:rFonts w:ascii="Times New Roman" w:hAnsi="Times New Roman" w:cs="Times New Roman"/>
          <w:sz w:val="28"/>
          <w:szCs w:val="28"/>
          <w:lang w:val="uk-UA"/>
        </w:rPr>
        <w:t>ногена</w:t>
      </w:r>
      <w:proofErr w:type="spellEnd"/>
      <w:r w:rsidRPr="00A12BC9">
        <w:rPr>
          <w:rFonts w:ascii="Times New Roman" w:hAnsi="Times New Roman" w:cs="Times New Roman"/>
          <w:sz w:val="28"/>
          <w:szCs w:val="28"/>
          <w:lang w:val="uk-UA"/>
        </w:rPr>
        <w:t xml:space="preserve"> (PRSS1) [36] при аутосомно-домінантн</w:t>
      </w:r>
      <w:r>
        <w:rPr>
          <w:rFonts w:ascii="Times New Roman" w:hAnsi="Times New Roman" w:cs="Times New Roman"/>
          <w:sz w:val="28"/>
          <w:szCs w:val="28"/>
          <w:lang w:val="uk-UA"/>
        </w:rPr>
        <w:t>ій</w:t>
      </w:r>
      <w:r w:rsidRPr="00A12BC9">
        <w:rPr>
          <w:rFonts w:ascii="Times New Roman" w:hAnsi="Times New Roman" w:cs="Times New Roman"/>
          <w:sz w:val="28"/>
          <w:szCs w:val="28"/>
          <w:lang w:val="uk-UA"/>
        </w:rPr>
        <w:t xml:space="preserve"> формі успадкування і мутаціями в гені </w:t>
      </w:r>
      <w:proofErr w:type="spellStart"/>
      <w:r w:rsidRPr="00A12BC9">
        <w:rPr>
          <w:rFonts w:ascii="Times New Roman" w:hAnsi="Times New Roman" w:cs="Times New Roman"/>
          <w:sz w:val="28"/>
          <w:szCs w:val="28"/>
          <w:lang w:val="uk-UA"/>
        </w:rPr>
        <w:t>інгібітора</w:t>
      </w:r>
      <w:proofErr w:type="spellEnd"/>
      <w:r w:rsidRPr="00A12BC9">
        <w:rPr>
          <w:rFonts w:ascii="Times New Roman" w:hAnsi="Times New Roman" w:cs="Times New Roman"/>
          <w:sz w:val="28"/>
          <w:szCs w:val="28"/>
          <w:lang w:val="uk-UA"/>
        </w:rPr>
        <w:t xml:space="preserve"> </w:t>
      </w:r>
      <w:proofErr w:type="spellStart"/>
      <w:r w:rsidRPr="00A12BC9">
        <w:rPr>
          <w:rFonts w:ascii="Times New Roman" w:hAnsi="Times New Roman" w:cs="Times New Roman"/>
          <w:sz w:val="28"/>
          <w:szCs w:val="28"/>
          <w:lang w:val="uk-UA"/>
        </w:rPr>
        <w:t>серинов</w:t>
      </w:r>
      <w:r>
        <w:rPr>
          <w:rFonts w:ascii="Times New Roman" w:hAnsi="Times New Roman" w:cs="Times New Roman"/>
          <w:sz w:val="28"/>
          <w:szCs w:val="28"/>
          <w:lang w:val="uk-UA"/>
        </w:rPr>
        <w:t>ої</w:t>
      </w:r>
      <w:proofErr w:type="spellEnd"/>
      <w:r w:rsidRPr="00A12BC9">
        <w:rPr>
          <w:rFonts w:ascii="Times New Roman" w:hAnsi="Times New Roman" w:cs="Times New Roman"/>
          <w:sz w:val="28"/>
          <w:szCs w:val="28"/>
          <w:lang w:val="uk-UA"/>
        </w:rPr>
        <w:t xml:space="preserve"> протеаз</w:t>
      </w:r>
      <w:r>
        <w:rPr>
          <w:rFonts w:ascii="Times New Roman" w:hAnsi="Times New Roman" w:cs="Times New Roman"/>
          <w:sz w:val="28"/>
          <w:szCs w:val="28"/>
          <w:lang w:val="uk-UA"/>
        </w:rPr>
        <w:t>и</w:t>
      </w:r>
      <w:r w:rsidRPr="00A12BC9">
        <w:rPr>
          <w:rFonts w:ascii="Times New Roman" w:hAnsi="Times New Roman" w:cs="Times New Roman"/>
          <w:sz w:val="28"/>
          <w:szCs w:val="28"/>
          <w:lang w:val="uk-UA"/>
        </w:rPr>
        <w:t xml:space="preserve"> (SPINK1) [34] при аутосомно-рецесивн</w:t>
      </w:r>
      <w:r>
        <w:rPr>
          <w:rFonts w:ascii="Times New Roman" w:hAnsi="Times New Roman" w:cs="Times New Roman"/>
          <w:sz w:val="28"/>
          <w:szCs w:val="28"/>
          <w:lang w:val="uk-UA"/>
        </w:rPr>
        <w:t>ій</w:t>
      </w:r>
      <w:r w:rsidRPr="00A12BC9">
        <w:rPr>
          <w:rFonts w:ascii="Times New Roman" w:hAnsi="Times New Roman" w:cs="Times New Roman"/>
          <w:sz w:val="28"/>
          <w:szCs w:val="28"/>
          <w:lang w:val="uk-UA"/>
        </w:rPr>
        <w:t xml:space="preserve"> формі успадкування [37]. Особи з</w:t>
      </w:r>
      <w:r>
        <w:rPr>
          <w:rFonts w:ascii="Times New Roman" w:hAnsi="Times New Roman" w:cs="Times New Roman"/>
          <w:sz w:val="28"/>
          <w:szCs w:val="28"/>
          <w:lang w:val="uk-UA"/>
        </w:rPr>
        <w:t>і</w:t>
      </w:r>
      <w:r w:rsidRPr="00A12BC9">
        <w:rPr>
          <w:rFonts w:ascii="Times New Roman" w:hAnsi="Times New Roman" w:cs="Times New Roman"/>
          <w:sz w:val="28"/>
          <w:szCs w:val="28"/>
          <w:lang w:val="uk-UA"/>
        </w:rPr>
        <w:t xml:space="preserve"> спадковим панкреатитом мають приблизно в 53 раз</w:t>
      </w:r>
      <w:r w:rsidR="00A07567">
        <w:rPr>
          <w:rFonts w:ascii="Times New Roman" w:hAnsi="Times New Roman" w:cs="Times New Roman"/>
          <w:sz w:val="28"/>
          <w:szCs w:val="28"/>
          <w:lang w:val="uk-UA"/>
        </w:rPr>
        <w:t>ів</w:t>
      </w:r>
      <w:r w:rsidRPr="00A12BC9">
        <w:rPr>
          <w:rFonts w:ascii="Times New Roman" w:hAnsi="Times New Roman" w:cs="Times New Roman"/>
          <w:sz w:val="28"/>
          <w:szCs w:val="28"/>
          <w:lang w:val="uk-UA"/>
        </w:rPr>
        <w:t xml:space="preserve"> вищ</w:t>
      </w:r>
      <w:r>
        <w:rPr>
          <w:rFonts w:ascii="Times New Roman" w:hAnsi="Times New Roman" w:cs="Times New Roman"/>
          <w:sz w:val="28"/>
          <w:szCs w:val="28"/>
          <w:lang w:val="uk-UA"/>
        </w:rPr>
        <w:t>ий</w:t>
      </w:r>
      <w:r w:rsidRPr="00A12BC9">
        <w:rPr>
          <w:rFonts w:ascii="Times New Roman" w:hAnsi="Times New Roman" w:cs="Times New Roman"/>
          <w:sz w:val="28"/>
          <w:szCs w:val="28"/>
          <w:lang w:val="uk-UA"/>
        </w:rPr>
        <w:t xml:space="preserve"> ризик розвитку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Імовірність розвитку аденокарциноми </w:t>
      </w:r>
      <w:r w:rsidR="00311891">
        <w:rPr>
          <w:rFonts w:ascii="Times New Roman" w:hAnsi="Times New Roman" w:cs="Times New Roman"/>
          <w:sz w:val="28"/>
          <w:szCs w:val="28"/>
          <w:lang w:val="uk-UA"/>
        </w:rPr>
        <w:t>ПЗ</w:t>
      </w:r>
      <w:r w:rsidRPr="00A12BC9">
        <w:rPr>
          <w:rFonts w:ascii="Times New Roman" w:hAnsi="Times New Roman" w:cs="Times New Roman"/>
          <w:sz w:val="28"/>
          <w:szCs w:val="28"/>
          <w:lang w:val="uk-UA"/>
        </w:rPr>
        <w:t xml:space="preserve"> у пацієнтів зі спадковим панкреатитом до 70 років в цілому досягає 30-40% [24].</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Сімейний </w:t>
      </w:r>
      <w:proofErr w:type="spellStart"/>
      <w:r w:rsidRPr="00A12BC9">
        <w:rPr>
          <w:rFonts w:ascii="Times New Roman" w:hAnsi="Times New Roman" w:cs="Times New Roman"/>
          <w:sz w:val="28"/>
          <w:szCs w:val="28"/>
          <w:lang w:val="uk-UA"/>
        </w:rPr>
        <w:t>аденоматозний</w:t>
      </w:r>
      <w:proofErr w:type="spellEnd"/>
      <w:r w:rsidRPr="00A12BC9">
        <w:rPr>
          <w:rFonts w:ascii="Times New Roman" w:hAnsi="Times New Roman" w:cs="Times New Roman"/>
          <w:sz w:val="28"/>
          <w:szCs w:val="28"/>
          <w:lang w:val="uk-UA"/>
        </w:rPr>
        <w:t xml:space="preserve"> </w:t>
      </w:r>
      <w:proofErr w:type="spellStart"/>
      <w:r w:rsidRPr="00A12BC9">
        <w:rPr>
          <w:rFonts w:ascii="Times New Roman" w:hAnsi="Times New Roman" w:cs="Times New Roman"/>
          <w:sz w:val="28"/>
          <w:szCs w:val="28"/>
          <w:lang w:val="uk-UA"/>
        </w:rPr>
        <w:t>поліпоз</w:t>
      </w:r>
      <w:proofErr w:type="spellEnd"/>
      <w:r w:rsidRPr="00A12BC9">
        <w:rPr>
          <w:rFonts w:ascii="Times New Roman" w:hAnsi="Times New Roman" w:cs="Times New Roman"/>
          <w:sz w:val="28"/>
          <w:szCs w:val="28"/>
          <w:lang w:val="uk-UA"/>
        </w:rPr>
        <w:t xml:space="preserve"> є аутосомно-домінантним спадковим захворюванням і характеризується розвитком від сотень до тисяч </w:t>
      </w:r>
      <w:proofErr w:type="spellStart"/>
      <w:r w:rsidRPr="00A12BC9">
        <w:rPr>
          <w:rFonts w:ascii="Times New Roman" w:hAnsi="Times New Roman" w:cs="Times New Roman"/>
          <w:sz w:val="28"/>
          <w:szCs w:val="28"/>
          <w:lang w:val="uk-UA"/>
        </w:rPr>
        <w:t>аденоматозних</w:t>
      </w:r>
      <w:proofErr w:type="spellEnd"/>
      <w:r w:rsidRPr="00A12BC9">
        <w:rPr>
          <w:rFonts w:ascii="Times New Roman" w:hAnsi="Times New Roman" w:cs="Times New Roman"/>
          <w:sz w:val="28"/>
          <w:szCs w:val="28"/>
          <w:lang w:val="uk-UA"/>
        </w:rPr>
        <w:t xml:space="preserve"> поліпів товстої кишки в ранньому віці. Пацієнти з родинни</w:t>
      </w:r>
      <w:r>
        <w:rPr>
          <w:rFonts w:ascii="Times New Roman" w:hAnsi="Times New Roman" w:cs="Times New Roman"/>
          <w:sz w:val="28"/>
          <w:szCs w:val="28"/>
          <w:lang w:val="uk-UA"/>
        </w:rPr>
        <w:t>м</w:t>
      </w:r>
      <w:r w:rsidRPr="00A12BC9">
        <w:rPr>
          <w:rFonts w:ascii="Times New Roman" w:hAnsi="Times New Roman" w:cs="Times New Roman"/>
          <w:sz w:val="28"/>
          <w:szCs w:val="28"/>
          <w:lang w:val="uk-UA"/>
        </w:rPr>
        <w:t xml:space="preserve"> </w:t>
      </w:r>
      <w:proofErr w:type="spellStart"/>
      <w:r w:rsidRPr="00A12BC9">
        <w:rPr>
          <w:rFonts w:ascii="Times New Roman" w:hAnsi="Times New Roman" w:cs="Times New Roman"/>
          <w:sz w:val="28"/>
          <w:szCs w:val="28"/>
          <w:lang w:val="uk-UA"/>
        </w:rPr>
        <w:t>аденоматозни</w:t>
      </w:r>
      <w:r>
        <w:rPr>
          <w:rFonts w:ascii="Times New Roman" w:hAnsi="Times New Roman" w:cs="Times New Roman"/>
          <w:sz w:val="28"/>
          <w:szCs w:val="28"/>
          <w:lang w:val="uk-UA"/>
        </w:rPr>
        <w:t>м</w:t>
      </w:r>
      <w:proofErr w:type="spellEnd"/>
      <w:r w:rsidRPr="00A12BC9">
        <w:rPr>
          <w:rFonts w:ascii="Times New Roman" w:hAnsi="Times New Roman" w:cs="Times New Roman"/>
          <w:sz w:val="28"/>
          <w:szCs w:val="28"/>
          <w:lang w:val="uk-UA"/>
        </w:rPr>
        <w:t xml:space="preserve"> </w:t>
      </w:r>
      <w:proofErr w:type="spellStart"/>
      <w:r w:rsidRPr="00A12BC9">
        <w:rPr>
          <w:rFonts w:ascii="Times New Roman" w:hAnsi="Times New Roman" w:cs="Times New Roman"/>
          <w:sz w:val="28"/>
          <w:szCs w:val="28"/>
          <w:lang w:val="uk-UA"/>
        </w:rPr>
        <w:t>поліпоз</w:t>
      </w:r>
      <w:r>
        <w:rPr>
          <w:rFonts w:ascii="Times New Roman" w:hAnsi="Times New Roman" w:cs="Times New Roman"/>
          <w:sz w:val="28"/>
          <w:szCs w:val="28"/>
          <w:lang w:val="uk-UA"/>
        </w:rPr>
        <w:t>ом</w:t>
      </w:r>
      <w:proofErr w:type="spellEnd"/>
      <w:r w:rsidRPr="00A12BC9">
        <w:rPr>
          <w:rFonts w:ascii="Times New Roman" w:hAnsi="Times New Roman" w:cs="Times New Roman"/>
          <w:sz w:val="28"/>
          <w:szCs w:val="28"/>
          <w:lang w:val="uk-UA"/>
        </w:rPr>
        <w:t xml:space="preserve"> можуть мати в 4 рази вищ</w:t>
      </w:r>
      <w:r>
        <w:rPr>
          <w:rFonts w:ascii="Times New Roman" w:hAnsi="Times New Roman" w:cs="Times New Roman"/>
          <w:sz w:val="28"/>
          <w:szCs w:val="28"/>
          <w:lang w:val="uk-UA"/>
        </w:rPr>
        <w:t>ий</w:t>
      </w:r>
      <w:r w:rsidRPr="00A12BC9">
        <w:rPr>
          <w:rFonts w:ascii="Times New Roman" w:hAnsi="Times New Roman" w:cs="Times New Roman"/>
          <w:sz w:val="28"/>
          <w:szCs w:val="28"/>
          <w:lang w:val="uk-UA"/>
        </w:rPr>
        <w:t xml:space="preserve"> ризик розвитку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w:t>
      </w:r>
      <w:r w:rsidRPr="00A12BC9">
        <w:rPr>
          <w:rFonts w:ascii="Times New Roman" w:hAnsi="Times New Roman" w:cs="Times New Roman"/>
          <w:sz w:val="28"/>
          <w:szCs w:val="28"/>
          <w:lang w:val="uk-UA"/>
        </w:rPr>
        <w:lastRenderedPageBreak/>
        <w:t xml:space="preserve">[12]. Відомо, що синдром </w:t>
      </w:r>
      <w:proofErr w:type="spellStart"/>
      <w:r w:rsidRPr="00A12BC9">
        <w:rPr>
          <w:rFonts w:ascii="Times New Roman" w:hAnsi="Times New Roman" w:cs="Times New Roman"/>
          <w:sz w:val="28"/>
          <w:szCs w:val="28"/>
          <w:lang w:val="uk-UA"/>
        </w:rPr>
        <w:t>Пейтца-Егерса</w:t>
      </w:r>
      <w:proofErr w:type="spellEnd"/>
      <w:r w:rsidRPr="00A12BC9">
        <w:rPr>
          <w:rFonts w:ascii="Times New Roman" w:hAnsi="Times New Roman" w:cs="Times New Roman"/>
          <w:sz w:val="28"/>
          <w:szCs w:val="28"/>
          <w:lang w:val="uk-UA"/>
        </w:rPr>
        <w:t xml:space="preserve"> пов'язаний з різними видами раку. Успадковані мутації в гені STK11 / LKB1 відповідають за 80% випадків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Пацієнти </w:t>
      </w:r>
      <w:r>
        <w:rPr>
          <w:rFonts w:ascii="Times New Roman" w:hAnsi="Times New Roman" w:cs="Times New Roman"/>
          <w:sz w:val="28"/>
          <w:szCs w:val="28"/>
          <w:lang w:val="uk-UA"/>
        </w:rPr>
        <w:t>і</w:t>
      </w:r>
      <w:r w:rsidRPr="00A12BC9">
        <w:rPr>
          <w:rFonts w:ascii="Times New Roman" w:hAnsi="Times New Roman" w:cs="Times New Roman"/>
          <w:sz w:val="28"/>
          <w:szCs w:val="28"/>
          <w:lang w:val="uk-UA"/>
        </w:rPr>
        <w:t xml:space="preserve">з синдромом </w:t>
      </w:r>
      <w:proofErr w:type="spellStart"/>
      <w:r w:rsidRPr="00A12BC9">
        <w:rPr>
          <w:rFonts w:ascii="Times New Roman" w:hAnsi="Times New Roman" w:cs="Times New Roman"/>
          <w:sz w:val="28"/>
          <w:szCs w:val="28"/>
          <w:lang w:val="uk-UA"/>
        </w:rPr>
        <w:t>Пейтца-Егерса</w:t>
      </w:r>
      <w:proofErr w:type="spellEnd"/>
      <w:r w:rsidRPr="00A12BC9">
        <w:rPr>
          <w:rFonts w:ascii="Times New Roman" w:hAnsi="Times New Roman" w:cs="Times New Roman"/>
          <w:sz w:val="28"/>
          <w:szCs w:val="28"/>
          <w:lang w:val="uk-UA"/>
        </w:rPr>
        <w:t xml:space="preserve"> мають </w:t>
      </w:r>
      <w:r w:rsidR="00A07567">
        <w:rPr>
          <w:rFonts w:ascii="Times New Roman" w:hAnsi="Times New Roman" w:cs="Times New Roman"/>
          <w:sz w:val="28"/>
          <w:szCs w:val="28"/>
          <w:lang w:val="uk-UA"/>
        </w:rPr>
        <w:t>у</w:t>
      </w:r>
      <w:r w:rsidRPr="00A12BC9">
        <w:rPr>
          <w:rFonts w:ascii="Times New Roman" w:hAnsi="Times New Roman" w:cs="Times New Roman"/>
          <w:sz w:val="28"/>
          <w:szCs w:val="28"/>
          <w:lang w:val="uk-UA"/>
        </w:rPr>
        <w:t xml:space="preserve"> 132 рази більш</w:t>
      </w:r>
      <w:r>
        <w:rPr>
          <w:rFonts w:ascii="Times New Roman" w:hAnsi="Times New Roman" w:cs="Times New Roman"/>
          <w:sz w:val="28"/>
          <w:szCs w:val="28"/>
          <w:lang w:val="uk-UA"/>
        </w:rPr>
        <w:t>ий</w:t>
      </w:r>
      <w:r w:rsidRPr="00A12BC9">
        <w:rPr>
          <w:rFonts w:ascii="Times New Roman" w:hAnsi="Times New Roman" w:cs="Times New Roman"/>
          <w:sz w:val="28"/>
          <w:szCs w:val="28"/>
          <w:lang w:val="uk-UA"/>
        </w:rPr>
        <w:t xml:space="preserve"> ризик розвитку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[11].</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Хоча вищезгадані фактори можуть служити потенційними прогностичними маркерами для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для встановлення інформативності кожного з наведених чинників ризику необхідні подальші дослідження.</w:t>
      </w:r>
    </w:p>
    <w:p w:rsidR="00A12BC9" w:rsidRPr="00A12BC9" w:rsidRDefault="00A12BC9" w:rsidP="00A12BC9">
      <w:pPr>
        <w:spacing w:after="0" w:line="240" w:lineRule="auto"/>
        <w:ind w:firstLine="709"/>
        <w:jc w:val="both"/>
        <w:rPr>
          <w:rFonts w:ascii="Times New Roman" w:hAnsi="Times New Roman" w:cs="Times New Roman"/>
          <w:b/>
          <w:sz w:val="28"/>
          <w:szCs w:val="28"/>
          <w:lang w:val="uk-UA"/>
        </w:rPr>
      </w:pPr>
      <w:r w:rsidRPr="00A12BC9">
        <w:rPr>
          <w:rFonts w:ascii="Times New Roman" w:hAnsi="Times New Roman" w:cs="Times New Roman"/>
          <w:b/>
          <w:sz w:val="28"/>
          <w:szCs w:val="28"/>
          <w:lang w:val="uk-UA"/>
        </w:rPr>
        <w:t>Діагностичні маркери.</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В даний час CA19-9 є єдиним достовірним серологічним маркером для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Але існують відомі обмеження. По-перше, близько 10-15% індивідуумів не виділяють CA19-9 через їх статус негативного антигену Льюїса. По-друге, цей маркер не специфічний для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і також підвищений при доброякісних змінах (наприклад, панкреатиті, </w:t>
      </w:r>
      <w:proofErr w:type="spellStart"/>
      <w:r w:rsidRPr="00A12BC9">
        <w:rPr>
          <w:rFonts w:ascii="Times New Roman" w:hAnsi="Times New Roman" w:cs="Times New Roman"/>
          <w:sz w:val="28"/>
          <w:szCs w:val="28"/>
          <w:lang w:val="uk-UA"/>
        </w:rPr>
        <w:t>холангіті</w:t>
      </w:r>
      <w:proofErr w:type="spellEnd"/>
      <w:r w:rsidRPr="00A12BC9">
        <w:rPr>
          <w:rFonts w:ascii="Times New Roman" w:hAnsi="Times New Roman" w:cs="Times New Roman"/>
          <w:sz w:val="28"/>
          <w:szCs w:val="28"/>
          <w:lang w:val="uk-UA"/>
        </w:rPr>
        <w:t xml:space="preserve">, цирозі). По-третє, звичайно СА 19-9 знаходиться в межах норми у пацієнтів </w:t>
      </w:r>
      <w:r w:rsidR="00C64B78">
        <w:rPr>
          <w:rFonts w:ascii="Times New Roman" w:hAnsi="Times New Roman" w:cs="Times New Roman"/>
          <w:sz w:val="28"/>
          <w:szCs w:val="28"/>
          <w:lang w:val="uk-UA"/>
        </w:rPr>
        <w:t>і</w:t>
      </w:r>
      <w:r w:rsidRPr="00A12BC9">
        <w:rPr>
          <w:rFonts w:ascii="Times New Roman" w:hAnsi="Times New Roman" w:cs="Times New Roman"/>
          <w:sz w:val="28"/>
          <w:szCs w:val="28"/>
          <w:lang w:val="uk-UA"/>
        </w:rPr>
        <w:t xml:space="preserve">з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на ранній стадії. Тому необхідно розробити систему скринінгу з новим маркером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з більшою чутливістю і специфічністю [33].</w:t>
      </w:r>
    </w:p>
    <w:p w:rsidR="00A12BC9" w:rsidRP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 xml:space="preserve">У дослідженні генів, змінених при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зареєстровано майже 1100 молекул, включаючи S100P, MMP7, MUC4, FSCN1 і MUC5AC, що вказує на існування багатьох потенційних </w:t>
      </w:r>
      <w:proofErr w:type="spellStart"/>
      <w:r w:rsidRPr="00A12BC9">
        <w:rPr>
          <w:rFonts w:ascii="Times New Roman" w:hAnsi="Times New Roman" w:cs="Times New Roman"/>
          <w:sz w:val="28"/>
          <w:szCs w:val="28"/>
          <w:lang w:val="uk-UA"/>
        </w:rPr>
        <w:t>біомаркерів</w:t>
      </w:r>
      <w:proofErr w:type="spellEnd"/>
      <w:r w:rsidRPr="00A12BC9">
        <w:rPr>
          <w:rFonts w:ascii="Times New Roman" w:hAnsi="Times New Roman" w:cs="Times New Roman"/>
          <w:sz w:val="28"/>
          <w:szCs w:val="28"/>
          <w:lang w:val="uk-UA"/>
        </w:rPr>
        <w:t xml:space="preserve">. Багато з них зустрічаються і при ХП, і при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наприклад, EPH-рецептор A3 і </w:t>
      </w:r>
      <w:proofErr w:type="spellStart"/>
      <w:r w:rsidRPr="00A12BC9">
        <w:rPr>
          <w:rFonts w:ascii="Times New Roman" w:hAnsi="Times New Roman" w:cs="Times New Roman"/>
          <w:sz w:val="28"/>
          <w:szCs w:val="28"/>
          <w:lang w:val="uk-UA"/>
        </w:rPr>
        <w:t>фібрилін</w:t>
      </w:r>
      <w:proofErr w:type="spellEnd"/>
      <w:r w:rsidRPr="00A12BC9">
        <w:rPr>
          <w:rFonts w:ascii="Times New Roman" w:hAnsi="Times New Roman" w:cs="Times New Roman"/>
          <w:sz w:val="28"/>
          <w:szCs w:val="28"/>
          <w:lang w:val="uk-UA"/>
        </w:rPr>
        <w:t xml:space="preserve"> 1. Існують молекули, що виділяються при ХП, але не при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CCL3 і CCL4. У той же час є молекули, які виявляються при раку, але не при ХП: </w:t>
      </w:r>
      <w:proofErr w:type="spellStart"/>
      <w:r w:rsidRPr="00A12BC9">
        <w:rPr>
          <w:rFonts w:ascii="Times New Roman" w:hAnsi="Times New Roman" w:cs="Times New Roman"/>
          <w:sz w:val="28"/>
          <w:szCs w:val="28"/>
          <w:lang w:val="uk-UA"/>
        </w:rPr>
        <w:t>анекс</w:t>
      </w:r>
      <w:r w:rsidR="00AC7C7B">
        <w:rPr>
          <w:rFonts w:ascii="Times New Roman" w:hAnsi="Times New Roman" w:cs="Times New Roman"/>
          <w:sz w:val="28"/>
          <w:szCs w:val="28"/>
          <w:lang w:val="uk-UA"/>
        </w:rPr>
        <w:t>и</w:t>
      </w:r>
      <w:r w:rsidRPr="00A12BC9">
        <w:rPr>
          <w:rFonts w:ascii="Times New Roman" w:hAnsi="Times New Roman" w:cs="Times New Roman"/>
          <w:sz w:val="28"/>
          <w:szCs w:val="28"/>
          <w:lang w:val="uk-UA"/>
        </w:rPr>
        <w:t>н</w:t>
      </w:r>
      <w:proofErr w:type="spellEnd"/>
      <w:r w:rsidRPr="00A12BC9">
        <w:rPr>
          <w:rFonts w:ascii="Times New Roman" w:hAnsi="Times New Roman" w:cs="Times New Roman"/>
          <w:sz w:val="28"/>
          <w:szCs w:val="28"/>
          <w:lang w:val="uk-UA"/>
        </w:rPr>
        <w:t xml:space="preserve"> A2 і IGFBP2. Недавні дослідження показали, що CEACAM1 і MUC1 дійсно володіють більш високою чутливістю і специфічністю для діагностики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ніж поточний золотий стандарт - CA19-9 [14].</w:t>
      </w:r>
    </w:p>
    <w:p w:rsidR="00A12BC9" w:rsidRDefault="00A12BC9" w:rsidP="00A12BC9">
      <w:pPr>
        <w:spacing w:after="0" w:line="240" w:lineRule="auto"/>
        <w:ind w:firstLine="709"/>
        <w:jc w:val="both"/>
        <w:rPr>
          <w:rFonts w:ascii="Times New Roman" w:hAnsi="Times New Roman" w:cs="Times New Roman"/>
          <w:sz w:val="28"/>
          <w:szCs w:val="28"/>
          <w:lang w:val="uk-UA"/>
        </w:rPr>
      </w:pPr>
      <w:r w:rsidRPr="00A12BC9">
        <w:rPr>
          <w:rFonts w:ascii="Times New Roman" w:hAnsi="Times New Roman" w:cs="Times New Roman"/>
          <w:sz w:val="28"/>
          <w:szCs w:val="28"/>
          <w:lang w:val="uk-UA"/>
        </w:rPr>
        <w:t>SPARC є білком, як</w:t>
      </w:r>
      <w:r w:rsidR="00AC7C7B">
        <w:rPr>
          <w:rFonts w:ascii="Times New Roman" w:hAnsi="Times New Roman" w:cs="Times New Roman"/>
          <w:sz w:val="28"/>
          <w:szCs w:val="28"/>
          <w:lang w:val="uk-UA"/>
        </w:rPr>
        <w:t>ий</w:t>
      </w:r>
      <w:r w:rsidRPr="00A12BC9">
        <w:rPr>
          <w:rFonts w:ascii="Times New Roman" w:hAnsi="Times New Roman" w:cs="Times New Roman"/>
          <w:sz w:val="28"/>
          <w:szCs w:val="28"/>
          <w:lang w:val="uk-UA"/>
        </w:rPr>
        <w:t xml:space="preserve"> бер</w:t>
      </w:r>
      <w:r w:rsidR="00AC7C7B">
        <w:rPr>
          <w:rFonts w:ascii="Times New Roman" w:hAnsi="Times New Roman" w:cs="Times New Roman"/>
          <w:sz w:val="28"/>
          <w:szCs w:val="28"/>
          <w:lang w:val="uk-UA"/>
        </w:rPr>
        <w:t>е</w:t>
      </w:r>
      <w:r w:rsidRPr="00A12BC9">
        <w:rPr>
          <w:rFonts w:ascii="Times New Roman" w:hAnsi="Times New Roman" w:cs="Times New Roman"/>
          <w:sz w:val="28"/>
          <w:szCs w:val="28"/>
          <w:lang w:val="uk-UA"/>
        </w:rPr>
        <w:t xml:space="preserve"> участь у взаємодіях клітин, загоєнні ран і міграції клітин, в тому числі, пригнічує ріст раку. SPARC піддається епігенетичн</w:t>
      </w:r>
      <w:r w:rsidR="00AC7C7B">
        <w:rPr>
          <w:rFonts w:ascii="Times New Roman" w:hAnsi="Times New Roman" w:cs="Times New Roman"/>
          <w:sz w:val="28"/>
          <w:szCs w:val="28"/>
          <w:lang w:val="uk-UA"/>
        </w:rPr>
        <w:t>ому</w:t>
      </w:r>
      <w:r w:rsidRPr="00A12BC9">
        <w:rPr>
          <w:rFonts w:ascii="Times New Roman" w:hAnsi="Times New Roman" w:cs="Times New Roman"/>
          <w:sz w:val="28"/>
          <w:szCs w:val="28"/>
          <w:lang w:val="uk-UA"/>
        </w:rPr>
        <w:t xml:space="preserve"> мовчанн</w:t>
      </w:r>
      <w:r w:rsidR="00AC7C7B">
        <w:rPr>
          <w:rFonts w:ascii="Times New Roman" w:hAnsi="Times New Roman" w:cs="Times New Roman"/>
          <w:sz w:val="28"/>
          <w:szCs w:val="28"/>
          <w:lang w:val="uk-UA"/>
        </w:rPr>
        <w:t xml:space="preserve">ю </w:t>
      </w:r>
      <w:r w:rsidRPr="00A12BC9">
        <w:rPr>
          <w:rFonts w:ascii="Times New Roman" w:hAnsi="Times New Roman" w:cs="Times New Roman"/>
          <w:sz w:val="28"/>
          <w:szCs w:val="28"/>
          <w:lang w:val="uk-UA"/>
        </w:rPr>
        <w:t>(«ген</w:t>
      </w:r>
      <w:r w:rsidR="00AC7C7B">
        <w:rPr>
          <w:rFonts w:ascii="Times New Roman" w:hAnsi="Times New Roman" w:cs="Times New Roman"/>
          <w:sz w:val="28"/>
          <w:szCs w:val="28"/>
          <w:lang w:val="uk-UA"/>
        </w:rPr>
        <w:t>, що</w:t>
      </w:r>
      <w:r w:rsidR="00AC7C7B" w:rsidRPr="00AC7C7B">
        <w:rPr>
          <w:rFonts w:ascii="Times New Roman" w:hAnsi="Times New Roman" w:cs="Times New Roman"/>
          <w:sz w:val="28"/>
          <w:szCs w:val="28"/>
          <w:lang w:val="uk-UA"/>
        </w:rPr>
        <w:t xml:space="preserve"> </w:t>
      </w:r>
      <w:r w:rsidR="00AC7C7B" w:rsidRPr="00A12BC9">
        <w:rPr>
          <w:rFonts w:ascii="Times New Roman" w:hAnsi="Times New Roman" w:cs="Times New Roman"/>
          <w:sz w:val="28"/>
          <w:szCs w:val="28"/>
          <w:lang w:val="uk-UA"/>
        </w:rPr>
        <w:t>мовчить</w:t>
      </w:r>
      <w:r w:rsidRPr="00A12BC9">
        <w:rPr>
          <w:rFonts w:ascii="Times New Roman" w:hAnsi="Times New Roman" w:cs="Times New Roman"/>
          <w:sz w:val="28"/>
          <w:szCs w:val="28"/>
          <w:lang w:val="uk-UA"/>
        </w:rPr>
        <w:t xml:space="preserve">») при раку. SPARC, що продукується </w:t>
      </w:r>
      <w:proofErr w:type="spellStart"/>
      <w:r w:rsidRPr="00A12BC9">
        <w:rPr>
          <w:rFonts w:ascii="Times New Roman" w:hAnsi="Times New Roman" w:cs="Times New Roman"/>
          <w:sz w:val="28"/>
          <w:szCs w:val="28"/>
          <w:lang w:val="uk-UA"/>
        </w:rPr>
        <w:t>стромальни</w:t>
      </w:r>
      <w:r w:rsidR="00AC7C7B">
        <w:rPr>
          <w:rFonts w:ascii="Times New Roman" w:hAnsi="Times New Roman" w:cs="Times New Roman"/>
          <w:sz w:val="28"/>
          <w:szCs w:val="28"/>
          <w:lang w:val="uk-UA"/>
        </w:rPr>
        <w:t>ми</w:t>
      </w:r>
      <w:proofErr w:type="spellEnd"/>
      <w:r w:rsidRPr="00A12BC9">
        <w:rPr>
          <w:rFonts w:ascii="Times New Roman" w:hAnsi="Times New Roman" w:cs="Times New Roman"/>
          <w:sz w:val="28"/>
          <w:szCs w:val="28"/>
          <w:lang w:val="uk-UA"/>
        </w:rPr>
        <w:t xml:space="preserve"> клітинами, пов'язаний з гіршим прогнозом для пацієнтів, при цьому наявність SPARC в ракових клітинах не впливал</w:t>
      </w:r>
      <w:r w:rsidR="00AC7C7B">
        <w:rPr>
          <w:rFonts w:ascii="Times New Roman" w:hAnsi="Times New Roman" w:cs="Times New Roman"/>
          <w:sz w:val="28"/>
          <w:szCs w:val="28"/>
          <w:lang w:val="uk-UA"/>
        </w:rPr>
        <w:t>а</w:t>
      </w:r>
      <w:r w:rsidRPr="00A12BC9">
        <w:rPr>
          <w:rFonts w:ascii="Times New Roman" w:hAnsi="Times New Roman" w:cs="Times New Roman"/>
          <w:sz w:val="28"/>
          <w:szCs w:val="28"/>
          <w:lang w:val="uk-UA"/>
        </w:rPr>
        <w:t xml:space="preserve"> на прогноз [16]. </w:t>
      </w:r>
      <w:r w:rsidR="00311891">
        <w:rPr>
          <w:rFonts w:ascii="Times New Roman" w:hAnsi="Times New Roman" w:cs="Times New Roman"/>
          <w:sz w:val="28"/>
          <w:szCs w:val="28"/>
          <w:lang w:val="uk-UA"/>
        </w:rPr>
        <w:t>РПЗ</w:t>
      </w:r>
      <w:r w:rsidRPr="00A12BC9">
        <w:rPr>
          <w:rFonts w:ascii="Times New Roman" w:hAnsi="Times New Roman" w:cs="Times New Roman"/>
          <w:sz w:val="28"/>
          <w:szCs w:val="28"/>
          <w:lang w:val="uk-UA"/>
        </w:rPr>
        <w:t xml:space="preserve"> характеризується великою стромо</w:t>
      </w:r>
      <w:r w:rsidR="00AC7C7B">
        <w:rPr>
          <w:rFonts w:ascii="Times New Roman" w:hAnsi="Times New Roman" w:cs="Times New Roman"/>
          <w:sz w:val="28"/>
          <w:szCs w:val="28"/>
          <w:lang w:val="uk-UA"/>
        </w:rPr>
        <w:t>ю</w:t>
      </w:r>
      <w:r w:rsidRPr="00A12BC9">
        <w:rPr>
          <w:rFonts w:ascii="Times New Roman" w:hAnsi="Times New Roman" w:cs="Times New Roman"/>
          <w:sz w:val="28"/>
          <w:szCs w:val="28"/>
          <w:lang w:val="uk-UA"/>
        </w:rPr>
        <w:t xml:space="preserve">, строма грає вирішальну роль в підтримці зростання, </w:t>
      </w:r>
      <w:proofErr w:type="spellStart"/>
      <w:r w:rsidRPr="00A12BC9">
        <w:rPr>
          <w:rFonts w:ascii="Times New Roman" w:hAnsi="Times New Roman" w:cs="Times New Roman"/>
          <w:sz w:val="28"/>
          <w:szCs w:val="28"/>
          <w:lang w:val="uk-UA"/>
        </w:rPr>
        <w:t>ангіогенезу</w:t>
      </w:r>
      <w:proofErr w:type="spellEnd"/>
      <w:r w:rsidRPr="00A12BC9">
        <w:rPr>
          <w:rFonts w:ascii="Times New Roman" w:hAnsi="Times New Roman" w:cs="Times New Roman"/>
          <w:sz w:val="28"/>
          <w:szCs w:val="28"/>
          <w:lang w:val="uk-UA"/>
        </w:rPr>
        <w:t xml:space="preserve"> і лікарської стійкості пухлини. Галект</w:t>
      </w:r>
      <w:r w:rsidR="00AC7C7B">
        <w:rPr>
          <w:rFonts w:ascii="Times New Roman" w:hAnsi="Times New Roman" w:cs="Times New Roman"/>
          <w:sz w:val="28"/>
          <w:szCs w:val="28"/>
          <w:lang w:val="uk-UA"/>
        </w:rPr>
        <w:t>и</w:t>
      </w:r>
      <w:r w:rsidRPr="00A12BC9">
        <w:rPr>
          <w:rFonts w:ascii="Times New Roman" w:hAnsi="Times New Roman" w:cs="Times New Roman"/>
          <w:sz w:val="28"/>
          <w:szCs w:val="28"/>
          <w:lang w:val="uk-UA"/>
        </w:rPr>
        <w:t xml:space="preserve">н-1 і CRISP-3 відносяться до числа молекул, які </w:t>
      </w:r>
      <w:proofErr w:type="spellStart"/>
      <w:r w:rsidR="00AC7C7B">
        <w:rPr>
          <w:rFonts w:ascii="Times New Roman" w:hAnsi="Times New Roman" w:cs="Times New Roman"/>
          <w:sz w:val="28"/>
          <w:szCs w:val="28"/>
          <w:lang w:val="uk-UA"/>
        </w:rPr>
        <w:t>над</w:t>
      </w:r>
      <w:r w:rsidRPr="00A12BC9">
        <w:rPr>
          <w:rFonts w:ascii="Times New Roman" w:hAnsi="Times New Roman" w:cs="Times New Roman"/>
          <w:sz w:val="28"/>
          <w:szCs w:val="28"/>
          <w:lang w:val="uk-UA"/>
        </w:rPr>
        <w:t>експресуют</w:t>
      </w:r>
      <w:r w:rsidR="00AC7C7B">
        <w:rPr>
          <w:rFonts w:ascii="Times New Roman" w:hAnsi="Times New Roman" w:cs="Times New Roman"/>
          <w:sz w:val="28"/>
          <w:szCs w:val="28"/>
          <w:lang w:val="uk-UA"/>
        </w:rPr>
        <w:t>ь</w:t>
      </w:r>
      <w:r w:rsidRPr="00A12BC9">
        <w:rPr>
          <w:rFonts w:ascii="Times New Roman" w:hAnsi="Times New Roman" w:cs="Times New Roman"/>
          <w:sz w:val="28"/>
          <w:szCs w:val="28"/>
          <w:lang w:val="uk-UA"/>
        </w:rPr>
        <w:t>ся</w:t>
      </w:r>
      <w:proofErr w:type="spellEnd"/>
      <w:r w:rsidRPr="00A12BC9">
        <w:rPr>
          <w:rFonts w:ascii="Times New Roman" w:hAnsi="Times New Roman" w:cs="Times New Roman"/>
          <w:sz w:val="28"/>
          <w:szCs w:val="28"/>
          <w:lang w:val="uk-UA"/>
        </w:rPr>
        <w:t xml:space="preserve"> тільки в стромі [30].</w:t>
      </w:r>
    </w:p>
    <w:p w:rsidR="00AC7C7B" w:rsidRPr="00AC7C7B" w:rsidRDefault="00AC7C7B" w:rsidP="00AC7C7B">
      <w:pPr>
        <w:spacing w:after="0" w:line="240" w:lineRule="auto"/>
        <w:ind w:firstLine="709"/>
        <w:jc w:val="both"/>
        <w:rPr>
          <w:rFonts w:ascii="Times New Roman" w:hAnsi="Times New Roman" w:cs="Times New Roman"/>
          <w:sz w:val="28"/>
          <w:szCs w:val="28"/>
          <w:lang w:val="uk-UA"/>
        </w:rPr>
      </w:pPr>
      <w:r w:rsidRPr="00AC7C7B">
        <w:rPr>
          <w:rFonts w:ascii="Times New Roman" w:hAnsi="Times New Roman" w:cs="Times New Roman"/>
          <w:sz w:val="28"/>
          <w:szCs w:val="28"/>
          <w:lang w:val="uk-UA"/>
        </w:rPr>
        <w:t xml:space="preserve">Особлива увага зараз приділяється дослідженню зірчастих клітин </w:t>
      </w:r>
      <w:r w:rsidR="00311891">
        <w:rPr>
          <w:rFonts w:ascii="Times New Roman" w:hAnsi="Times New Roman" w:cs="Times New Roman"/>
          <w:sz w:val="28"/>
          <w:szCs w:val="28"/>
          <w:lang w:val="uk-UA"/>
        </w:rPr>
        <w:t>ПЗ</w:t>
      </w:r>
      <w:r w:rsidRPr="00AC7C7B">
        <w:rPr>
          <w:rFonts w:ascii="Times New Roman" w:hAnsi="Times New Roman" w:cs="Times New Roman"/>
          <w:sz w:val="28"/>
          <w:szCs w:val="28"/>
          <w:lang w:val="uk-UA"/>
        </w:rPr>
        <w:t xml:space="preserve"> (</w:t>
      </w:r>
      <w:proofErr w:type="spellStart"/>
      <w:r w:rsidRPr="00AC7C7B">
        <w:rPr>
          <w:rFonts w:ascii="Times New Roman" w:hAnsi="Times New Roman" w:cs="Times New Roman"/>
          <w:sz w:val="28"/>
          <w:szCs w:val="28"/>
          <w:lang w:val="uk-UA"/>
        </w:rPr>
        <w:t>HPSCs</w:t>
      </w:r>
      <w:proofErr w:type="spellEnd"/>
      <w:r w:rsidRPr="00AC7C7B">
        <w:rPr>
          <w:rFonts w:ascii="Times New Roman" w:hAnsi="Times New Roman" w:cs="Times New Roman"/>
          <w:sz w:val="28"/>
          <w:szCs w:val="28"/>
          <w:lang w:val="uk-UA"/>
        </w:rPr>
        <w:t xml:space="preserve">) [8]. У проведених дослідженнях доведено, що ці клітини прискорюють проліферацію, прогресію, метастазування пухлинних клітин і погіршують відповідь на променеву і хіміотерапію. Інше дослідження [30] показало, що колаген IV типу, який </w:t>
      </w:r>
      <w:proofErr w:type="spellStart"/>
      <w:r w:rsidRPr="00AC7C7B">
        <w:rPr>
          <w:rFonts w:ascii="Times New Roman" w:hAnsi="Times New Roman" w:cs="Times New Roman"/>
          <w:sz w:val="28"/>
          <w:szCs w:val="28"/>
          <w:lang w:val="uk-UA"/>
        </w:rPr>
        <w:t>секретується</w:t>
      </w:r>
      <w:proofErr w:type="spellEnd"/>
      <w:r w:rsidRPr="00AC7C7B">
        <w:rPr>
          <w:rFonts w:ascii="Times New Roman" w:hAnsi="Times New Roman" w:cs="Times New Roman"/>
          <w:sz w:val="28"/>
          <w:szCs w:val="28"/>
          <w:lang w:val="uk-UA"/>
        </w:rPr>
        <w:t xml:space="preserve"> головним чином зірчастими клітинами, може стимулювати клітини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для проліферації і міграції. Крім того, він може пригнічувати </w:t>
      </w:r>
      <w:proofErr w:type="spellStart"/>
      <w:r w:rsidRPr="00AC7C7B">
        <w:rPr>
          <w:rFonts w:ascii="Times New Roman" w:hAnsi="Times New Roman" w:cs="Times New Roman"/>
          <w:sz w:val="28"/>
          <w:szCs w:val="28"/>
          <w:lang w:val="uk-UA"/>
        </w:rPr>
        <w:t>апоптоз</w:t>
      </w:r>
      <w:proofErr w:type="spellEnd"/>
      <w:r w:rsidRPr="00AC7C7B">
        <w:rPr>
          <w:rFonts w:ascii="Times New Roman" w:hAnsi="Times New Roman" w:cs="Times New Roman"/>
          <w:sz w:val="28"/>
          <w:szCs w:val="28"/>
          <w:lang w:val="uk-UA"/>
        </w:rPr>
        <w:t xml:space="preserve"> через </w:t>
      </w:r>
      <w:proofErr w:type="spellStart"/>
      <w:r w:rsidRPr="00AC7C7B">
        <w:rPr>
          <w:rFonts w:ascii="Times New Roman" w:hAnsi="Times New Roman" w:cs="Times New Roman"/>
          <w:sz w:val="28"/>
          <w:szCs w:val="28"/>
          <w:lang w:val="uk-UA"/>
        </w:rPr>
        <w:t>а</w:t>
      </w:r>
      <w:r w:rsidR="00C64B78">
        <w:rPr>
          <w:rFonts w:ascii="Times New Roman" w:hAnsi="Times New Roman" w:cs="Times New Roman"/>
          <w:sz w:val="28"/>
          <w:szCs w:val="28"/>
          <w:lang w:val="uk-UA"/>
        </w:rPr>
        <w:t>в</w:t>
      </w:r>
      <w:r w:rsidRPr="00AC7C7B">
        <w:rPr>
          <w:rFonts w:ascii="Times New Roman" w:hAnsi="Times New Roman" w:cs="Times New Roman"/>
          <w:sz w:val="28"/>
          <w:szCs w:val="28"/>
          <w:lang w:val="uk-UA"/>
        </w:rPr>
        <w:t>токр</w:t>
      </w:r>
      <w:r>
        <w:rPr>
          <w:rFonts w:ascii="Times New Roman" w:hAnsi="Times New Roman" w:cs="Times New Roman"/>
          <w:sz w:val="28"/>
          <w:szCs w:val="28"/>
          <w:lang w:val="uk-UA"/>
        </w:rPr>
        <w:t>и</w:t>
      </w:r>
      <w:r w:rsidRPr="00AC7C7B">
        <w:rPr>
          <w:rFonts w:ascii="Times New Roman" w:hAnsi="Times New Roman" w:cs="Times New Roman"/>
          <w:sz w:val="28"/>
          <w:szCs w:val="28"/>
          <w:lang w:val="uk-UA"/>
        </w:rPr>
        <w:t>нний</w:t>
      </w:r>
      <w:proofErr w:type="spellEnd"/>
      <w:r w:rsidRPr="00AC7C7B">
        <w:rPr>
          <w:rFonts w:ascii="Times New Roman" w:hAnsi="Times New Roman" w:cs="Times New Roman"/>
          <w:sz w:val="28"/>
          <w:szCs w:val="28"/>
          <w:lang w:val="uk-UA"/>
        </w:rPr>
        <w:t xml:space="preserve"> цикл, підтримуючи власний ріст пухлини і резистентність до лікарських засобів. Зовсім недавно була опублікована можливість комбінування звичайних і </w:t>
      </w:r>
      <w:proofErr w:type="spellStart"/>
      <w:r w:rsidRPr="00AC7C7B">
        <w:rPr>
          <w:rFonts w:ascii="Times New Roman" w:hAnsi="Times New Roman" w:cs="Times New Roman"/>
          <w:sz w:val="28"/>
          <w:szCs w:val="28"/>
          <w:lang w:val="uk-UA"/>
        </w:rPr>
        <w:t>стромальних</w:t>
      </w:r>
      <w:proofErr w:type="spellEnd"/>
      <w:r w:rsidRPr="00AC7C7B">
        <w:rPr>
          <w:rFonts w:ascii="Times New Roman" w:hAnsi="Times New Roman" w:cs="Times New Roman"/>
          <w:sz w:val="28"/>
          <w:szCs w:val="28"/>
          <w:lang w:val="uk-UA"/>
        </w:rPr>
        <w:t xml:space="preserve"> маркерів в діагностиці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Така комбінація може підвищити чутливість CA19-9 [10].</w:t>
      </w:r>
    </w:p>
    <w:p w:rsidR="00AC7C7B" w:rsidRPr="00AC7C7B" w:rsidRDefault="00AC7C7B" w:rsidP="00AC7C7B">
      <w:pPr>
        <w:spacing w:after="0" w:line="240" w:lineRule="auto"/>
        <w:ind w:firstLine="709"/>
        <w:jc w:val="both"/>
        <w:rPr>
          <w:rFonts w:ascii="Times New Roman" w:hAnsi="Times New Roman" w:cs="Times New Roman"/>
          <w:sz w:val="28"/>
          <w:szCs w:val="28"/>
          <w:lang w:val="uk-UA"/>
        </w:rPr>
      </w:pPr>
      <w:r w:rsidRPr="00AC7C7B">
        <w:rPr>
          <w:rFonts w:ascii="Times New Roman" w:hAnsi="Times New Roman" w:cs="Times New Roman"/>
          <w:sz w:val="28"/>
          <w:szCs w:val="28"/>
          <w:lang w:val="uk-UA"/>
        </w:rPr>
        <w:lastRenderedPageBreak/>
        <w:t xml:space="preserve">Чутливість </w:t>
      </w:r>
      <w:proofErr w:type="spellStart"/>
      <w:r w:rsidRPr="00AC7C7B">
        <w:rPr>
          <w:rFonts w:ascii="Times New Roman" w:hAnsi="Times New Roman" w:cs="Times New Roman"/>
          <w:sz w:val="28"/>
          <w:szCs w:val="28"/>
          <w:lang w:val="uk-UA"/>
        </w:rPr>
        <w:t>моноклонального</w:t>
      </w:r>
      <w:proofErr w:type="spellEnd"/>
      <w:r w:rsidRPr="00AC7C7B">
        <w:rPr>
          <w:rFonts w:ascii="Times New Roman" w:hAnsi="Times New Roman" w:cs="Times New Roman"/>
          <w:sz w:val="28"/>
          <w:szCs w:val="28"/>
          <w:lang w:val="uk-UA"/>
        </w:rPr>
        <w:t xml:space="preserve"> антитіла PAM4</w:t>
      </w:r>
      <w:r>
        <w:rPr>
          <w:rFonts w:ascii="Times New Roman" w:hAnsi="Times New Roman" w:cs="Times New Roman"/>
          <w:sz w:val="28"/>
          <w:szCs w:val="28"/>
          <w:lang w:val="uk-UA"/>
        </w:rPr>
        <w:t xml:space="preserve"> </w:t>
      </w:r>
      <w:r w:rsidRPr="00AC7C7B">
        <w:rPr>
          <w:rFonts w:ascii="Times New Roman" w:hAnsi="Times New Roman" w:cs="Times New Roman"/>
          <w:sz w:val="28"/>
          <w:szCs w:val="28"/>
          <w:lang w:val="uk-UA"/>
        </w:rPr>
        <w:t xml:space="preserve">для виявлення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склала 82%, при </w:t>
      </w:r>
      <w:proofErr w:type="spellStart"/>
      <w:r>
        <w:rPr>
          <w:rFonts w:ascii="Times New Roman" w:hAnsi="Times New Roman" w:cs="Times New Roman"/>
          <w:sz w:val="28"/>
          <w:szCs w:val="28"/>
          <w:lang w:val="uk-UA"/>
        </w:rPr>
        <w:t>х</w:t>
      </w:r>
      <w:r w:rsidRPr="00AC7C7B">
        <w:rPr>
          <w:rFonts w:ascii="Times New Roman" w:hAnsi="Times New Roman" w:cs="Times New Roman"/>
          <w:sz w:val="28"/>
          <w:szCs w:val="28"/>
          <w:lang w:val="uk-UA"/>
        </w:rPr>
        <w:t>ибнопозитивн</w:t>
      </w:r>
      <w:r>
        <w:rPr>
          <w:rFonts w:ascii="Times New Roman" w:hAnsi="Times New Roman" w:cs="Times New Roman"/>
          <w:sz w:val="28"/>
          <w:szCs w:val="28"/>
          <w:lang w:val="uk-UA"/>
        </w:rPr>
        <w:t>ому</w:t>
      </w:r>
      <w:proofErr w:type="spellEnd"/>
      <w:r w:rsidRPr="00AC7C7B">
        <w:rPr>
          <w:rFonts w:ascii="Times New Roman" w:hAnsi="Times New Roman" w:cs="Times New Roman"/>
          <w:sz w:val="28"/>
          <w:szCs w:val="28"/>
          <w:lang w:val="uk-UA"/>
        </w:rPr>
        <w:t xml:space="preserve"> рівні 5% для здорової контрольної групи. Пацієнти з пізньою стадією мали значно вищий рівень антигену, ніж у пацієнтів з ранньою стадією (р &lt;0,01), з діагностичною чутливістю 91%, 86% і 62% для стадій 3-4, стадії 2 і стадії 1, відповідно. Це </w:t>
      </w:r>
      <w:r>
        <w:rPr>
          <w:rFonts w:ascii="Times New Roman" w:hAnsi="Times New Roman" w:cs="Times New Roman"/>
          <w:sz w:val="28"/>
          <w:szCs w:val="28"/>
          <w:lang w:val="uk-UA"/>
        </w:rPr>
        <w:t>свідч</w:t>
      </w:r>
      <w:r w:rsidRPr="00AC7C7B">
        <w:rPr>
          <w:rFonts w:ascii="Times New Roman" w:hAnsi="Times New Roman" w:cs="Times New Roman"/>
          <w:sz w:val="28"/>
          <w:szCs w:val="28"/>
          <w:lang w:val="uk-UA"/>
        </w:rPr>
        <w:t xml:space="preserve">ить про те, що PAM4 можна розглядати як потенційний </w:t>
      </w:r>
      <w:proofErr w:type="spellStart"/>
      <w:r w:rsidRPr="00AC7C7B">
        <w:rPr>
          <w:rFonts w:ascii="Times New Roman" w:hAnsi="Times New Roman" w:cs="Times New Roman"/>
          <w:sz w:val="28"/>
          <w:szCs w:val="28"/>
          <w:lang w:val="uk-UA"/>
        </w:rPr>
        <w:t>біомаркер</w:t>
      </w:r>
      <w:proofErr w:type="spellEnd"/>
      <w:r w:rsidRPr="00AC7C7B">
        <w:rPr>
          <w:rFonts w:ascii="Times New Roman" w:hAnsi="Times New Roman" w:cs="Times New Roman"/>
          <w:sz w:val="28"/>
          <w:szCs w:val="28"/>
          <w:lang w:val="uk-UA"/>
        </w:rPr>
        <w:t xml:space="preserve"> скринінгу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Однак, необхідно підтвердження на більш</w:t>
      </w:r>
      <w:r>
        <w:rPr>
          <w:rFonts w:ascii="Times New Roman" w:hAnsi="Times New Roman" w:cs="Times New Roman"/>
          <w:sz w:val="28"/>
          <w:szCs w:val="28"/>
          <w:lang w:val="uk-UA"/>
        </w:rPr>
        <w:t>ому</w:t>
      </w:r>
      <w:r w:rsidRPr="00AC7C7B">
        <w:rPr>
          <w:rFonts w:ascii="Times New Roman" w:hAnsi="Times New Roman" w:cs="Times New Roman"/>
          <w:sz w:val="28"/>
          <w:szCs w:val="28"/>
          <w:lang w:val="uk-UA"/>
        </w:rPr>
        <w:t xml:space="preserve"> клінічному матеріалі [13].</w:t>
      </w:r>
    </w:p>
    <w:p w:rsidR="00AC7C7B" w:rsidRPr="00AC7C7B" w:rsidRDefault="00AC7C7B" w:rsidP="00AC7C7B">
      <w:pPr>
        <w:spacing w:after="0" w:line="240" w:lineRule="auto"/>
        <w:ind w:firstLine="709"/>
        <w:jc w:val="both"/>
        <w:rPr>
          <w:rFonts w:ascii="Times New Roman" w:hAnsi="Times New Roman" w:cs="Times New Roman"/>
          <w:sz w:val="28"/>
          <w:szCs w:val="28"/>
          <w:lang w:val="uk-UA"/>
        </w:rPr>
      </w:pPr>
      <w:r w:rsidRPr="00AC7C7B">
        <w:rPr>
          <w:rFonts w:ascii="Times New Roman" w:hAnsi="Times New Roman" w:cs="Times New Roman"/>
          <w:sz w:val="28"/>
          <w:szCs w:val="28"/>
          <w:lang w:val="uk-UA"/>
        </w:rPr>
        <w:t xml:space="preserve">Іншим потенційним маркером є MIC-1, який порівнювався </w:t>
      </w:r>
      <w:r>
        <w:rPr>
          <w:rFonts w:ascii="Times New Roman" w:hAnsi="Times New Roman" w:cs="Times New Roman"/>
          <w:sz w:val="28"/>
          <w:szCs w:val="28"/>
          <w:lang w:val="uk-UA"/>
        </w:rPr>
        <w:t>і</w:t>
      </w:r>
      <w:r w:rsidRPr="00AC7C7B">
        <w:rPr>
          <w:rFonts w:ascii="Times New Roman" w:hAnsi="Times New Roman" w:cs="Times New Roman"/>
          <w:sz w:val="28"/>
          <w:szCs w:val="28"/>
          <w:lang w:val="uk-UA"/>
        </w:rPr>
        <w:t xml:space="preserve">з CA19-9 для раннього виявлення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Дослідження показало, що MIC-1 був значно кращ</w:t>
      </w:r>
      <w:r>
        <w:rPr>
          <w:rFonts w:ascii="Times New Roman" w:hAnsi="Times New Roman" w:cs="Times New Roman"/>
          <w:sz w:val="28"/>
          <w:szCs w:val="28"/>
          <w:lang w:val="uk-UA"/>
        </w:rPr>
        <w:t xml:space="preserve">ім за </w:t>
      </w:r>
      <w:r w:rsidRPr="00AC7C7B">
        <w:rPr>
          <w:rFonts w:ascii="Times New Roman" w:hAnsi="Times New Roman" w:cs="Times New Roman"/>
          <w:sz w:val="28"/>
          <w:szCs w:val="28"/>
          <w:lang w:val="uk-UA"/>
        </w:rPr>
        <w:t xml:space="preserve">CA19-9 для диференціювання пацієнтів </w:t>
      </w:r>
      <w:r w:rsidR="00C64B78">
        <w:rPr>
          <w:rFonts w:ascii="Times New Roman" w:hAnsi="Times New Roman" w:cs="Times New Roman"/>
          <w:sz w:val="28"/>
          <w:szCs w:val="28"/>
          <w:lang w:val="uk-UA"/>
        </w:rPr>
        <w:t>і</w:t>
      </w:r>
      <w:bookmarkStart w:id="0" w:name="_GoBack"/>
      <w:bookmarkEnd w:id="0"/>
      <w:r w:rsidRPr="00AC7C7B">
        <w:rPr>
          <w:rFonts w:ascii="Times New Roman" w:hAnsi="Times New Roman" w:cs="Times New Roman"/>
          <w:sz w:val="28"/>
          <w:szCs w:val="28"/>
          <w:lang w:val="uk-UA"/>
        </w:rPr>
        <w:t xml:space="preserve">з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від здорової контрольної групи, але не для диференціації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від ХП [21].</w:t>
      </w:r>
    </w:p>
    <w:p w:rsidR="00AC7C7B" w:rsidRPr="00AC7C7B" w:rsidRDefault="00AC7C7B" w:rsidP="00AC7C7B">
      <w:pPr>
        <w:spacing w:after="0" w:line="240" w:lineRule="auto"/>
        <w:ind w:firstLine="709"/>
        <w:jc w:val="both"/>
        <w:rPr>
          <w:rFonts w:ascii="Times New Roman" w:hAnsi="Times New Roman" w:cs="Times New Roman"/>
          <w:sz w:val="28"/>
          <w:szCs w:val="28"/>
          <w:lang w:val="uk-UA"/>
        </w:rPr>
      </w:pPr>
      <w:r w:rsidRPr="00AC7C7B">
        <w:rPr>
          <w:rFonts w:ascii="Times New Roman" w:hAnsi="Times New Roman" w:cs="Times New Roman"/>
          <w:sz w:val="28"/>
          <w:szCs w:val="28"/>
          <w:lang w:val="uk-UA"/>
        </w:rPr>
        <w:t xml:space="preserve">Недавні розробки в області </w:t>
      </w:r>
      <w:proofErr w:type="spellStart"/>
      <w:r w:rsidRPr="00AC7C7B">
        <w:rPr>
          <w:rFonts w:ascii="Times New Roman" w:hAnsi="Times New Roman" w:cs="Times New Roman"/>
          <w:sz w:val="28"/>
          <w:szCs w:val="28"/>
          <w:lang w:val="uk-UA"/>
        </w:rPr>
        <w:t>протеоміки</w:t>
      </w:r>
      <w:proofErr w:type="spellEnd"/>
      <w:r w:rsidRPr="00AC7C7B">
        <w:rPr>
          <w:rFonts w:ascii="Times New Roman" w:hAnsi="Times New Roman" w:cs="Times New Roman"/>
          <w:sz w:val="28"/>
          <w:szCs w:val="28"/>
          <w:lang w:val="uk-UA"/>
        </w:rPr>
        <w:t xml:space="preserve"> надали нові методи для виявлення </w:t>
      </w:r>
      <w:proofErr w:type="spellStart"/>
      <w:r w:rsidRPr="00AC7C7B">
        <w:rPr>
          <w:rFonts w:ascii="Times New Roman" w:hAnsi="Times New Roman" w:cs="Times New Roman"/>
          <w:sz w:val="28"/>
          <w:szCs w:val="28"/>
          <w:lang w:val="uk-UA"/>
        </w:rPr>
        <w:t>біомаркерів</w:t>
      </w:r>
      <w:proofErr w:type="spellEnd"/>
      <w:r w:rsidRPr="00AC7C7B">
        <w:rPr>
          <w:rFonts w:ascii="Times New Roman" w:hAnsi="Times New Roman" w:cs="Times New Roman"/>
          <w:sz w:val="28"/>
          <w:szCs w:val="28"/>
          <w:lang w:val="uk-UA"/>
        </w:rPr>
        <w:t xml:space="preserve">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[29]. Було проведено дослідження [38] можливості застосування </w:t>
      </w:r>
      <w:proofErr w:type="spellStart"/>
      <w:r w:rsidRPr="00AC7C7B">
        <w:rPr>
          <w:rFonts w:ascii="Times New Roman" w:hAnsi="Times New Roman" w:cs="Times New Roman"/>
          <w:sz w:val="28"/>
          <w:szCs w:val="28"/>
          <w:lang w:val="uk-UA"/>
        </w:rPr>
        <w:t>miRNA</w:t>
      </w:r>
      <w:proofErr w:type="spellEnd"/>
      <w:r w:rsidRPr="00AC7C7B">
        <w:rPr>
          <w:rFonts w:ascii="Times New Roman" w:hAnsi="Times New Roman" w:cs="Times New Roman"/>
          <w:sz w:val="28"/>
          <w:szCs w:val="28"/>
          <w:lang w:val="uk-UA"/>
        </w:rPr>
        <w:t xml:space="preserve">, отриманого з </w:t>
      </w:r>
      <w:r>
        <w:rPr>
          <w:rFonts w:ascii="Times New Roman" w:hAnsi="Times New Roman" w:cs="Times New Roman"/>
          <w:sz w:val="28"/>
          <w:szCs w:val="28"/>
          <w:lang w:val="uk-UA"/>
        </w:rPr>
        <w:t>калу</w:t>
      </w:r>
      <w:r w:rsidRPr="00AC7C7B">
        <w:rPr>
          <w:rFonts w:ascii="Times New Roman" w:hAnsi="Times New Roman" w:cs="Times New Roman"/>
          <w:sz w:val="28"/>
          <w:szCs w:val="28"/>
          <w:lang w:val="uk-UA"/>
        </w:rPr>
        <w:t xml:space="preserve"> пацієнта, як потенційного </w:t>
      </w:r>
      <w:proofErr w:type="spellStart"/>
      <w:r w:rsidRPr="00AC7C7B">
        <w:rPr>
          <w:rFonts w:ascii="Times New Roman" w:hAnsi="Times New Roman" w:cs="Times New Roman"/>
          <w:sz w:val="28"/>
          <w:szCs w:val="28"/>
          <w:lang w:val="uk-UA"/>
        </w:rPr>
        <w:t>біомаркер</w:t>
      </w:r>
      <w:r>
        <w:rPr>
          <w:rFonts w:ascii="Times New Roman" w:hAnsi="Times New Roman" w:cs="Times New Roman"/>
          <w:sz w:val="28"/>
          <w:szCs w:val="28"/>
          <w:lang w:val="uk-UA"/>
        </w:rPr>
        <w:t>а</w:t>
      </w:r>
      <w:proofErr w:type="spellEnd"/>
      <w:r w:rsidRPr="00AC7C7B">
        <w:rPr>
          <w:rFonts w:ascii="Times New Roman" w:hAnsi="Times New Roman" w:cs="Times New Roman"/>
          <w:sz w:val="28"/>
          <w:szCs w:val="28"/>
          <w:lang w:val="uk-UA"/>
        </w:rPr>
        <w:t xml:space="preserve"> для скринінгу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Експресія miR-21, miR-155 і miR-216 в тканинах </w:t>
      </w:r>
      <w:r w:rsidR="00311891">
        <w:rPr>
          <w:rFonts w:ascii="Times New Roman" w:hAnsi="Times New Roman" w:cs="Times New Roman"/>
          <w:sz w:val="28"/>
          <w:szCs w:val="28"/>
          <w:lang w:val="uk-UA"/>
        </w:rPr>
        <w:t>ПЗ</w:t>
      </w:r>
      <w:r w:rsidRPr="00AC7C7B">
        <w:rPr>
          <w:rFonts w:ascii="Times New Roman" w:hAnsi="Times New Roman" w:cs="Times New Roman"/>
          <w:sz w:val="28"/>
          <w:szCs w:val="28"/>
          <w:lang w:val="uk-UA"/>
        </w:rPr>
        <w:t>, панкреатич</w:t>
      </w:r>
      <w:r w:rsidR="0085312F">
        <w:rPr>
          <w:rFonts w:ascii="Times New Roman" w:hAnsi="Times New Roman" w:cs="Times New Roman"/>
          <w:sz w:val="28"/>
          <w:szCs w:val="28"/>
          <w:lang w:val="uk-UA"/>
        </w:rPr>
        <w:t>ному</w:t>
      </w:r>
      <w:r w:rsidRPr="00AC7C7B">
        <w:rPr>
          <w:rFonts w:ascii="Times New Roman" w:hAnsi="Times New Roman" w:cs="Times New Roman"/>
          <w:sz w:val="28"/>
          <w:szCs w:val="28"/>
          <w:lang w:val="uk-UA"/>
        </w:rPr>
        <w:t xml:space="preserve"> соку і </w:t>
      </w:r>
      <w:r w:rsidR="0085312F">
        <w:rPr>
          <w:rFonts w:ascii="Times New Roman" w:hAnsi="Times New Roman" w:cs="Times New Roman"/>
          <w:sz w:val="28"/>
          <w:szCs w:val="28"/>
          <w:lang w:val="uk-UA"/>
        </w:rPr>
        <w:t>калі</w:t>
      </w:r>
      <w:r w:rsidRPr="00AC7C7B">
        <w:rPr>
          <w:rFonts w:ascii="Times New Roman" w:hAnsi="Times New Roman" w:cs="Times New Roman"/>
          <w:sz w:val="28"/>
          <w:szCs w:val="28"/>
          <w:lang w:val="uk-UA"/>
        </w:rPr>
        <w:t xml:space="preserve"> продемонструвала можливість використання </w:t>
      </w:r>
      <w:proofErr w:type="spellStart"/>
      <w:r w:rsidRPr="00AC7C7B">
        <w:rPr>
          <w:rFonts w:ascii="Times New Roman" w:hAnsi="Times New Roman" w:cs="Times New Roman"/>
          <w:sz w:val="28"/>
          <w:szCs w:val="28"/>
          <w:lang w:val="uk-UA"/>
        </w:rPr>
        <w:t>miRNAs</w:t>
      </w:r>
      <w:proofErr w:type="spellEnd"/>
      <w:r w:rsidRPr="00AC7C7B">
        <w:rPr>
          <w:rFonts w:ascii="Times New Roman" w:hAnsi="Times New Roman" w:cs="Times New Roman"/>
          <w:sz w:val="28"/>
          <w:szCs w:val="28"/>
          <w:lang w:val="uk-UA"/>
        </w:rPr>
        <w:t xml:space="preserve"> </w:t>
      </w:r>
      <w:r w:rsidR="0085312F">
        <w:rPr>
          <w:rFonts w:ascii="Times New Roman" w:hAnsi="Times New Roman" w:cs="Times New Roman"/>
          <w:sz w:val="28"/>
          <w:szCs w:val="28"/>
          <w:lang w:val="uk-UA"/>
        </w:rPr>
        <w:t>калу</w:t>
      </w:r>
      <w:r w:rsidRPr="00AC7C7B">
        <w:rPr>
          <w:rFonts w:ascii="Times New Roman" w:hAnsi="Times New Roman" w:cs="Times New Roman"/>
          <w:sz w:val="28"/>
          <w:szCs w:val="28"/>
          <w:lang w:val="uk-UA"/>
        </w:rPr>
        <w:t xml:space="preserve"> в якості </w:t>
      </w:r>
      <w:proofErr w:type="spellStart"/>
      <w:r w:rsidRPr="00AC7C7B">
        <w:rPr>
          <w:rFonts w:ascii="Times New Roman" w:hAnsi="Times New Roman" w:cs="Times New Roman"/>
          <w:sz w:val="28"/>
          <w:szCs w:val="28"/>
          <w:lang w:val="uk-UA"/>
        </w:rPr>
        <w:t>неінвазивних</w:t>
      </w:r>
      <w:proofErr w:type="spellEnd"/>
      <w:r w:rsidRPr="00AC7C7B">
        <w:rPr>
          <w:rFonts w:ascii="Times New Roman" w:hAnsi="Times New Roman" w:cs="Times New Roman"/>
          <w:sz w:val="28"/>
          <w:szCs w:val="28"/>
          <w:lang w:val="uk-UA"/>
        </w:rPr>
        <w:t xml:space="preserve"> методів дослідження для скринінгу </w:t>
      </w:r>
      <w:r w:rsidR="00311891">
        <w:rPr>
          <w:rFonts w:ascii="Times New Roman" w:hAnsi="Times New Roman" w:cs="Times New Roman"/>
          <w:sz w:val="28"/>
          <w:szCs w:val="28"/>
          <w:lang w:val="uk-UA"/>
        </w:rPr>
        <w:t>РПЗ</w:t>
      </w:r>
      <w:r w:rsidRPr="00AC7C7B">
        <w:rPr>
          <w:rFonts w:ascii="Times New Roman" w:hAnsi="Times New Roman" w:cs="Times New Roman"/>
          <w:sz w:val="28"/>
          <w:szCs w:val="28"/>
          <w:lang w:val="uk-UA"/>
        </w:rPr>
        <w:t xml:space="preserve">. Більш того, комбінація двох або трьох </w:t>
      </w:r>
      <w:proofErr w:type="spellStart"/>
      <w:r w:rsidRPr="00AC7C7B">
        <w:rPr>
          <w:rFonts w:ascii="Times New Roman" w:hAnsi="Times New Roman" w:cs="Times New Roman"/>
          <w:sz w:val="28"/>
          <w:szCs w:val="28"/>
          <w:lang w:val="uk-UA"/>
        </w:rPr>
        <w:t>miRNAs</w:t>
      </w:r>
      <w:proofErr w:type="spellEnd"/>
      <w:r w:rsidRPr="00AC7C7B">
        <w:rPr>
          <w:rFonts w:ascii="Times New Roman" w:hAnsi="Times New Roman" w:cs="Times New Roman"/>
          <w:sz w:val="28"/>
          <w:szCs w:val="28"/>
          <w:lang w:val="uk-UA"/>
        </w:rPr>
        <w:t xml:space="preserve"> </w:t>
      </w:r>
      <w:r w:rsidR="0085312F">
        <w:rPr>
          <w:rFonts w:ascii="Times New Roman" w:hAnsi="Times New Roman" w:cs="Times New Roman"/>
          <w:sz w:val="28"/>
          <w:szCs w:val="28"/>
          <w:lang w:val="uk-UA"/>
        </w:rPr>
        <w:t>калу</w:t>
      </w:r>
      <w:r w:rsidRPr="00AC7C7B">
        <w:rPr>
          <w:rFonts w:ascii="Times New Roman" w:hAnsi="Times New Roman" w:cs="Times New Roman"/>
          <w:sz w:val="28"/>
          <w:szCs w:val="28"/>
          <w:lang w:val="uk-UA"/>
        </w:rPr>
        <w:t xml:space="preserve"> (miR-21, miR-155 і miR-216) може підвищити ефективність дослідження [38].</w:t>
      </w:r>
    </w:p>
    <w:p w:rsidR="00AC7C7B" w:rsidRPr="00FA7218" w:rsidRDefault="00AC7C7B" w:rsidP="00AC7C7B">
      <w:pPr>
        <w:spacing w:after="0" w:line="240" w:lineRule="auto"/>
        <w:ind w:firstLine="709"/>
        <w:jc w:val="both"/>
        <w:rPr>
          <w:rFonts w:ascii="Times New Roman" w:hAnsi="Times New Roman" w:cs="Times New Roman"/>
          <w:sz w:val="28"/>
          <w:szCs w:val="28"/>
          <w:lang w:val="uk-UA"/>
        </w:rPr>
      </w:pPr>
      <w:r w:rsidRPr="00AC7C7B">
        <w:rPr>
          <w:rFonts w:ascii="Times New Roman" w:hAnsi="Times New Roman" w:cs="Times New Roman"/>
          <w:sz w:val="28"/>
          <w:szCs w:val="28"/>
          <w:lang w:val="uk-UA"/>
        </w:rPr>
        <w:t xml:space="preserve">За допомогою </w:t>
      </w:r>
      <w:proofErr w:type="spellStart"/>
      <w:r w:rsidRPr="00AC7C7B">
        <w:rPr>
          <w:rFonts w:ascii="Times New Roman" w:hAnsi="Times New Roman" w:cs="Times New Roman"/>
          <w:sz w:val="28"/>
          <w:szCs w:val="28"/>
          <w:lang w:val="uk-UA"/>
        </w:rPr>
        <w:t>транскр</w:t>
      </w:r>
      <w:r w:rsidR="0085312F">
        <w:rPr>
          <w:rFonts w:ascii="Times New Roman" w:hAnsi="Times New Roman" w:cs="Times New Roman"/>
          <w:sz w:val="28"/>
          <w:szCs w:val="28"/>
          <w:lang w:val="uk-UA"/>
        </w:rPr>
        <w:t>и</w:t>
      </w:r>
      <w:r w:rsidRPr="00AC7C7B">
        <w:rPr>
          <w:rFonts w:ascii="Times New Roman" w:hAnsi="Times New Roman" w:cs="Times New Roman"/>
          <w:sz w:val="28"/>
          <w:szCs w:val="28"/>
          <w:lang w:val="uk-UA"/>
        </w:rPr>
        <w:t>птом</w:t>
      </w:r>
      <w:r w:rsidR="0085312F">
        <w:rPr>
          <w:rFonts w:ascii="Times New Roman" w:hAnsi="Times New Roman" w:cs="Times New Roman"/>
          <w:sz w:val="28"/>
          <w:szCs w:val="28"/>
          <w:lang w:val="uk-UA"/>
        </w:rPr>
        <w:t>у</w:t>
      </w:r>
      <w:proofErr w:type="spellEnd"/>
      <w:r w:rsidRPr="00AC7C7B">
        <w:rPr>
          <w:rFonts w:ascii="Times New Roman" w:hAnsi="Times New Roman" w:cs="Times New Roman"/>
          <w:sz w:val="28"/>
          <w:szCs w:val="28"/>
          <w:lang w:val="uk-UA"/>
        </w:rPr>
        <w:t xml:space="preserve"> білка слини, використовуючи метод </w:t>
      </w:r>
      <w:proofErr w:type="spellStart"/>
      <w:r w:rsidRPr="00AC7C7B">
        <w:rPr>
          <w:rFonts w:ascii="Times New Roman" w:hAnsi="Times New Roman" w:cs="Times New Roman"/>
          <w:sz w:val="28"/>
          <w:szCs w:val="28"/>
          <w:lang w:val="uk-UA"/>
        </w:rPr>
        <w:t>мікрочіпів</w:t>
      </w:r>
      <w:proofErr w:type="spellEnd"/>
      <w:r w:rsidRPr="00AC7C7B">
        <w:rPr>
          <w:rFonts w:ascii="Times New Roman" w:hAnsi="Times New Roman" w:cs="Times New Roman"/>
          <w:sz w:val="28"/>
          <w:szCs w:val="28"/>
          <w:lang w:val="uk-UA"/>
        </w:rPr>
        <w:t xml:space="preserve"> ДНК, було встановлено, що комбінація з чотирьох </w:t>
      </w:r>
      <w:proofErr w:type="spellStart"/>
      <w:r w:rsidRPr="00AC7C7B">
        <w:rPr>
          <w:rFonts w:ascii="Times New Roman" w:hAnsi="Times New Roman" w:cs="Times New Roman"/>
          <w:sz w:val="28"/>
          <w:szCs w:val="28"/>
          <w:lang w:val="uk-UA"/>
        </w:rPr>
        <w:t>біомаркерів</w:t>
      </w:r>
      <w:proofErr w:type="spellEnd"/>
      <w:r w:rsidRPr="00AC7C7B">
        <w:rPr>
          <w:rFonts w:ascii="Times New Roman" w:hAnsi="Times New Roman" w:cs="Times New Roman"/>
          <w:sz w:val="28"/>
          <w:szCs w:val="28"/>
          <w:lang w:val="uk-UA"/>
        </w:rPr>
        <w:t xml:space="preserve"> РНК (KRAS, MBD3L2, ACRV1 і DPM1) може істотно підвищити точність диференціювання онкологічних хворих від здорових пацієнтів з відносно високою чутливістю (90%) і специфічністю ( 95%) [39].</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Результати фекального K-RAS дали широкий діапазон позитивн</w:t>
      </w:r>
      <w:r>
        <w:rPr>
          <w:rFonts w:ascii="Times New Roman" w:hAnsi="Times New Roman" w:cs="Times New Roman"/>
          <w:sz w:val="28"/>
          <w:szCs w:val="28"/>
          <w:lang w:val="uk-UA"/>
        </w:rPr>
        <w:t>их</w:t>
      </w:r>
      <w:r w:rsidRPr="005A5654">
        <w:rPr>
          <w:rFonts w:ascii="Times New Roman" w:hAnsi="Times New Roman" w:cs="Times New Roman"/>
          <w:sz w:val="28"/>
          <w:szCs w:val="28"/>
          <w:lang w:val="uk-UA"/>
        </w:rPr>
        <w:t xml:space="preserve"> результатів: від 20% до 90%; крім того, зміни також виявляються в 55% випадків доброякісних утворень </w:t>
      </w:r>
      <w:r w:rsidR="00311891">
        <w:rPr>
          <w:rFonts w:ascii="Times New Roman" w:hAnsi="Times New Roman" w:cs="Times New Roman"/>
          <w:sz w:val="28"/>
          <w:szCs w:val="28"/>
          <w:lang w:val="uk-UA"/>
        </w:rPr>
        <w:t>ПЗ</w:t>
      </w:r>
      <w:r w:rsidRPr="005A5654">
        <w:rPr>
          <w:rFonts w:ascii="Times New Roman" w:hAnsi="Times New Roman" w:cs="Times New Roman"/>
          <w:sz w:val="28"/>
          <w:szCs w:val="28"/>
          <w:lang w:val="uk-UA"/>
        </w:rPr>
        <w:t xml:space="preserve"> (запалення, гіперплазія), при відсутності захворювань (10-13%) і інших захворюваннях, не пов'язаних з </w:t>
      </w:r>
      <w:r w:rsidR="00311891">
        <w:rPr>
          <w:rFonts w:ascii="Times New Roman" w:hAnsi="Times New Roman" w:cs="Times New Roman"/>
          <w:sz w:val="28"/>
          <w:szCs w:val="28"/>
          <w:lang w:val="uk-UA"/>
        </w:rPr>
        <w:t>ПЗ</w:t>
      </w:r>
      <w:r w:rsidRPr="005A5654">
        <w:rPr>
          <w:rFonts w:ascii="Times New Roman" w:hAnsi="Times New Roman" w:cs="Times New Roman"/>
          <w:sz w:val="28"/>
          <w:szCs w:val="28"/>
          <w:lang w:val="uk-UA"/>
        </w:rPr>
        <w:t xml:space="preserve"> (</w:t>
      </w:r>
      <w:proofErr w:type="spellStart"/>
      <w:r w:rsidRPr="005A5654">
        <w:rPr>
          <w:rFonts w:ascii="Times New Roman" w:hAnsi="Times New Roman" w:cs="Times New Roman"/>
          <w:sz w:val="28"/>
          <w:szCs w:val="28"/>
          <w:lang w:val="uk-UA"/>
        </w:rPr>
        <w:t>колоректальний</w:t>
      </w:r>
      <w:proofErr w:type="spellEnd"/>
      <w:r w:rsidRPr="005A5654">
        <w:rPr>
          <w:rFonts w:ascii="Times New Roman" w:hAnsi="Times New Roman" w:cs="Times New Roman"/>
          <w:sz w:val="28"/>
          <w:szCs w:val="28"/>
          <w:lang w:val="uk-UA"/>
        </w:rPr>
        <w:t xml:space="preserve"> рак - 60-80% випадків). Це </w:t>
      </w:r>
      <w:r>
        <w:rPr>
          <w:rFonts w:ascii="Times New Roman" w:hAnsi="Times New Roman" w:cs="Times New Roman"/>
          <w:sz w:val="28"/>
          <w:szCs w:val="28"/>
          <w:lang w:val="uk-UA"/>
        </w:rPr>
        <w:t>робить</w:t>
      </w:r>
      <w:r w:rsidRPr="005A5654">
        <w:rPr>
          <w:rFonts w:ascii="Times New Roman" w:hAnsi="Times New Roman" w:cs="Times New Roman"/>
          <w:sz w:val="28"/>
          <w:szCs w:val="28"/>
          <w:lang w:val="uk-UA"/>
        </w:rPr>
        <w:t xml:space="preserve"> фекальний K-RAS неспецифічним тестом [31]. Різні комбінації маркерів підвищують чутливість і специфічність, наприклад, K-RAS </w:t>
      </w:r>
      <w:r>
        <w:rPr>
          <w:rFonts w:ascii="Times New Roman" w:hAnsi="Times New Roman" w:cs="Times New Roman"/>
          <w:sz w:val="28"/>
          <w:szCs w:val="28"/>
          <w:lang w:val="uk-UA"/>
        </w:rPr>
        <w:t>і</w:t>
      </w:r>
      <w:r w:rsidRPr="005A5654">
        <w:rPr>
          <w:rFonts w:ascii="Times New Roman" w:hAnsi="Times New Roman" w:cs="Times New Roman"/>
          <w:sz w:val="28"/>
          <w:szCs w:val="28"/>
          <w:lang w:val="uk-UA"/>
        </w:rPr>
        <w:t xml:space="preserve">з CA19-9 або CA-242. Проводиться пошук нових маркерів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що виявляються в </w:t>
      </w:r>
      <w:r>
        <w:rPr>
          <w:rFonts w:ascii="Times New Roman" w:hAnsi="Times New Roman" w:cs="Times New Roman"/>
          <w:sz w:val="28"/>
          <w:szCs w:val="28"/>
          <w:lang w:val="uk-UA"/>
        </w:rPr>
        <w:t>калі</w:t>
      </w:r>
      <w:r w:rsidRPr="005A5654">
        <w:rPr>
          <w:rFonts w:ascii="Times New Roman" w:hAnsi="Times New Roman" w:cs="Times New Roman"/>
          <w:sz w:val="28"/>
          <w:szCs w:val="28"/>
          <w:lang w:val="uk-UA"/>
        </w:rPr>
        <w:t xml:space="preserve">. Наприклад, </w:t>
      </w:r>
      <w:proofErr w:type="spellStart"/>
      <w:r w:rsidRPr="005A5654">
        <w:rPr>
          <w:rFonts w:ascii="Times New Roman" w:hAnsi="Times New Roman" w:cs="Times New Roman"/>
          <w:sz w:val="28"/>
          <w:szCs w:val="28"/>
          <w:lang w:val="uk-UA"/>
        </w:rPr>
        <w:t>метильований</w:t>
      </w:r>
      <w:proofErr w:type="spellEnd"/>
      <w:r w:rsidRPr="005A5654">
        <w:rPr>
          <w:rFonts w:ascii="Times New Roman" w:hAnsi="Times New Roman" w:cs="Times New Roman"/>
          <w:sz w:val="28"/>
          <w:szCs w:val="28"/>
          <w:lang w:val="uk-UA"/>
        </w:rPr>
        <w:t xml:space="preserve"> BMP3 був виявлений </w:t>
      </w:r>
      <w:r>
        <w:rPr>
          <w:rFonts w:ascii="Times New Roman" w:hAnsi="Times New Roman" w:cs="Times New Roman"/>
          <w:sz w:val="28"/>
          <w:szCs w:val="28"/>
          <w:lang w:val="uk-UA"/>
        </w:rPr>
        <w:t>у</w:t>
      </w:r>
      <w:r w:rsidRPr="005A5654">
        <w:rPr>
          <w:rFonts w:ascii="Times New Roman" w:hAnsi="Times New Roman" w:cs="Times New Roman"/>
          <w:sz w:val="28"/>
          <w:szCs w:val="28"/>
          <w:lang w:val="uk-UA"/>
        </w:rPr>
        <w:t xml:space="preserve"> ви</w:t>
      </w:r>
      <w:r>
        <w:rPr>
          <w:rFonts w:ascii="Times New Roman" w:hAnsi="Times New Roman" w:cs="Times New Roman"/>
          <w:sz w:val="28"/>
          <w:szCs w:val="28"/>
          <w:lang w:val="uk-UA"/>
        </w:rPr>
        <w:t>щ</w:t>
      </w:r>
      <w:r w:rsidRPr="005A5654">
        <w:rPr>
          <w:rFonts w:ascii="Times New Roman" w:hAnsi="Times New Roman" w:cs="Times New Roman"/>
          <w:sz w:val="28"/>
          <w:szCs w:val="28"/>
          <w:lang w:val="uk-UA"/>
        </w:rPr>
        <w:t xml:space="preserve">их концентраціях при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ніж в контрольних зразках [19].</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 xml:space="preserve">Інші маркери включають CEACAM-1, OPN, REG-4, розчинний iC3b (siC3b) і TPS-антиген. CEACAM-1, також </w:t>
      </w:r>
      <w:r>
        <w:rPr>
          <w:rFonts w:ascii="Times New Roman" w:hAnsi="Times New Roman" w:cs="Times New Roman"/>
          <w:sz w:val="28"/>
          <w:szCs w:val="28"/>
          <w:lang w:val="uk-UA"/>
        </w:rPr>
        <w:t>на</w:t>
      </w:r>
      <w:r w:rsidRPr="005A5654">
        <w:rPr>
          <w:rFonts w:ascii="Times New Roman" w:hAnsi="Times New Roman" w:cs="Times New Roman"/>
          <w:sz w:val="28"/>
          <w:szCs w:val="28"/>
          <w:lang w:val="uk-UA"/>
        </w:rPr>
        <w:t xml:space="preserve">званий </w:t>
      </w:r>
      <w:proofErr w:type="spellStart"/>
      <w:r w:rsidRPr="005A5654">
        <w:rPr>
          <w:rFonts w:ascii="Times New Roman" w:hAnsi="Times New Roman" w:cs="Times New Roman"/>
          <w:sz w:val="28"/>
          <w:szCs w:val="28"/>
          <w:lang w:val="uk-UA"/>
        </w:rPr>
        <w:t>біліарним</w:t>
      </w:r>
      <w:proofErr w:type="spellEnd"/>
      <w:r w:rsidRPr="005A5654">
        <w:rPr>
          <w:rFonts w:ascii="Times New Roman" w:hAnsi="Times New Roman" w:cs="Times New Roman"/>
          <w:sz w:val="28"/>
          <w:szCs w:val="28"/>
          <w:lang w:val="uk-UA"/>
        </w:rPr>
        <w:t xml:space="preserve"> глікопротеїном-1, належить до </w:t>
      </w:r>
      <w:proofErr w:type="spellStart"/>
      <w:r w:rsidRPr="005A5654">
        <w:rPr>
          <w:rFonts w:ascii="Times New Roman" w:hAnsi="Times New Roman" w:cs="Times New Roman"/>
          <w:sz w:val="28"/>
          <w:szCs w:val="28"/>
          <w:lang w:val="uk-UA"/>
        </w:rPr>
        <w:t>суперсімейств</w:t>
      </w:r>
      <w:r>
        <w:rPr>
          <w:rFonts w:ascii="Times New Roman" w:hAnsi="Times New Roman" w:cs="Times New Roman"/>
          <w:sz w:val="28"/>
          <w:szCs w:val="28"/>
          <w:lang w:val="uk-UA"/>
        </w:rPr>
        <w:t>а</w:t>
      </w:r>
      <w:proofErr w:type="spellEnd"/>
      <w:r w:rsidRPr="005A5654">
        <w:rPr>
          <w:rFonts w:ascii="Times New Roman" w:hAnsi="Times New Roman" w:cs="Times New Roman"/>
          <w:sz w:val="28"/>
          <w:szCs w:val="28"/>
          <w:lang w:val="uk-UA"/>
        </w:rPr>
        <w:t xml:space="preserve"> </w:t>
      </w:r>
      <w:proofErr w:type="spellStart"/>
      <w:r w:rsidRPr="005A5654">
        <w:rPr>
          <w:rFonts w:ascii="Times New Roman" w:hAnsi="Times New Roman" w:cs="Times New Roman"/>
          <w:sz w:val="28"/>
          <w:szCs w:val="28"/>
          <w:lang w:val="uk-UA"/>
        </w:rPr>
        <w:t>імуноглобулінів</w:t>
      </w:r>
      <w:proofErr w:type="spellEnd"/>
      <w:r w:rsidRPr="005A5654">
        <w:rPr>
          <w:rFonts w:ascii="Times New Roman" w:hAnsi="Times New Roman" w:cs="Times New Roman"/>
          <w:sz w:val="28"/>
          <w:szCs w:val="28"/>
          <w:lang w:val="uk-UA"/>
        </w:rPr>
        <w:t>. CEACAM</w:t>
      </w:r>
      <w:r>
        <w:rPr>
          <w:rFonts w:ascii="Times New Roman" w:hAnsi="Times New Roman" w:cs="Times New Roman"/>
          <w:sz w:val="28"/>
          <w:szCs w:val="28"/>
          <w:lang w:val="uk-UA"/>
        </w:rPr>
        <w:t>-</w:t>
      </w:r>
      <w:r w:rsidRPr="005A5654">
        <w:rPr>
          <w:rFonts w:ascii="Times New Roman" w:hAnsi="Times New Roman" w:cs="Times New Roman"/>
          <w:sz w:val="28"/>
          <w:szCs w:val="28"/>
          <w:lang w:val="uk-UA"/>
        </w:rPr>
        <w:t xml:space="preserve">1 був </w:t>
      </w:r>
      <w:proofErr w:type="spellStart"/>
      <w:r w:rsidRPr="005A5654">
        <w:rPr>
          <w:rFonts w:ascii="Times New Roman" w:hAnsi="Times New Roman" w:cs="Times New Roman"/>
          <w:sz w:val="28"/>
          <w:szCs w:val="28"/>
          <w:lang w:val="uk-UA"/>
        </w:rPr>
        <w:t>експрес</w:t>
      </w:r>
      <w:r>
        <w:rPr>
          <w:rFonts w:ascii="Times New Roman" w:hAnsi="Times New Roman" w:cs="Times New Roman"/>
          <w:sz w:val="28"/>
          <w:szCs w:val="28"/>
          <w:lang w:val="uk-UA"/>
        </w:rPr>
        <w:t>ований</w:t>
      </w:r>
      <w:proofErr w:type="spellEnd"/>
      <w:r w:rsidRPr="005A5654">
        <w:rPr>
          <w:rFonts w:ascii="Times New Roman" w:hAnsi="Times New Roman" w:cs="Times New Roman"/>
          <w:sz w:val="28"/>
          <w:szCs w:val="28"/>
          <w:lang w:val="uk-UA"/>
        </w:rPr>
        <w:t xml:space="preserve"> в сироватці у 91% пацієнтів з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24% здорових пацієнтів і 66% пацієнтів </w:t>
      </w:r>
      <w:r>
        <w:rPr>
          <w:rFonts w:ascii="Times New Roman" w:hAnsi="Times New Roman" w:cs="Times New Roman"/>
          <w:sz w:val="28"/>
          <w:szCs w:val="28"/>
          <w:lang w:val="uk-UA"/>
        </w:rPr>
        <w:t>і</w:t>
      </w:r>
      <w:r w:rsidRPr="005A5654">
        <w:rPr>
          <w:rFonts w:ascii="Times New Roman" w:hAnsi="Times New Roman" w:cs="Times New Roman"/>
          <w:sz w:val="28"/>
          <w:szCs w:val="28"/>
          <w:lang w:val="uk-UA"/>
        </w:rPr>
        <w:t>з ХП, по чутливості і специфічності перевершуючи CA 19-9 [1].</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 xml:space="preserve">OPN є </w:t>
      </w:r>
      <w:proofErr w:type="spellStart"/>
      <w:r w:rsidRPr="005A5654">
        <w:rPr>
          <w:rFonts w:ascii="Times New Roman" w:hAnsi="Times New Roman" w:cs="Times New Roman"/>
          <w:sz w:val="28"/>
          <w:szCs w:val="28"/>
          <w:lang w:val="uk-UA"/>
        </w:rPr>
        <w:t>глікофосфопроте</w:t>
      </w:r>
      <w:r w:rsidR="00B66948">
        <w:rPr>
          <w:rFonts w:ascii="Times New Roman" w:hAnsi="Times New Roman" w:cs="Times New Roman"/>
          <w:sz w:val="28"/>
          <w:szCs w:val="28"/>
          <w:lang w:val="uk-UA"/>
        </w:rPr>
        <w:t>ї</w:t>
      </w:r>
      <w:r w:rsidRPr="005A5654">
        <w:rPr>
          <w:rFonts w:ascii="Times New Roman" w:hAnsi="Times New Roman" w:cs="Times New Roman"/>
          <w:sz w:val="28"/>
          <w:szCs w:val="28"/>
          <w:lang w:val="uk-UA"/>
        </w:rPr>
        <w:t>н</w:t>
      </w:r>
      <w:r w:rsidR="00B66948">
        <w:rPr>
          <w:rFonts w:ascii="Times New Roman" w:hAnsi="Times New Roman" w:cs="Times New Roman"/>
          <w:sz w:val="28"/>
          <w:szCs w:val="28"/>
          <w:lang w:val="uk-UA"/>
        </w:rPr>
        <w:t>ом</w:t>
      </w:r>
      <w:proofErr w:type="spellEnd"/>
      <w:r w:rsidRPr="005A5654">
        <w:rPr>
          <w:rFonts w:ascii="Times New Roman" w:hAnsi="Times New Roman" w:cs="Times New Roman"/>
          <w:sz w:val="28"/>
          <w:szCs w:val="28"/>
          <w:lang w:val="uk-UA"/>
        </w:rPr>
        <w:t xml:space="preserve">, який зазвичай продукується і </w:t>
      </w:r>
      <w:proofErr w:type="spellStart"/>
      <w:r w:rsidRPr="005A5654">
        <w:rPr>
          <w:rFonts w:ascii="Times New Roman" w:hAnsi="Times New Roman" w:cs="Times New Roman"/>
          <w:sz w:val="28"/>
          <w:szCs w:val="28"/>
          <w:lang w:val="uk-UA"/>
        </w:rPr>
        <w:t>секретується</w:t>
      </w:r>
      <w:proofErr w:type="spellEnd"/>
      <w:r w:rsidRPr="005A5654">
        <w:rPr>
          <w:rFonts w:ascii="Times New Roman" w:hAnsi="Times New Roman" w:cs="Times New Roman"/>
          <w:sz w:val="28"/>
          <w:szCs w:val="28"/>
          <w:lang w:val="uk-UA"/>
        </w:rPr>
        <w:t xml:space="preserve"> в більшості рідин організму остеобластами, макрофагами, артеріальними </w:t>
      </w:r>
      <w:proofErr w:type="spellStart"/>
      <w:r w:rsidRPr="005A5654">
        <w:rPr>
          <w:rFonts w:ascii="Times New Roman" w:hAnsi="Times New Roman" w:cs="Times New Roman"/>
          <w:sz w:val="28"/>
          <w:szCs w:val="28"/>
          <w:lang w:val="uk-UA"/>
        </w:rPr>
        <w:t>гладком'язовими</w:t>
      </w:r>
      <w:proofErr w:type="spellEnd"/>
      <w:r w:rsidRPr="005A5654">
        <w:rPr>
          <w:rFonts w:ascii="Times New Roman" w:hAnsi="Times New Roman" w:cs="Times New Roman"/>
          <w:sz w:val="28"/>
          <w:szCs w:val="28"/>
          <w:lang w:val="uk-UA"/>
        </w:rPr>
        <w:t xml:space="preserve"> клітинами, різними </w:t>
      </w:r>
      <w:proofErr w:type="spellStart"/>
      <w:r w:rsidRPr="005A5654">
        <w:rPr>
          <w:rFonts w:ascii="Times New Roman" w:hAnsi="Times New Roman" w:cs="Times New Roman"/>
          <w:sz w:val="28"/>
          <w:szCs w:val="28"/>
          <w:lang w:val="uk-UA"/>
        </w:rPr>
        <w:t>епітелі</w:t>
      </w:r>
      <w:r w:rsidR="00B66948">
        <w:rPr>
          <w:rFonts w:ascii="Times New Roman" w:hAnsi="Times New Roman" w:cs="Times New Roman"/>
          <w:sz w:val="28"/>
          <w:szCs w:val="28"/>
          <w:lang w:val="uk-UA"/>
        </w:rPr>
        <w:t>ями</w:t>
      </w:r>
      <w:proofErr w:type="spellEnd"/>
      <w:r w:rsidRPr="005A5654">
        <w:rPr>
          <w:rFonts w:ascii="Times New Roman" w:hAnsi="Times New Roman" w:cs="Times New Roman"/>
          <w:sz w:val="28"/>
          <w:szCs w:val="28"/>
          <w:lang w:val="uk-UA"/>
        </w:rPr>
        <w:t xml:space="preserve"> і активованими Т-клітинами. Посилення активності OPN було пов'язано зі зменшенням виживання у онкологічних хворих [1].</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lastRenderedPageBreak/>
        <w:t>Сімейство REG включає білки,</w:t>
      </w:r>
      <w:r w:rsidR="00B66948">
        <w:rPr>
          <w:rFonts w:ascii="Times New Roman" w:hAnsi="Times New Roman" w:cs="Times New Roman"/>
          <w:sz w:val="28"/>
          <w:szCs w:val="28"/>
          <w:lang w:val="uk-UA"/>
        </w:rPr>
        <w:t xml:space="preserve"> що </w:t>
      </w:r>
      <w:r w:rsidRPr="005A5654">
        <w:rPr>
          <w:rFonts w:ascii="Times New Roman" w:hAnsi="Times New Roman" w:cs="Times New Roman"/>
          <w:sz w:val="28"/>
          <w:szCs w:val="28"/>
          <w:lang w:val="uk-UA"/>
        </w:rPr>
        <w:t xml:space="preserve"> </w:t>
      </w:r>
      <w:proofErr w:type="spellStart"/>
      <w:r w:rsidR="00B66948" w:rsidRPr="005A5654">
        <w:rPr>
          <w:rFonts w:ascii="Times New Roman" w:hAnsi="Times New Roman" w:cs="Times New Roman"/>
          <w:sz w:val="28"/>
          <w:szCs w:val="28"/>
          <w:lang w:val="uk-UA"/>
        </w:rPr>
        <w:t>секретуються</w:t>
      </w:r>
      <w:proofErr w:type="spellEnd"/>
      <w:r w:rsidR="00B66948">
        <w:rPr>
          <w:rFonts w:ascii="Times New Roman" w:hAnsi="Times New Roman" w:cs="Times New Roman"/>
          <w:sz w:val="28"/>
          <w:szCs w:val="28"/>
          <w:lang w:val="uk-UA"/>
        </w:rPr>
        <w:t>,</w:t>
      </w:r>
      <w:r w:rsidR="00B66948" w:rsidRPr="005A5654">
        <w:rPr>
          <w:rFonts w:ascii="Times New Roman" w:hAnsi="Times New Roman" w:cs="Times New Roman"/>
          <w:sz w:val="28"/>
          <w:szCs w:val="28"/>
          <w:lang w:val="uk-UA"/>
        </w:rPr>
        <w:t xml:space="preserve"> </w:t>
      </w:r>
      <w:r w:rsidRPr="005A5654">
        <w:rPr>
          <w:rFonts w:ascii="Times New Roman" w:hAnsi="Times New Roman" w:cs="Times New Roman"/>
          <w:sz w:val="28"/>
          <w:szCs w:val="28"/>
          <w:lang w:val="uk-UA"/>
        </w:rPr>
        <w:t xml:space="preserve">які діють як трофічні або </w:t>
      </w:r>
      <w:proofErr w:type="spellStart"/>
      <w:r w:rsidRPr="005A5654">
        <w:rPr>
          <w:rFonts w:ascii="Times New Roman" w:hAnsi="Times New Roman" w:cs="Times New Roman"/>
          <w:sz w:val="28"/>
          <w:szCs w:val="28"/>
          <w:lang w:val="uk-UA"/>
        </w:rPr>
        <w:t>прот</w:t>
      </w:r>
      <w:r w:rsidR="00B66948">
        <w:rPr>
          <w:rFonts w:ascii="Times New Roman" w:hAnsi="Times New Roman" w:cs="Times New Roman"/>
          <w:sz w:val="28"/>
          <w:szCs w:val="28"/>
          <w:lang w:val="uk-UA"/>
        </w:rPr>
        <w:t>и</w:t>
      </w:r>
      <w:r w:rsidRPr="005A5654">
        <w:rPr>
          <w:rFonts w:ascii="Times New Roman" w:hAnsi="Times New Roman" w:cs="Times New Roman"/>
          <w:sz w:val="28"/>
          <w:szCs w:val="28"/>
          <w:lang w:val="uk-UA"/>
        </w:rPr>
        <w:t>апоптозн</w:t>
      </w:r>
      <w:r w:rsidR="00B66948">
        <w:rPr>
          <w:rFonts w:ascii="Times New Roman" w:hAnsi="Times New Roman" w:cs="Times New Roman"/>
          <w:sz w:val="28"/>
          <w:szCs w:val="28"/>
          <w:lang w:val="uk-UA"/>
        </w:rPr>
        <w:t>і</w:t>
      </w:r>
      <w:proofErr w:type="spellEnd"/>
      <w:r w:rsidRPr="005A5654">
        <w:rPr>
          <w:rFonts w:ascii="Times New Roman" w:hAnsi="Times New Roman" w:cs="Times New Roman"/>
          <w:sz w:val="28"/>
          <w:szCs w:val="28"/>
          <w:lang w:val="uk-UA"/>
        </w:rPr>
        <w:t xml:space="preserve"> фактори в регуляції росту раку. Його підвищена чутливість до виявлення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в порівнянні </w:t>
      </w:r>
      <w:r w:rsidR="00B66948">
        <w:rPr>
          <w:rFonts w:ascii="Times New Roman" w:hAnsi="Times New Roman" w:cs="Times New Roman"/>
          <w:sz w:val="28"/>
          <w:szCs w:val="28"/>
          <w:lang w:val="uk-UA"/>
        </w:rPr>
        <w:t>і</w:t>
      </w:r>
      <w:r w:rsidRPr="005A5654">
        <w:rPr>
          <w:rFonts w:ascii="Times New Roman" w:hAnsi="Times New Roman" w:cs="Times New Roman"/>
          <w:sz w:val="28"/>
          <w:szCs w:val="28"/>
          <w:lang w:val="uk-UA"/>
        </w:rPr>
        <w:t xml:space="preserve">з CA19-9, здатність відрізняти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від незмінен</w:t>
      </w:r>
      <w:r w:rsidR="00B66948">
        <w:rPr>
          <w:rFonts w:ascii="Times New Roman" w:hAnsi="Times New Roman" w:cs="Times New Roman"/>
          <w:sz w:val="28"/>
          <w:szCs w:val="28"/>
          <w:lang w:val="uk-UA"/>
        </w:rPr>
        <w:t>ої</w:t>
      </w:r>
      <w:r w:rsidRPr="005A5654">
        <w:rPr>
          <w:rFonts w:ascii="Times New Roman" w:hAnsi="Times New Roman" w:cs="Times New Roman"/>
          <w:sz w:val="28"/>
          <w:szCs w:val="28"/>
          <w:lang w:val="uk-UA"/>
        </w:rPr>
        <w:t xml:space="preserve"> </w:t>
      </w:r>
      <w:r w:rsidR="00311891">
        <w:rPr>
          <w:rFonts w:ascii="Times New Roman" w:hAnsi="Times New Roman" w:cs="Times New Roman"/>
          <w:sz w:val="28"/>
          <w:szCs w:val="28"/>
          <w:lang w:val="uk-UA"/>
        </w:rPr>
        <w:t>ПЗ</w:t>
      </w:r>
      <w:r w:rsidRPr="005A5654">
        <w:rPr>
          <w:rFonts w:ascii="Times New Roman" w:hAnsi="Times New Roman" w:cs="Times New Roman"/>
          <w:sz w:val="28"/>
          <w:szCs w:val="28"/>
          <w:lang w:val="uk-UA"/>
        </w:rPr>
        <w:t xml:space="preserve"> дозволяє рекомендувати його в якості досить точного діагностичного </w:t>
      </w:r>
      <w:proofErr w:type="spellStart"/>
      <w:r w:rsidRPr="005A5654">
        <w:rPr>
          <w:rFonts w:ascii="Times New Roman" w:hAnsi="Times New Roman" w:cs="Times New Roman"/>
          <w:sz w:val="28"/>
          <w:szCs w:val="28"/>
          <w:lang w:val="uk-UA"/>
        </w:rPr>
        <w:t>біомаркер</w:t>
      </w:r>
      <w:r w:rsidR="00B66948">
        <w:rPr>
          <w:rFonts w:ascii="Times New Roman" w:hAnsi="Times New Roman" w:cs="Times New Roman"/>
          <w:sz w:val="28"/>
          <w:szCs w:val="28"/>
          <w:lang w:val="uk-UA"/>
        </w:rPr>
        <w:t>а</w:t>
      </w:r>
      <w:proofErr w:type="spellEnd"/>
      <w:r w:rsidRPr="005A5654">
        <w:rPr>
          <w:rFonts w:ascii="Times New Roman" w:hAnsi="Times New Roman" w:cs="Times New Roman"/>
          <w:sz w:val="28"/>
          <w:szCs w:val="28"/>
          <w:lang w:val="uk-UA"/>
        </w:rPr>
        <w:t>. Однак для підтвердження можливості використання в клінічній практиці потрібні додаткові дослідження [33].</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 xml:space="preserve">SiC3b є </w:t>
      </w:r>
      <w:proofErr w:type="spellStart"/>
      <w:r w:rsidRPr="005A5654">
        <w:rPr>
          <w:rFonts w:ascii="Times New Roman" w:hAnsi="Times New Roman" w:cs="Times New Roman"/>
          <w:sz w:val="28"/>
          <w:szCs w:val="28"/>
          <w:lang w:val="uk-UA"/>
        </w:rPr>
        <w:t>комплементний</w:t>
      </w:r>
      <w:proofErr w:type="spellEnd"/>
      <w:r w:rsidRPr="005A5654">
        <w:rPr>
          <w:rFonts w:ascii="Times New Roman" w:hAnsi="Times New Roman" w:cs="Times New Roman"/>
          <w:sz w:val="28"/>
          <w:szCs w:val="28"/>
          <w:lang w:val="uk-UA"/>
        </w:rPr>
        <w:t xml:space="preserve"> білок, який утворюється при взаємодії пухлинних клітин з протипухлинними антитілами. SiC3b ідеально підходить для післяопераційного спостереження і виявлення раннього рецидиву пухлини [28].</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У 2018 році було проведено дослідження значення анти-</w:t>
      </w:r>
      <w:proofErr w:type="spellStart"/>
      <w:r w:rsidRPr="005A5654">
        <w:rPr>
          <w:rFonts w:ascii="Times New Roman" w:hAnsi="Times New Roman" w:cs="Times New Roman"/>
          <w:sz w:val="28"/>
          <w:szCs w:val="28"/>
          <w:lang w:val="uk-UA"/>
        </w:rPr>
        <w:t>плазміноген</w:t>
      </w:r>
      <w:proofErr w:type="spellEnd"/>
      <w:r w:rsidRPr="005A5654">
        <w:rPr>
          <w:rFonts w:ascii="Times New Roman" w:hAnsi="Times New Roman" w:cs="Times New Roman"/>
          <w:sz w:val="28"/>
          <w:szCs w:val="28"/>
          <w:lang w:val="uk-UA"/>
        </w:rPr>
        <w:t xml:space="preserve"> зв'язу</w:t>
      </w:r>
      <w:r w:rsidR="003323C3">
        <w:rPr>
          <w:rFonts w:ascii="Times New Roman" w:hAnsi="Times New Roman" w:cs="Times New Roman"/>
          <w:sz w:val="28"/>
          <w:szCs w:val="28"/>
          <w:lang w:val="uk-UA"/>
        </w:rPr>
        <w:t>вального</w:t>
      </w:r>
      <w:r w:rsidRPr="005A5654">
        <w:rPr>
          <w:rFonts w:ascii="Times New Roman" w:hAnsi="Times New Roman" w:cs="Times New Roman"/>
          <w:sz w:val="28"/>
          <w:szCs w:val="28"/>
          <w:lang w:val="uk-UA"/>
        </w:rPr>
        <w:t xml:space="preserve"> пептиду, </w:t>
      </w:r>
      <w:proofErr w:type="spellStart"/>
      <w:r w:rsidRPr="005A5654">
        <w:rPr>
          <w:rFonts w:ascii="Times New Roman" w:hAnsi="Times New Roman" w:cs="Times New Roman"/>
          <w:sz w:val="28"/>
          <w:szCs w:val="28"/>
          <w:lang w:val="uk-UA"/>
        </w:rPr>
        <w:t>ант</w:t>
      </w:r>
      <w:r w:rsidR="00B66948">
        <w:rPr>
          <w:rFonts w:ascii="Times New Roman" w:hAnsi="Times New Roman" w:cs="Times New Roman"/>
          <w:sz w:val="28"/>
          <w:szCs w:val="28"/>
          <w:lang w:val="uk-UA"/>
        </w:rPr>
        <w:t>и</w:t>
      </w:r>
      <w:r w:rsidRPr="005A5654">
        <w:rPr>
          <w:rFonts w:ascii="Times New Roman" w:hAnsi="Times New Roman" w:cs="Times New Roman"/>
          <w:sz w:val="28"/>
          <w:szCs w:val="28"/>
          <w:lang w:val="uk-UA"/>
        </w:rPr>
        <w:t>карбоангідрази</w:t>
      </w:r>
      <w:proofErr w:type="spellEnd"/>
      <w:r w:rsidRPr="005A5654">
        <w:rPr>
          <w:rFonts w:ascii="Times New Roman" w:hAnsi="Times New Roman" w:cs="Times New Roman"/>
          <w:sz w:val="28"/>
          <w:szCs w:val="28"/>
          <w:lang w:val="uk-UA"/>
        </w:rPr>
        <w:t xml:space="preserve"> II, IgG4 та інших серологічних маркерів для диференціальної діагностики а</w:t>
      </w:r>
      <w:r w:rsidR="003323C3">
        <w:rPr>
          <w:rFonts w:ascii="Times New Roman" w:hAnsi="Times New Roman" w:cs="Times New Roman"/>
          <w:sz w:val="28"/>
          <w:szCs w:val="28"/>
          <w:lang w:val="uk-UA"/>
        </w:rPr>
        <w:t>в</w:t>
      </w:r>
      <w:r w:rsidRPr="005A5654">
        <w:rPr>
          <w:rFonts w:ascii="Times New Roman" w:hAnsi="Times New Roman" w:cs="Times New Roman"/>
          <w:sz w:val="28"/>
          <w:szCs w:val="28"/>
          <w:lang w:val="uk-UA"/>
        </w:rPr>
        <w:t xml:space="preserve">тоімунного панкреатиту,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В результаті дослідження виявлено, що IgG4 є кращим з досліджуваних серологічних маркерів для диференціальної діагностики а</w:t>
      </w:r>
      <w:r w:rsidR="003323C3">
        <w:rPr>
          <w:rFonts w:ascii="Times New Roman" w:hAnsi="Times New Roman" w:cs="Times New Roman"/>
          <w:sz w:val="28"/>
          <w:szCs w:val="28"/>
          <w:lang w:val="uk-UA"/>
        </w:rPr>
        <w:t>в</w:t>
      </w:r>
      <w:r w:rsidRPr="005A5654">
        <w:rPr>
          <w:rFonts w:ascii="Times New Roman" w:hAnsi="Times New Roman" w:cs="Times New Roman"/>
          <w:sz w:val="28"/>
          <w:szCs w:val="28"/>
          <w:lang w:val="uk-UA"/>
        </w:rPr>
        <w:t xml:space="preserve">тоімунного ХП і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[9].</w:t>
      </w:r>
    </w:p>
    <w:p w:rsidR="005A5654" w:rsidRPr="003323C3" w:rsidRDefault="003323C3" w:rsidP="005A5654">
      <w:pPr>
        <w:spacing w:after="0" w:line="240" w:lineRule="auto"/>
        <w:ind w:firstLine="709"/>
        <w:jc w:val="both"/>
        <w:rPr>
          <w:rFonts w:ascii="Times New Roman" w:hAnsi="Times New Roman" w:cs="Times New Roman"/>
          <w:b/>
          <w:sz w:val="28"/>
          <w:szCs w:val="28"/>
          <w:lang w:val="uk-UA"/>
        </w:rPr>
      </w:pPr>
      <w:r w:rsidRPr="003323C3">
        <w:rPr>
          <w:rFonts w:ascii="Times New Roman" w:hAnsi="Times New Roman" w:cs="Times New Roman"/>
          <w:b/>
          <w:sz w:val="28"/>
          <w:szCs w:val="28"/>
          <w:lang w:val="uk-UA"/>
        </w:rPr>
        <w:t>В</w:t>
      </w:r>
      <w:r w:rsidR="005A5654" w:rsidRPr="003323C3">
        <w:rPr>
          <w:rFonts w:ascii="Times New Roman" w:hAnsi="Times New Roman" w:cs="Times New Roman"/>
          <w:b/>
          <w:sz w:val="28"/>
          <w:szCs w:val="28"/>
          <w:lang w:val="uk-UA"/>
        </w:rPr>
        <w:t>исновок</w:t>
      </w:r>
    </w:p>
    <w:p w:rsidR="005A5654" w:rsidRDefault="005A5654" w:rsidP="005A5654">
      <w:pPr>
        <w:spacing w:after="0" w:line="240" w:lineRule="auto"/>
        <w:ind w:firstLine="709"/>
        <w:jc w:val="both"/>
        <w:rPr>
          <w:rFonts w:ascii="Times New Roman" w:hAnsi="Times New Roman" w:cs="Times New Roman"/>
          <w:sz w:val="28"/>
          <w:szCs w:val="28"/>
          <w:lang w:val="uk-UA"/>
        </w:rPr>
      </w:pPr>
      <w:r w:rsidRPr="005A5654">
        <w:rPr>
          <w:rFonts w:ascii="Times New Roman" w:hAnsi="Times New Roman" w:cs="Times New Roman"/>
          <w:sz w:val="28"/>
          <w:szCs w:val="28"/>
          <w:lang w:val="uk-UA"/>
        </w:rPr>
        <w:t xml:space="preserve">Таким чином, розглянуті діагностичні </w:t>
      </w:r>
      <w:proofErr w:type="spellStart"/>
      <w:r w:rsidRPr="005A5654">
        <w:rPr>
          <w:rFonts w:ascii="Times New Roman" w:hAnsi="Times New Roman" w:cs="Times New Roman"/>
          <w:sz w:val="28"/>
          <w:szCs w:val="28"/>
          <w:lang w:val="uk-UA"/>
        </w:rPr>
        <w:t>біомаркери</w:t>
      </w:r>
      <w:proofErr w:type="spellEnd"/>
      <w:r w:rsidRPr="005A5654">
        <w:rPr>
          <w:rFonts w:ascii="Times New Roman" w:hAnsi="Times New Roman" w:cs="Times New Roman"/>
          <w:sz w:val="28"/>
          <w:szCs w:val="28"/>
          <w:lang w:val="uk-UA"/>
        </w:rPr>
        <w:t xml:space="preserve"> мають певний потенціал для ранньої діагностики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і диференціальної діагностики ХП та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Виявлення відомих на сьогоднішній день факторів ризику пухлинного росту в </w:t>
      </w:r>
      <w:r w:rsidR="00311891">
        <w:rPr>
          <w:rFonts w:ascii="Times New Roman" w:hAnsi="Times New Roman" w:cs="Times New Roman"/>
          <w:sz w:val="28"/>
          <w:szCs w:val="28"/>
          <w:lang w:val="uk-UA"/>
        </w:rPr>
        <w:t>ПЗ</w:t>
      </w:r>
      <w:r w:rsidRPr="005A5654">
        <w:rPr>
          <w:rFonts w:ascii="Times New Roman" w:hAnsi="Times New Roman" w:cs="Times New Roman"/>
          <w:sz w:val="28"/>
          <w:szCs w:val="28"/>
          <w:lang w:val="uk-UA"/>
        </w:rPr>
        <w:t xml:space="preserve"> також може відігравати певну роль у прийнятті клінічних рішень. Однак більшість діагностичних </w:t>
      </w:r>
      <w:proofErr w:type="spellStart"/>
      <w:r w:rsidRPr="005A5654">
        <w:rPr>
          <w:rFonts w:ascii="Times New Roman" w:hAnsi="Times New Roman" w:cs="Times New Roman"/>
          <w:sz w:val="28"/>
          <w:szCs w:val="28"/>
          <w:lang w:val="uk-UA"/>
        </w:rPr>
        <w:t>біомаркерів</w:t>
      </w:r>
      <w:proofErr w:type="spellEnd"/>
      <w:r w:rsidRPr="005A5654">
        <w:rPr>
          <w:rFonts w:ascii="Times New Roman" w:hAnsi="Times New Roman" w:cs="Times New Roman"/>
          <w:sz w:val="28"/>
          <w:szCs w:val="28"/>
          <w:lang w:val="uk-UA"/>
        </w:rPr>
        <w:t xml:space="preserve"> </w:t>
      </w:r>
      <w:r w:rsidR="00311891">
        <w:rPr>
          <w:rFonts w:ascii="Times New Roman" w:hAnsi="Times New Roman" w:cs="Times New Roman"/>
          <w:sz w:val="28"/>
          <w:szCs w:val="28"/>
          <w:lang w:val="uk-UA"/>
        </w:rPr>
        <w:t>РПЗ</w:t>
      </w:r>
      <w:r w:rsidRPr="005A5654">
        <w:rPr>
          <w:rFonts w:ascii="Times New Roman" w:hAnsi="Times New Roman" w:cs="Times New Roman"/>
          <w:sz w:val="28"/>
          <w:szCs w:val="28"/>
          <w:lang w:val="uk-UA"/>
        </w:rPr>
        <w:t xml:space="preserve"> ще не впроваджені в широку клінічну практику в зв'язку з необхідністю проведення подальших досліджень </w:t>
      </w:r>
      <w:r w:rsidR="003323C3">
        <w:rPr>
          <w:rFonts w:ascii="Times New Roman" w:hAnsi="Times New Roman" w:cs="Times New Roman"/>
          <w:sz w:val="28"/>
          <w:szCs w:val="28"/>
          <w:lang w:val="uk-UA"/>
        </w:rPr>
        <w:t>щодо</w:t>
      </w:r>
      <w:r w:rsidRPr="005A5654">
        <w:rPr>
          <w:rFonts w:ascii="Times New Roman" w:hAnsi="Times New Roman" w:cs="Times New Roman"/>
          <w:sz w:val="28"/>
          <w:szCs w:val="28"/>
          <w:lang w:val="uk-UA"/>
        </w:rPr>
        <w:t xml:space="preserve"> їх</w:t>
      </w:r>
      <w:r w:rsidR="003323C3">
        <w:rPr>
          <w:rFonts w:ascii="Times New Roman" w:hAnsi="Times New Roman" w:cs="Times New Roman"/>
          <w:sz w:val="28"/>
          <w:szCs w:val="28"/>
          <w:lang w:val="uk-UA"/>
        </w:rPr>
        <w:t>ньої</w:t>
      </w:r>
      <w:r w:rsidRPr="005A5654">
        <w:rPr>
          <w:rFonts w:ascii="Times New Roman" w:hAnsi="Times New Roman" w:cs="Times New Roman"/>
          <w:sz w:val="28"/>
          <w:szCs w:val="28"/>
          <w:lang w:val="uk-UA"/>
        </w:rPr>
        <w:t xml:space="preserve"> ефективності.</w:t>
      </w:r>
    </w:p>
    <w:p w:rsidR="005A5654" w:rsidRPr="005A5654" w:rsidRDefault="005A5654" w:rsidP="005A5654">
      <w:pPr>
        <w:spacing w:after="0" w:line="240" w:lineRule="auto"/>
        <w:ind w:firstLine="709"/>
        <w:jc w:val="both"/>
        <w:rPr>
          <w:rFonts w:ascii="Times New Roman" w:hAnsi="Times New Roman" w:cs="Times New Roman"/>
          <w:sz w:val="28"/>
          <w:szCs w:val="28"/>
          <w:lang w:val="uk-UA"/>
        </w:rPr>
      </w:pPr>
    </w:p>
    <w:p w:rsidR="007E01B2" w:rsidRPr="00587927" w:rsidRDefault="007E01B2" w:rsidP="007E01B2">
      <w:pPr>
        <w:spacing w:after="0" w:line="240" w:lineRule="auto"/>
        <w:rPr>
          <w:rFonts w:ascii="Times New Roman" w:hAnsi="Times New Roman" w:cs="Times New Roman"/>
          <w:b/>
          <w:sz w:val="28"/>
          <w:szCs w:val="28"/>
        </w:rPr>
      </w:pPr>
    </w:p>
    <w:p w:rsidR="00D2491E" w:rsidRDefault="00D2491E">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0B6A9F" w:rsidRPr="00587927" w:rsidRDefault="008E16E2" w:rsidP="000B6A9F">
      <w:pPr>
        <w:spacing w:after="0" w:line="240" w:lineRule="auto"/>
        <w:ind w:firstLine="284"/>
        <w:rPr>
          <w:rFonts w:ascii="Times New Roman" w:eastAsia="Calibri" w:hAnsi="Times New Roman" w:cs="Times New Roman"/>
          <w:b/>
          <w:sz w:val="28"/>
          <w:szCs w:val="28"/>
          <w:lang w:val="en-US"/>
        </w:rPr>
      </w:pPr>
      <w:r w:rsidRPr="00587927">
        <w:rPr>
          <w:rFonts w:ascii="Times New Roman" w:eastAsia="Calibri" w:hAnsi="Times New Roman" w:cs="Times New Roman"/>
          <w:b/>
          <w:sz w:val="28"/>
          <w:szCs w:val="28"/>
        </w:rPr>
        <w:lastRenderedPageBreak/>
        <w:t>Л</w:t>
      </w:r>
      <w:r w:rsidR="000346AC">
        <w:rPr>
          <w:rFonts w:ascii="Times New Roman" w:eastAsia="Calibri" w:hAnsi="Times New Roman" w:cs="Times New Roman"/>
          <w:b/>
          <w:sz w:val="28"/>
          <w:szCs w:val="28"/>
          <w:lang w:val="uk-UA"/>
        </w:rPr>
        <w:t>і</w:t>
      </w:r>
      <w:r w:rsidRPr="00587927">
        <w:rPr>
          <w:rFonts w:ascii="Times New Roman" w:eastAsia="Calibri" w:hAnsi="Times New Roman" w:cs="Times New Roman"/>
          <w:b/>
          <w:sz w:val="28"/>
          <w:szCs w:val="28"/>
        </w:rPr>
        <w:t>тература</w:t>
      </w:r>
      <w:r w:rsidR="000B6A9F" w:rsidRPr="00587927">
        <w:rPr>
          <w:rFonts w:ascii="Times New Roman" w:eastAsia="Calibri" w:hAnsi="Times New Roman" w:cs="Times New Roman"/>
          <w:b/>
          <w:sz w:val="28"/>
          <w:szCs w:val="28"/>
          <w:lang w:val="en-US"/>
        </w:rPr>
        <w:t>:</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 w:name="_Ref24053127"/>
      <w:proofErr w:type="spellStart"/>
      <w:r w:rsidRPr="00587927">
        <w:rPr>
          <w:rFonts w:ascii="Times New Roman" w:eastAsia="Calibri" w:hAnsi="Times New Roman" w:cs="Times New Roman"/>
          <w:sz w:val="28"/>
          <w:szCs w:val="28"/>
          <w:lang w:val="en-US"/>
        </w:rPr>
        <w:t>Ballehaninna</w:t>
      </w:r>
      <w:proofErr w:type="spellEnd"/>
      <w:r w:rsidRPr="00587927">
        <w:rPr>
          <w:rFonts w:ascii="Times New Roman" w:eastAsia="Calibri" w:hAnsi="Times New Roman" w:cs="Times New Roman"/>
          <w:sz w:val="28"/>
          <w:szCs w:val="28"/>
          <w:lang w:val="en-US"/>
        </w:rPr>
        <w:t xml:space="preserve"> U. K., Chamberlain R. S. Biomarkers for PDAC: promising new markers and options beyond CA19-9. </w:t>
      </w:r>
      <w:proofErr w:type="spellStart"/>
      <w:r w:rsidRPr="00587927">
        <w:rPr>
          <w:rFonts w:ascii="Times New Roman" w:eastAsia="Calibri" w:hAnsi="Times New Roman" w:cs="Times New Roman"/>
          <w:i/>
          <w:sz w:val="28"/>
          <w:szCs w:val="28"/>
          <w:lang w:val="en-US"/>
        </w:rPr>
        <w:t>Tumour</w:t>
      </w:r>
      <w:proofErr w:type="spellEnd"/>
      <w:r w:rsidRPr="00587927">
        <w:rPr>
          <w:rFonts w:ascii="Times New Roman" w:eastAsia="Calibri" w:hAnsi="Times New Roman" w:cs="Times New Roman"/>
          <w:i/>
          <w:sz w:val="28"/>
          <w:szCs w:val="28"/>
          <w:lang w:val="en-US"/>
        </w:rPr>
        <w:t xml:space="preserve"> Biology</w:t>
      </w:r>
      <w:r w:rsidRPr="00587927">
        <w:rPr>
          <w:rFonts w:ascii="Times New Roman" w:eastAsia="Calibri" w:hAnsi="Times New Roman" w:cs="Times New Roman"/>
          <w:sz w:val="28"/>
          <w:szCs w:val="28"/>
          <w:lang w:val="en-US"/>
        </w:rPr>
        <w:t>. 2013. Vol. 34. P. 3279–3292.</w:t>
      </w:r>
      <w:bookmarkEnd w:id="1"/>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 w:name="_Ref24052992"/>
      <w:r w:rsidRPr="00587927">
        <w:rPr>
          <w:rFonts w:ascii="Times New Roman" w:eastAsia="Calibri" w:hAnsi="Times New Roman" w:cs="Times New Roman"/>
          <w:sz w:val="28"/>
          <w:szCs w:val="28"/>
          <w:lang w:val="en-US"/>
        </w:rPr>
        <w:t xml:space="preserve">Blackford A., </w:t>
      </w:r>
      <w:proofErr w:type="spellStart"/>
      <w:r w:rsidRPr="00587927">
        <w:rPr>
          <w:rFonts w:ascii="Times New Roman" w:eastAsia="Calibri" w:hAnsi="Times New Roman" w:cs="Times New Roman"/>
          <w:sz w:val="28"/>
          <w:szCs w:val="28"/>
          <w:lang w:val="en-US"/>
        </w:rPr>
        <w:t>Parmigiani</w:t>
      </w:r>
      <w:proofErr w:type="spellEnd"/>
      <w:r w:rsidRPr="00587927">
        <w:rPr>
          <w:rFonts w:ascii="Times New Roman" w:eastAsia="Calibri" w:hAnsi="Times New Roman" w:cs="Times New Roman"/>
          <w:sz w:val="28"/>
          <w:szCs w:val="28"/>
          <w:lang w:val="en-US"/>
        </w:rPr>
        <w:t xml:space="preserve"> G., </w:t>
      </w:r>
      <w:proofErr w:type="spellStart"/>
      <w:r w:rsidRPr="00587927">
        <w:rPr>
          <w:rFonts w:ascii="Times New Roman" w:eastAsia="Calibri" w:hAnsi="Times New Roman" w:cs="Times New Roman"/>
          <w:sz w:val="28"/>
          <w:szCs w:val="28"/>
          <w:lang w:val="en-US"/>
        </w:rPr>
        <w:t>Kensler</w:t>
      </w:r>
      <w:proofErr w:type="spellEnd"/>
      <w:r w:rsidRPr="00587927">
        <w:rPr>
          <w:rFonts w:ascii="Times New Roman" w:eastAsia="Calibri" w:hAnsi="Times New Roman" w:cs="Times New Roman"/>
          <w:sz w:val="28"/>
          <w:szCs w:val="28"/>
          <w:lang w:val="en-US"/>
        </w:rPr>
        <w:t xml:space="preserve"> T. W., Wolfgang C., Jones S., Zhang X. Genetic mutations associatedwith cigarette smoking in PDAC. Cancer Research. 2009. Vol. 69. P. 3681–3688.</w:t>
      </w:r>
      <w:bookmarkEnd w:id="2"/>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 w:name="_Ref24053015"/>
      <w:r w:rsidRPr="00587927">
        <w:rPr>
          <w:rFonts w:ascii="Times New Roman" w:eastAsia="Calibri" w:hAnsi="Times New Roman" w:cs="Times New Roman"/>
          <w:sz w:val="28"/>
          <w:szCs w:val="28"/>
          <w:lang w:val="en-US"/>
        </w:rPr>
        <w:t xml:space="preserve">Chari S. T., </w:t>
      </w:r>
      <w:proofErr w:type="spellStart"/>
      <w:r w:rsidRPr="00587927">
        <w:rPr>
          <w:rFonts w:ascii="Times New Roman" w:eastAsia="Calibri" w:hAnsi="Times New Roman" w:cs="Times New Roman"/>
          <w:sz w:val="28"/>
          <w:szCs w:val="28"/>
          <w:lang w:val="en-US"/>
        </w:rPr>
        <w:t>Leibson</w:t>
      </w:r>
      <w:proofErr w:type="spellEnd"/>
      <w:r w:rsidRPr="00587927">
        <w:rPr>
          <w:rFonts w:ascii="Times New Roman" w:eastAsia="Calibri" w:hAnsi="Times New Roman" w:cs="Times New Roman"/>
          <w:sz w:val="28"/>
          <w:szCs w:val="28"/>
          <w:lang w:val="en-US"/>
        </w:rPr>
        <w:t xml:space="preserve"> C. L., Rabe K. G., Timmons L. J., Ransom J., de Andrade M. PDAC-associated diabetes mellitus: prevalence and temporal association with diagnosis of cancer. </w:t>
      </w:r>
      <w:r w:rsidRPr="00587927">
        <w:rPr>
          <w:rFonts w:ascii="Times New Roman" w:eastAsia="Calibri" w:hAnsi="Times New Roman" w:cs="Times New Roman"/>
          <w:i/>
          <w:sz w:val="28"/>
          <w:szCs w:val="28"/>
          <w:lang w:val="en-US"/>
        </w:rPr>
        <w:t>Gastroenterology</w:t>
      </w:r>
      <w:r w:rsidRPr="00587927">
        <w:rPr>
          <w:rFonts w:ascii="Times New Roman" w:eastAsia="Calibri" w:hAnsi="Times New Roman" w:cs="Times New Roman"/>
          <w:sz w:val="28"/>
          <w:szCs w:val="28"/>
          <w:lang w:val="en-US"/>
        </w:rPr>
        <w:t>. 2008. Vol. 134. P. 95–101.</w:t>
      </w:r>
      <w:bookmarkEnd w:id="3"/>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4" w:name="_Ref24052923"/>
      <w:proofErr w:type="spellStart"/>
      <w:r w:rsidRPr="00587927">
        <w:rPr>
          <w:rFonts w:ascii="Times New Roman" w:eastAsia="Times New Roman" w:hAnsi="Times New Roman" w:cs="Times New Roman"/>
          <w:sz w:val="28"/>
          <w:szCs w:val="28"/>
          <w:lang w:val="en-US" w:eastAsia="ru-RU"/>
        </w:rPr>
        <w:t>Chiaro</w:t>
      </w:r>
      <w:proofErr w:type="spellEnd"/>
      <w:r w:rsidRPr="00587927">
        <w:rPr>
          <w:rFonts w:ascii="Times New Roman" w:eastAsia="Times New Roman" w:hAnsi="Times New Roman" w:cs="Times New Roman"/>
          <w:sz w:val="28"/>
          <w:szCs w:val="28"/>
          <w:lang w:val="en-US" w:eastAsia="ru-RU"/>
        </w:rPr>
        <w:t xml:space="preserve"> M. D., </w:t>
      </w:r>
      <w:proofErr w:type="spellStart"/>
      <w:r w:rsidRPr="00587927">
        <w:rPr>
          <w:rFonts w:ascii="Times New Roman" w:eastAsia="Times New Roman" w:hAnsi="Times New Roman" w:cs="Times New Roman"/>
          <w:sz w:val="28"/>
          <w:szCs w:val="28"/>
          <w:lang w:val="en-US" w:eastAsia="ru-RU"/>
        </w:rPr>
        <w:t>Segersvärd</w:t>
      </w:r>
      <w:proofErr w:type="spellEnd"/>
      <w:r w:rsidRPr="00587927">
        <w:rPr>
          <w:rFonts w:ascii="Times New Roman" w:eastAsia="Times New Roman" w:hAnsi="Times New Roman" w:cs="Times New Roman"/>
          <w:sz w:val="28"/>
          <w:szCs w:val="28"/>
          <w:lang w:val="en-US" w:eastAsia="ru-RU"/>
        </w:rPr>
        <w:t xml:space="preserve"> R., </w:t>
      </w:r>
      <w:proofErr w:type="spellStart"/>
      <w:r w:rsidRPr="00587927">
        <w:rPr>
          <w:rFonts w:ascii="Times New Roman" w:eastAsia="Times New Roman" w:hAnsi="Times New Roman" w:cs="Times New Roman"/>
          <w:sz w:val="28"/>
          <w:szCs w:val="28"/>
          <w:lang w:val="en-US" w:eastAsia="ru-RU"/>
        </w:rPr>
        <w:t>Löhr</w:t>
      </w:r>
      <w:proofErr w:type="spellEnd"/>
      <w:r w:rsidRPr="00587927">
        <w:rPr>
          <w:rFonts w:ascii="Times New Roman" w:eastAsia="Times New Roman" w:hAnsi="Times New Roman" w:cs="Times New Roman"/>
          <w:sz w:val="28"/>
          <w:szCs w:val="28"/>
          <w:lang w:val="en-US" w:eastAsia="ru-RU"/>
        </w:rPr>
        <w:t xml:space="preserve"> M., Verbeke C. Early detection and prevention of pancreatic cancer: is it possible today? </w:t>
      </w:r>
      <w:r w:rsidRPr="00587927">
        <w:rPr>
          <w:rFonts w:ascii="Times New Roman" w:eastAsia="Times New Roman" w:hAnsi="Times New Roman" w:cs="Times New Roman"/>
          <w:i/>
          <w:sz w:val="28"/>
          <w:szCs w:val="28"/>
          <w:lang w:val="en-US" w:eastAsia="ru-RU"/>
        </w:rPr>
        <w:t>World J. Gastroenterol</w:t>
      </w:r>
      <w:r w:rsidRPr="00587927">
        <w:rPr>
          <w:rFonts w:ascii="Times New Roman" w:eastAsia="Times New Roman" w:hAnsi="Times New Roman" w:cs="Times New Roman"/>
          <w:sz w:val="28"/>
          <w:szCs w:val="28"/>
          <w:lang w:val="en-US" w:eastAsia="ru-RU"/>
        </w:rPr>
        <w:t>. 2014. Vol. 20, No 34. P. 12118–12131.</w:t>
      </w:r>
      <w:bookmarkEnd w:id="4"/>
      <w:r w:rsidRPr="00587927">
        <w:rPr>
          <w:rFonts w:ascii="Times New Roman" w:eastAsia="Times New Roman" w:hAnsi="Times New Roman" w:cs="Times New Roman"/>
          <w:sz w:val="28"/>
          <w:szCs w:val="28"/>
          <w:lang w:val="en-US" w:eastAsia="ru-RU"/>
        </w:rPr>
        <w:t xml:space="preserve"> </w:t>
      </w:r>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5" w:name="_Ref24052910"/>
      <w:r w:rsidRPr="00587927">
        <w:rPr>
          <w:rFonts w:ascii="Times New Roman" w:eastAsia="Times New Roman" w:hAnsi="Times New Roman" w:cs="Times New Roman"/>
          <w:sz w:val="28"/>
          <w:szCs w:val="28"/>
          <w:lang w:val="en-US" w:eastAsia="ru-RU"/>
        </w:rPr>
        <w:t xml:space="preserve">Chu L. C., </w:t>
      </w:r>
      <w:proofErr w:type="spellStart"/>
      <w:r w:rsidRPr="00587927">
        <w:rPr>
          <w:rFonts w:ascii="Times New Roman" w:eastAsia="Times New Roman" w:hAnsi="Times New Roman" w:cs="Times New Roman"/>
          <w:sz w:val="28"/>
          <w:szCs w:val="28"/>
          <w:lang w:val="en-US" w:eastAsia="ru-RU"/>
        </w:rPr>
        <w:t>Goggins</w:t>
      </w:r>
      <w:proofErr w:type="spellEnd"/>
      <w:r w:rsidRPr="00587927">
        <w:rPr>
          <w:rFonts w:ascii="Times New Roman" w:eastAsia="Times New Roman" w:hAnsi="Times New Roman" w:cs="Times New Roman"/>
          <w:sz w:val="28"/>
          <w:szCs w:val="28"/>
          <w:lang w:val="en-US" w:eastAsia="ru-RU"/>
        </w:rPr>
        <w:t xml:space="preserve"> M. G., Fishman E. K. Diagnosis and detection of pancreatic cancer. </w:t>
      </w:r>
      <w:r w:rsidRPr="00587927">
        <w:rPr>
          <w:rFonts w:ascii="Times New Roman" w:eastAsia="Times New Roman" w:hAnsi="Times New Roman" w:cs="Times New Roman"/>
          <w:i/>
          <w:sz w:val="28"/>
          <w:szCs w:val="28"/>
          <w:lang w:val="en-US" w:eastAsia="ru-RU"/>
        </w:rPr>
        <w:t>Cancer J</w:t>
      </w:r>
      <w:r w:rsidRPr="00587927">
        <w:rPr>
          <w:rFonts w:ascii="Times New Roman" w:eastAsia="Times New Roman" w:hAnsi="Times New Roman" w:cs="Times New Roman"/>
          <w:sz w:val="28"/>
          <w:szCs w:val="28"/>
          <w:lang w:val="en-US" w:eastAsia="ru-RU"/>
        </w:rPr>
        <w:t>. 2017. Vol. 23, No 6. P. 333–342.</w:t>
      </w:r>
      <w:bookmarkEnd w:id="5"/>
      <w:r w:rsidRPr="00587927">
        <w:rPr>
          <w:rFonts w:ascii="Times New Roman" w:eastAsia="Times New Roman" w:hAnsi="Times New Roman" w:cs="Times New Roman"/>
          <w:sz w:val="28"/>
          <w:szCs w:val="28"/>
          <w:lang w:val="en-US" w:eastAsia="ru-RU"/>
        </w:rPr>
        <w:t xml:space="preserve"> </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6" w:name="_Ref24053033"/>
      <w:r w:rsidRPr="00587927">
        <w:rPr>
          <w:rFonts w:ascii="Times New Roman" w:eastAsia="Calibri" w:hAnsi="Times New Roman" w:cs="Times New Roman"/>
          <w:sz w:val="28"/>
          <w:szCs w:val="28"/>
          <w:lang w:val="en-US"/>
        </w:rPr>
        <w:t xml:space="preserve">Couch F. J., Johnson M. R, Rabe K. G., </w:t>
      </w:r>
      <w:proofErr w:type="spellStart"/>
      <w:r w:rsidRPr="00587927">
        <w:rPr>
          <w:rFonts w:ascii="Times New Roman" w:eastAsia="Calibri" w:hAnsi="Times New Roman" w:cs="Times New Roman"/>
          <w:sz w:val="28"/>
          <w:szCs w:val="28"/>
          <w:lang w:val="en-US"/>
        </w:rPr>
        <w:t>Brune</w:t>
      </w:r>
      <w:proofErr w:type="spellEnd"/>
      <w:r w:rsidRPr="00587927">
        <w:rPr>
          <w:rFonts w:ascii="Times New Roman" w:eastAsia="Calibri" w:hAnsi="Times New Roman" w:cs="Times New Roman"/>
          <w:sz w:val="28"/>
          <w:szCs w:val="28"/>
          <w:lang w:val="en-US"/>
        </w:rPr>
        <w:t xml:space="preserve"> K., de Andrade M., </w:t>
      </w:r>
      <w:proofErr w:type="spellStart"/>
      <w:r w:rsidRPr="00587927">
        <w:rPr>
          <w:rFonts w:ascii="Times New Roman" w:eastAsia="Calibri" w:hAnsi="Times New Roman" w:cs="Times New Roman"/>
          <w:sz w:val="28"/>
          <w:szCs w:val="28"/>
          <w:lang w:val="en-US"/>
        </w:rPr>
        <w:t>Goggins</w:t>
      </w:r>
      <w:proofErr w:type="spellEnd"/>
      <w:r w:rsidRPr="00587927">
        <w:rPr>
          <w:rFonts w:ascii="Times New Roman" w:eastAsia="Calibri" w:hAnsi="Times New Roman" w:cs="Times New Roman"/>
          <w:sz w:val="28"/>
          <w:szCs w:val="28"/>
          <w:lang w:val="en-US"/>
        </w:rPr>
        <w:t xml:space="preserve"> M. The prevalence of BRCA2 mutations in familial PDAC. </w:t>
      </w:r>
      <w:r w:rsidRPr="00587927">
        <w:rPr>
          <w:rFonts w:ascii="Times New Roman" w:eastAsia="Calibri" w:hAnsi="Times New Roman" w:cs="Times New Roman"/>
          <w:i/>
          <w:sz w:val="28"/>
          <w:szCs w:val="28"/>
          <w:lang w:val="en-US"/>
        </w:rPr>
        <w:t>Cancer Epidemiology, Biomarkers and Prevention</w:t>
      </w:r>
      <w:r w:rsidRPr="00587927">
        <w:rPr>
          <w:rFonts w:ascii="Times New Roman" w:eastAsia="Calibri" w:hAnsi="Times New Roman" w:cs="Times New Roman"/>
          <w:sz w:val="28"/>
          <w:szCs w:val="28"/>
          <w:lang w:val="en-US"/>
        </w:rPr>
        <w:t>. 2007. Vol. 16. P. 342–346.</w:t>
      </w:r>
      <w:bookmarkEnd w:id="6"/>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7" w:name="_Ref24053024"/>
      <w:proofErr w:type="spellStart"/>
      <w:r w:rsidRPr="00587927">
        <w:rPr>
          <w:rFonts w:ascii="Times New Roman" w:eastAsia="Calibri" w:hAnsi="Times New Roman" w:cs="Times New Roman"/>
          <w:sz w:val="28"/>
          <w:szCs w:val="28"/>
          <w:lang w:val="en-US"/>
        </w:rPr>
        <w:t>Curado</w:t>
      </w:r>
      <w:proofErr w:type="spellEnd"/>
      <w:r w:rsidRPr="00587927">
        <w:rPr>
          <w:rFonts w:ascii="Times New Roman" w:eastAsia="Calibri" w:hAnsi="Times New Roman" w:cs="Times New Roman"/>
          <w:sz w:val="28"/>
          <w:szCs w:val="28"/>
          <w:lang w:val="en-US"/>
        </w:rPr>
        <w:t xml:space="preserve"> M. P., Edwards B., Shin H. R., Storm H., </w:t>
      </w:r>
      <w:proofErr w:type="spellStart"/>
      <w:r w:rsidRPr="00587927">
        <w:rPr>
          <w:rFonts w:ascii="Times New Roman" w:eastAsia="Calibri" w:hAnsi="Times New Roman" w:cs="Times New Roman"/>
          <w:sz w:val="28"/>
          <w:szCs w:val="28"/>
          <w:lang w:val="en-US"/>
        </w:rPr>
        <w:t>Ferlay</w:t>
      </w:r>
      <w:proofErr w:type="spellEnd"/>
      <w:r w:rsidRPr="00587927">
        <w:rPr>
          <w:rFonts w:ascii="Times New Roman" w:eastAsia="Calibri" w:hAnsi="Times New Roman" w:cs="Times New Roman"/>
          <w:sz w:val="28"/>
          <w:szCs w:val="28"/>
          <w:lang w:val="en-US"/>
        </w:rPr>
        <w:t xml:space="preserve"> J., </w:t>
      </w:r>
      <w:proofErr w:type="spellStart"/>
      <w:r w:rsidRPr="00587927">
        <w:rPr>
          <w:rFonts w:ascii="Times New Roman" w:eastAsia="Calibri" w:hAnsi="Times New Roman" w:cs="Times New Roman"/>
          <w:sz w:val="28"/>
          <w:szCs w:val="28"/>
          <w:lang w:val="en-US"/>
        </w:rPr>
        <w:t>Heanue</w:t>
      </w:r>
      <w:proofErr w:type="spellEnd"/>
      <w:r w:rsidRPr="00587927">
        <w:rPr>
          <w:rFonts w:ascii="Times New Roman" w:eastAsia="Calibri" w:hAnsi="Times New Roman" w:cs="Times New Roman"/>
          <w:sz w:val="28"/>
          <w:szCs w:val="28"/>
          <w:lang w:val="en-US"/>
        </w:rPr>
        <w:t xml:space="preserve"> M. Cancer incidence in five continents, Vol. IX. Lyon: IARC, 2007.</w:t>
      </w:r>
      <w:bookmarkEnd w:id="7"/>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8" w:name="_Ref24053080"/>
      <w:proofErr w:type="spellStart"/>
      <w:r w:rsidRPr="00587927">
        <w:rPr>
          <w:rFonts w:ascii="Times New Roman" w:eastAsia="Calibri" w:hAnsi="Times New Roman" w:cs="Times New Roman"/>
          <w:sz w:val="28"/>
          <w:szCs w:val="28"/>
          <w:lang w:val="en-US"/>
        </w:rPr>
        <w:t>Cyriac</w:t>
      </w:r>
      <w:proofErr w:type="spellEnd"/>
      <w:r w:rsidRPr="00587927">
        <w:rPr>
          <w:rFonts w:ascii="Times New Roman" w:eastAsia="Calibri" w:hAnsi="Times New Roman" w:cs="Times New Roman"/>
          <w:sz w:val="28"/>
          <w:szCs w:val="28"/>
          <w:lang w:val="en-US"/>
        </w:rPr>
        <w:t xml:space="preserve"> J., Mahadevan P., Augustine P., Ramesh H., Koshy A. Stellate cell activation in tropical calcific pancreatitis compared to alcoholic pancreatitis, adenocarcinoma of pancreas and normal pancreas. </w:t>
      </w:r>
      <w:r w:rsidRPr="00587927">
        <w:rPr>
          <w:rFonts w:ascii="Times New Roman" w:eastAsia="Calibri" w:hAnsi="Times New Roman" w:cs="Times New Roman"/>
          <w:i/>
          <w:sz w:val="28"/>
          <w:szCs w:val="28"/>
          <w:lang w:val="en-US"/>
        </w:rPr>
        <w:t>JOP</w:t>
      </w:r>
      <w:r w:rsidRPr="00587927">
        <w:rPr>
          <w:rFonts w:ascii="Times New Roman" w:eastAsia="Calibri" w:hAnsi="Times New Roman" w:cs="Times New Roman"/>
          <w:sz w:val="28"/>
          <w:szCs w:val="28"/>
          <w:lang w:val="en-US"/>
        </w:rPr>
        <w:t>. 2012. Vol. 13, No 4. P. 376–386.</w:t>
      </w:r>
      <w:bookmarkEnd w:id="8"/>
      <w:r w:rsidRPr="00587927">
        <w:rPr>
          <w:rFonts w:ascii="Times New Roman" w:eastAsia="Calibri" w:hAnsi="Times New Roman" w:cs="Times New Roman"/>
          <w:sz w:val="28"/>
          <w:szCs w:val="28"/>
          <w:lang w:val="en-US"/>
        </w:rPr>
        <w:t xml:space="preserve"> </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rPr>
      </w:pPr>
      <w:bookmarkStart w:id="9" w:name="_Ref24053145"/>
      <w:proofErr w:type="spellStart"/>
      <w:r w:rsidRPr="00587927">
        <w:rPr>
          <w:rFonts w:ascii="Times New Roman" w:eastAsia="Calibri" w:hAnsi="Times New Roman" w:cs="Times New Roman"/>
          <w:sz w:val="28"/>
          <w:szCs w:val="28"/>
          <w:lang w:val="en-US"/>
        </w:rPr>
        <w:t>Detlefsen</w:t>
      </w:r>
      <w:proofErr w:type="spellEnd"/>
      <w:r w:rsidRPr="00587927">
        <w:rPr>
          <w:rFonts w:ascii="Times New Roman" w:eastAsia="Calibri" w:hAnsi="Times New Roman" w:cs="Times New Roman"/>
          <w:sz w:val="28"/>
          <w:szCs w:val="28"/>
          <w:lang w:val="en-US"/>
        </w:rPr>
        <w:t xml:space="preserve"> S., de Vos J. D., </w:t>
      </w:r>
      <w:proofErr w:type="spellStart"/>
      <w:r w:rsidRPr="00587927">
        <w:rPr>
          <w:rFonts w:ascii="Times New Roman" w:eastAsia="Calibri" w:hAnsi="Times New Roman" w:cs="Times New Roman"/>
          <w:sz w:val="28"/>
          <w:szCs w:val="28"/>
          <w:lang w:val="en-US"/>
        </w:rPr>
        <w:t>Tanassi</w:t>
      </w:r>
      <w:proofErr w:type="spellEnd"/>
      <w:r w:rsidRPr="00587927">
        <w:rPr>
          <w:rFonts w:ascii="Times New Roman" w:eastAsia="Calibri" w:hAnsi="Times New Roman" w:cs="Times New Roman"/>
          <w:sz w:val="28"/>
          <w:szCs w:val="28"/>
          <w:lang w:val="en-US"/>
        </w:rPr>
        <w:t xml:space="preserve"> J. T., Heegaard N. H., Fristrup C., </w:t>
      </w:r>
      <w:proofErr w:type="spellStart"/>
      <w:r w:rsidRPr="00587927">
        <w:rPr>
          <w:rFonts w:ascii="Times New Roman" w:eastAsia="Calibri" w:hAnsi="Times New Roman" w:cs="Times New Roman"/>
          <w:sz w:val="28"/>
          <w:szCs w:val="28"/>
          <w:lang w:val="en-US"/>
        </w:rPr>
        <w:t>Schaffalitzky</w:t>
      </w:r>
      <w:proofErr w:type="spellEnd"/>
      <w:r w:rsidRPr="00587927">
        <w:rPr>
          <w:rFonts w:ascii="Times New Roman" w:eastAsia="Calibri" w:hAnsi="Times New Roman" w:cs="Times New Roman"/>
          <w:sz w:val="28"/>
          <w:szCs w:val="28"/>
          <w:lang w:val="en-US"/>
        </w:rPr>
        <w:t xml:space="preserve"> de </w:t>
      </w:r>
      <w:proofErr w:type="spellStart"/>
      <w:r w:rsidRPr="00587927">
        <w:rPr>
          <w:rFonts w:ascii="Times New Roman" w:eastAsia="Calibri" w:hAnsi="Times New Roman" w:cs="Times New Roman"/>
          <w:sz w:val="28"/>
          <w:szCs w:val="28"/>
          <w:lang w:val="en-US"/>
        </w:rPr>
        <w:t>Muckadell</w:t>
      </w:r>
      <w:proofErr w:type="spellEnd"/>
      <w:r w:rsidRPr="00587927">
        <w:rPr>
          <w:rFonts w:ascii="Times New Roman" w:eastAsia="Calibri" w:hAnsi="Times New Roman" w:cs="Times New Roman"/>
          <w:sz w:val="28"/>
          <w:szCs w:val="28"/>
          <w:lang w:val="en-US"/>
        </w:rPr>
        <w:t xml:space="preserve"> O. B. Value of anti-plasminogen binding peptide, anti-carbonic anhydrase II, immunoglobulin G4, and other serological markers for the differentiation of autoimmune pancreatitisand pancreatic cancer. Medicine. </w:t>
      </w:r>
      <w:r w:rsidRPr="00587927">
        <w:rPr>
          <w:rFonts w:ascii="Times New Roman" w:eastAsia="Calibri" w:hAnsi="Times New Roman" w:cs="Times New Roman"/>
          <w:sz w:val="28"/>
          <w:szCs w:val="28"/>
        </w:rPr>
        <w:t xml:space="preserve">2018. </w:t>
      </w:r>
      <w:r w:rsidRPr="00587927">
        <w:rPr>
          <w:rFonts w:ascii="Times New Roman" w:eastAsia="Calibri" w:hAnsi="Times New Roman" w:cs="Times New Roman"/>
          <w:sz w:val="28"/>
          <w:szCs w:val="28"/>
          <w:lang w:val="en-US"/>
        </w:rPr>
        <w:t>Vol</w:t>
      </w:r>
      <w:r w:rsidRPr="00587927">
        <w:rPr>
          <w:rFonts w:ascii="Times New Roman" w:eastAsia="Calibri" w:hAnsi="Times New Roman" w:cs="Times New Roman"/>
          <w:sz w:val="28"/>
          <w:szCs w:val="28"/>
        </w:rPr>
        <w:t xml:space="preserve">. 97, </w:t>
      </w:r>
      <w:r w:rsidRPr="00587927">
        <w:rPr>
          <w:rFonts w:ascii="Times New Roman" w:eastAsia="Calibri" w:hAnsi="Times New Roman" w:cs="Times New Roman"/>
          <w:sz w:val="28"/>
          <w:szCs w:val="28"/>
          <w:lang w:val="en-US"/>
        </w:rPr>
        <w:t>No</w:t>
      </w:r>
      <w:r w:rsidRPr="00587927">
        <w:rPr>
          <w:rFonts w:ascii="Times New Roman" w:eastAsia="Calibri" w:hAnsi="Times New Roman" w:cs="Times New Roman"/>
          <w:sz w:val="28"/>
          <w:szCs w:val="28"/>
        </w:rPr>
        <w:t xml:space="preserve"> 31. </w:t>
      </w:r>
      <w:r w:rsidRPr="00587927">
        <w:rPr>
          <w:rFonts w:ascii="Times New Roman" w:eastAsia="Calibri" w:hAnsi="Times New Roman" w:cs="Times New Roman"/>
          <w:sz w:val="28"/>
          <w:szCs w:val="28"/>
          <w:lang w:val="en-US"/>
        </w:rPr>
        <w:t>P</w:t>
      </w:r>
      <w:r w:rsidRPr="00587927">
        <w:rPr>
          <w:rFonts w:ascii="Times New Roman" w:eastAsia="Calibri" w:hAnsi="Times New Roman" w:cs="Times New Roman"/>
          <w:sz w:val="28"/>
          <w:szCs w:val="28"/>
        </w:rPr>
        <w:t xml:space="preserve">. </w:t>
      </w:r>
      <w:r w:rsidRPr="00587927">
        <w:rPr>
          <w:rFonts w:ascii="Times New Roman" w:eastAsia="Calibri" w:hAnsi="Times New Roman" w:cs="Times New Roman"/>
          <w:sz w:val="28"/>
          <w:szCs w:val="28"/>
          <w:lang w:val="en-US"/>
        </w:rPr>
        <w:t>e</w:t>
      </w:r>
      <w:r w:rsidRPr="00587927">
        <w:rPr>
          <w:rFonts w:ascii="Times New Roman" w:eastAsia="Calibri" w:hAnsi="Times New Roman" w:cs="Times New Roman"/>
          <w:sz w:val="28"/>
          <w:szCs w:val="28"/>
        </w:rPr>
        <w:t>11641.</w:t>
      </w:r>
      <w:bookmarkEnd w:id="9"/>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0" w:name="_Ref24053088"/>
      <w:r w:rsidRPr="00587927">
        <w:rPr>
          <w:rFonts w:ascii="Times New Roman" w:eastAsia="Calibri" w:hAnsi="Times New Roman" w:cs="Times New Roman"/>
          <w:sz w:val="28"/>
          <w:szCs w:val="28"/>
          <w:lang w:val="en-US"/>
        </w:rPr>
        <w:t xml:space="preserve">Franklin O., </w:t>
      </w:r>
      <w:proofErr w:type="spellStart"/>
      <w:r w:rsidRPr="00587927">
        <w:rPr>
          <w:rFonts w:ascii="Times New Roman" w:eastAsia="Calibri" w:hAnsi="Times New Roman" w:cs="Times New Roman"/>
          <w:sz w:val="28"/>
          <w:szCs w:val="28"/>
          <w:lang w:val="en-US"/>
        </w:rPr>
        <w:t>Ohlund</w:t>
      </w:r>
      <w:proofErr w:type="spellEnd"/>
      <w:r w:rsidRPr="00587927">
        <w:rPr>
          <w:rFonts w:ascii="Times New Roman" w:eastAsia="Calibri" w:hAnsi="Times New Roman" w:cs="Times New Roman"/>
          <w:sz w:val="28"/>
          <w:szCs w:val="28"/>
          <w:lang w:val="en-US"/>
        </w:rPr>
        <w:t xml:space="preserve"> D., Lundin C., </w:t>
      </w:r>
      <w:proofErr w:type="spellStart"/>
      <w:r w:rsidRPr="00587927">
        <w:rPr>
          <w:rFonts w:ascii="Times New Roman" w:eastAsia="Calibri" w:hAnsi="Times New Roman" w:cs="Times New Roman"/>
          <w:sz w:val="28"/>
          <w:szCs w:val="28"/>
          <w:lang w:val="en-US"/>
        </w:rPr>
        <w:t>Öman</w:t>
      </w:r>
      <w:proofErr w:type="spellEnd"/>
      <w:r w:rsidRPr="00587927">
        <w:rPr>
          <w:rFonts w:ascii="Times New Roman" w:eastAsia="Calibri" w:hAnsi="Times New Roman" w:cs="Times New Roman"/>
          <w:sz w:val="28"/>
          <w:szCs w:val="28"/>
          <w:lang w:val="en-US"/>
        </w:rPr>
        <w:t xml:space="preserve"> M., </w:t>
      </w:r>
      <w:proofErr w:type="spellStart"/>
      <w:r w:rsidRPr="00587927">
        <w:rPr>
          <w:rFonts w:ascii="Times New Roman" w:eastAsia="Calibri" w:hAnsi="Times New Roman" w:cs="Times New Roman"/>
          <w:sz w:val="28"/>
          <w:szCs w:val="28"/>
          <w:lang w:val="en-US"/>
        </w:rPr>
        <w:t>Naredi</w:t>
      </w:r>
      <w:proofErr w:type="spellEnd"/>
      <w:r w:rsidRPr="00587927">
        <w:rPr>
          <w:rFonts w:ascii="Times New Roman" w:eastAsia="Calibri" w:hAnsi="Times New Roman" w:cs="Times New Roman"/>
          <w:sz w:val="28"/>
          <w:szCs w:val="28"/>
          <w:lang w:val="en-US"/>
        </w:rPr>
        <w:t xml:space="preserve"> P., Wang W. Combining conventional and stroma-derived tumor markers in pancreatic ductal adenocarcinoma. </w:t>
      </w:r>
      <w:r w:rsidRPr="00587927">
        <w:rPr>
          <w:rFonts w:ascii="Times New Roman" w:eastAsia="Calibri" w:hAnsi="Times New Roman" w:cs="Times New Roman"/>
          <w:i/>
          <w:sz w:val="28"/>
          <w:szCs w:val="28"/>
          <w:lang w:val="en-US"/>
        </w:rPr>
        <w:t>Cancer Biomarkers</w:t>
      </w:r>
      <w:r w:rsidRPr="00587927">
        <w:rPr>
          <w:rFonts w:ascii="Times New Roman" w:eastAsia="Calibri" w:hAnsi="Times New Roman" w:cs="Times New Roman"/>
          <w:sz w:val="28"/>
          <w:szCs w:val="28"/>
          <w:lang w:val="en-US"/>
        </w:rPr>
        <w:t>. 2015. Vol. 15. P. 1–10.</w:t>
      </w:r>
      <w:bookmarkEnd w:id="10"/>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1" w:name="_Ref24053057"/>
      <w:r w:rsidRPr="00587927">
        <w:rPr>
          <w:rFonts w:ascii="Times New Roman" w:eastAsia="Calibri" w:hAnsi="Times New Roman" w:cs="Times New Roman"/>
          <w:sz w:val="28"/>
          <w:szCs w:val="28"/>
          <w:lang w:val="en-US"/>
        </w:rPr>
        <w:t xml:space="preserve">Giardiello F. M., </w:t>
      </w:r>
      <w:proofErr w:type="spellStart"/>
      <w:r w:rsidRPr="00587927">
        <w:rPr>
          <w:rFonts w:ascii="Times New Roman" w:eastAsia="Calibri" w:hAnsi="Times New Roman" w:cs="Times New Roman"/>
          <w:sz w:val="28"/>
          <w:szCs w:val="28"/>
          <w:lang w:val="en-US"/>
        </w:rPr>
        <w:t>Brensinger</w:t>
      </w:r>
      <w:proofErr w:type="spellEnd"/>
      <w:r w:rsidRPr="00587927">
        <w:rPr>
          <w:rFonts w:ascii="Times New Roman" w:eastAsia="Calibri" w:hAnsi="Times New Roman" w:cs="Times New Roman"/>
          <w:sz w:val="28"/>
          <w:szCs w:val="28"/>
          <w:lang w:val="en-US"/>
        </w:rPr>
        <w:t xml:space="preserve"> J. D., </w:t>
      </w:r>
      <w:proofErr w:type="spellStart"/>
      <w:r w:rsidRPr="00587927">
        <w:rPr>
          <w:rFonts w:ascii="Times New Roman" w:eastAsia="Calibri" w:hAnsi="Times New Roman" w:cs="Times New Roman"/>
          <w:sz w:val="28"/>
          <w:szCs w:val="28"/>
          <w:lang w:val="en-US"/>
        </w:rPr>
        <w:t>Tersmette</w:t>
      </w:r>
      <w:proofErr w:type="spellEnd"/>
      <w:r w:rsidRPr="00587927">
        <w:rPr>
          <w:rFonts w:ascii="Times New Roman" w:eastAsia="Calibri" w:hAnsi="Times New Roman" w:cs="Times New Roman"/>
          <w:sz w:val="28"/>
          <w:szCs w:val="28"/>
          <w:lang w:val="en-US"/>
        </w:rPr>
        <w:t xml:space="preserve"> A. C., Goodman S. N., Petersen G. M., Booker S. V. Very high risk of cancer in familial </w:t>
      </w:r>
      <w:proofErr w:type="spellStart"/>
      <w:r w:rsidRPr="00587927">
        <w:rPr>
          <w:rFonts w:ascii="Times New Roman" w:eastAsia="Calibri" w:hAnsi="Times New Roman" w:cs="Times New Roman"/>
          <w:sz w:val="28"/>
          <w:szCs w:val="28"/>
          <w:lang w:val="en-US"/>
        </w:rPr>
        <w:t>Peutz-Jeghers</w:t>
      </w:r>
      <w:proofErr w:type="spellEnd"/>
      <w:r w:rsidRPr="00587927">
        <w:rPr>
          <w:rFonts w:ascii="Times New Roman" w:eastAsia="Calibri" w:hAnsi="Times New Roman" w:cs="Times New Roman"/>
          <w:sz w:val="28"/>
          <w:szCs w:val="28"/>
          <w:lang w:val="en-US"/>
        </w:rPr>
        <w:t xml:space="preserve"> syndrome. </w:t>
      </w:r>
      <w:r w:rsidRPr="00587927">
        <w:rPr>
          <w:rFonts w:ascii="Times New Roman" w:eastAsia="Calibri" w:hAnsi="Times New Roman" w:cs="Times New Roman"/>
          <w:i/>
          <w:sz w:val="28"/>
          <w:szCs w:val="28"/>
          <w:lang w:val="en-US"/>
        </w:rPr>
        <w:t>Gastroenterology</w:t>
      </w:r>
      <w:r w:rsidRPr="00587927">
        <w:rPr>
          <w:rFonts w:ascii="Times New Roman" w:eastAsia="Calibri" w:hAnsi="Times New Roman" w:cs="Times New Roman"/>
          <w:sz w:val="28"/>
          <w:szCs w:val="28"/>
          <w:lang w:val="en-US"/>
        </w:rPr>
        <w:t>. 2000. Vol. 119. P. 1447–1153.</w:t>
      </w:r>
      <w:bookmarkEnd w:id="11"/>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2" w:name="_Ref24053053"/>
      <w:r w:rsidRPr="00587927">
        <w:rPr>
          <w:rFonts w:ascii="Times New Roman" w:eastAsia="Calibri" w:hAnsi="Times New Roman" w:cs="Times New Roman"/>
          <w:sz w:val="28"/>
          <w:szCs w:val="28"/>
          <w:lang w:val="en-US"/>
        </w:rPr>
        <w:t xml:space="preserve">Giardiello F. M., </w:t>
      </w:r>
      <w:proofErr w:type="spellStart"/>
      <w:r w:rsidRPr="00587927">
        <w:rPr>
          <w:rFonts w:ascii="Times New Roman" w:eastAsia="Calibri" w:hAnsi="Times New Roman" w:cs="Times New Roman"/>
          <w:sz w:val="28"/>
          <w:szCs w:val="28"/>
          <w:lang w:val="en-US"/>
        </w:rPr>
        <w:t>Offerhaus</w:t>
      </w:r>
      <w:proofErr w:type="spellEnd"/>
      <w:r w:rsidRPr="00587927">
        <w:rPr>
          <w:rFonts w:ascii="Times New Roman" w:eastAsia="Calibri" w:hAnsi="Times New Roman" w:cs="Times New Roman"/>
          <w:sz w:val="28"/>
          <w:szCs w:val="28"/>
          <w:lang w:val="en-US"/>
        </w:rPr>
        <w:t xml:space="preserve"> G. J., Lee D. H., </w:t>
      </w:r>
      <w:proofErr w:type="spellStart"/>
      <w:r w:rsidRPr="00587927">
        <w:rPr>
          <w:rFonts w:ascii="Times New Roman" w:eastAsia="Calibri" w:hAnsi="Times New Roman" w:cs="Times New Roman"/>
          <w:sz w:val="28"/>
          <w:szCs w:val="28"/>
          <w:lang w:val="en-US"/>
        </w:rPr>
        <w:t>Krush</w:t>
      </w:r>
      <w:proofErr w:type="spellEnd"/>
      <w:r w:rsidRPr="00587927">
        <w:rPr>
          <w:rFonts w:ascii="Times New Roman" w:eastAsia="Calibri" w:hAnsi="Times New Roman" w:cs="Times New Roman"/>
          <w:sz w:val="28"/>
          <w:szCs w:val="28"/>
          <w:lang w:val="en-US"/>
        </w:rPr>
        <w:t xml:space="preserve"> A. J., </w:t>
      </w:r>
      <w:proofErr w:type="spellStart"/>
      <w:r w:rsidRPr="00587927">
        <w:rPr>
          <w:rFonts w:ascii="Times New Roman" w:eastAsia="Calibri" w:hAnsi="Times New Roman" w:cs="Times New Roman"/>
          <w:sz w:val="28"/>
          <w:szCs w:val="28"/>
          <w:lang w:val="en-US"/>
        </w:rPr>
        <w:t>Tersmette</w:t>
      </w:r>
      <w:proofErr w:type="spellEnd"/>
      <w:r w:rsidRPr="00587927">
        <w:rPr>
          <w:rFonts w:ascii="Times New Roman" w:eastAsia="Calibri" w:hAnsi="Times New Roman" w:cs="Times New Roman"/>
          <w:sz w:val="28"/>
          <w:szCs w:val="28"/>
          <w:lang w:val="en-US"/>
        </w:rPr>
        <w:t xml:space="preserve"> A. C., Booker S. V. Increased risk of thyroid and pancreatic carcinoma in familial adenomatous polyposis. </w:t>
      </w:r>
      <w:r w:rsidRPr="00587927">
        <w:rPr>
          <w:rFonts w:ascii="Times New Roman" w:eastAsia="Calibri" w:hAnsi="Times New Roman" w:cs="Times New Roman"/>
          <w:i/>
          <w:sz w:val="28"/>
          <w:szCs w:val="28"/>
          <w:lang w:val="en-US"/>
        </w:rPr>
        <w:t>Gut</w:t>
      </w:r>
      <w:r w:rsidRPr="00587927">
        <w:rPr>
          <w:rFonts w:ascii="Times New Roman" w:eastAsia="Calibri" w:hAnsi="Times New Roman" w:cs="Times New Roman"/>
          <w:sz w:val="28"/>
          <w:szCs w:val="28"/>
          <w:lang w:val="en-US"/>
        </w:rPr>
        <w:t>. 1993. Vol. 34. P. 1394–1396.</w:t>
      </w:r>
      <w:bookmarkEnd w:id="12"/>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3" w:name="_Ref24053092"/>
      <w:r w:rsidRPr="00587927">
        <w:rPr>
          <w:rFonts w:ascii="Times New Roman" w:eastAsia="Calibri" w:hAnsi="Times New Roman" w:cs="Times New Roman"/>
          <w:sz w:val="28"/>
          <w:szCs w:val="28"/>
          <w:lang w:val="en-US"/>
        </w:rPr>
        <w:t xml:space="preserve">Gold D. V., </w:t>
      </w:r>
      <w:proofErr w:type="spellStart"/>
      <w:r w:rsidRPr="00587927">
        <w:rPr>
          <w:rFonts w:ascii="Times New Roman" w:eastAsia="Calibri" w:hAnsi="Times New Roman" w:cs="Times New Roman"/>
          <w:sz w:val="28"/>
          <w:szCs w:val="28"/>
          <w:lang w:val="en-US"/>
        </w:rPr>
        <w:t>Goggins</w:t>
      </w:r>
      <w:proofErr w:type="spellEnd"/>
      <w:r w:rsidRPr="00587927">
        <w:rPr>
          <w:rFonts w:ascii="Times New Roman" w:eastAsia="Calibri" w:hAnsi="Times New Roman" w:cs="Times New Roman"/>
          <w:sz w:val="28"/>
          <w:szCs w:val="28"/>
          <w:lang w:val="en-US"/>
        </w:rPr>
        <w:t xml:space="preserve"> M., </w:t>
      </w:r>
      <w:proofErr w:type="spellStart"/>
      <w:r w:rsidRPr="00587927">
        <w:rPr>
          <w:rFonts w:ascii="Times New Roman" w:eastAsia="Calibri" w:hAnsi="Times New Roman" w:cs="Times New Roman"/>
          <w:sz w:val="28"/>
          <w:szCs w:val="28"/>
          <w:lang w:val="en-US"/>
        </w:rPr>
        <w:t>Modrak</w:t>
      </w:r>
      <w:proofErr w:type="spellEnd"/>
      <w:r w:rsidRPr="00587927">
        <w:rPr>
          <w:rFonts w:ascii="Times New Roman" w:eastAsia="Calibri" w:hAnsi="Times New Roman" w:cs="Times New Roman"/>
          <w:sz w:val="28"/>
          <w:szCs w:val="28"/>
          <w:lang w:val="en-US"/>
        </w:rPr>
        <w:t xml:space="preserve"> D. E., Newsome G., Liu M., Shi C. Detection of early-stage pancreatic adenocarcinoma. </w:t>
      </w:r>
      <w:r w:rsidRPr="00587927">
        <w:rPr>
          <w:rFonts w:ascii="Times New Roman" w:eastAsia="Calibri" w:hAnsi="Times New Roman" w:cs="Times New Roman"/>
          <w:i/>
          <w:sz w:val="28"/>
          <w:szCs w:val="28"/>
          <w:lang w:val="en-US"/>
        </w:rPr>
        <w:t>Cancer Epidemiology, Biomarkers and Prevention</w:t>
      </w:r>
      <w:r w:rsidRPr="00587927">
        <w:rPr>
          <w:rFonts w:ascii="Times New Roman" w:eastAsia="Calibri" w:hAnsi="Times New Roman" w:cs="Times New Roman"/>
          <w:sz w:val="28"/>
          <w:szCs w:val="28"/>
          <w:lang w:val="en-US"/>
        </w:rPr>
        <w:t>. 2010. Vol. 19. P. 2786–2794.</w:t>
      </w:r>
      <w:bookmarkEnd w:id="13"/>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4" w:name="_Ref24053067"/>
      <w:r w:rsidRPr="00587927">
        <w:rPr>
          <w:rFonts w:ascii="Times New Roman" w:eastAsia="Calibri" w:hAnsi="Times New Roman" w:cs="Times New Roman"/>
          <w:sz w:val="28"/>
          <w:szCs w:val="28"/>
          <w:lang w:val="en-US"/>
        </w:rPr>
        <w:t xml:space="preserve">Harsha H. C., Kandasamy K., Ranganathan P., Rani S., </w:t>
      </w:r>
      <w:proofErr w:type="spellStart"/>
      <w:r w:rsidRPr="00587927">
        <w:rPr>
          <w:rFonts w:ascii="Times New Roman" w:eastAsia="Calibri" w:hAnsi="Times New Roman" w:cs="Times New Roman"/>
          <w:sz w:val="28"/>
          <w:szCs w:val="28"/>
          <w:lang w:val="en-US"/>
        </w:rPr>
        <w:t>Ramabadran</w:t>
      </w:r>
      <w:proofErr w:type="spellEnd"/>
      <w:r w:rsidRPr="00587927">
        <w:rPr>
          <w:rFonts w:ascii="Times New Roman" w:eastAsia="Calibri" w:hAnsi="Times New Roman" w:cs="Times New Roman"/>
          <w:sz w:val="28"/>
          <w:szCs w:val="28"/>
          <w:lang w:val="en-US"/>
        </w:rPr>
        <w:t xml:space="preserve"> S., </w:t>
      </w:r>
      <w:proofErr w:type="spellStart"/>
      <w:r w:rsidRPr="00587927">
        <w:rPr>
          <w:rFonts w:ascii="Times New Roman" w:eastAsia="Calibri" w:hAnsi="Times New Roman" w:cs="Times New Roman"/>
          <w:sz w:val="28"/>
          <w:szCs w:val="28"/>
          <w:lang w:val="en-US"/>
        </w:rPr>
        <w:t>Gollapudi</w:t>
      </w:r>
      <w:proofErr w:type="spellEnd"/>
      <w:r w:rsidRPr="00587927">
        <w:rPr>
          <w:rFonts w:ascii="Times New Roman" w:eastAsia="Calibri" w:hAnsi="Times New Roman" w:cs="Times New Roman"/>
          <w:sz w:val="28"/>
          <w:szCs w:val="28"/>
          <w:lang w:val="en-US"/>
        </w:rPr>
        <w:t xml:space="preserve"> S. A compendium of potential biomarkers of PDAC. </w:t>
      </w:r>
      <w:proofErr w:type="spellStart"/>
      <w:r w:rsidRPr="00587927">
        <w:rPr>
          <w:rFonts w:ascii="Times New Roman" w:eastAsia="Calibri" w:hAnsi="Times New Roman" w:cs="Times New Roman"/>
          <w:i/>
          <w:sz w:val="28"/>
          <w:szCs w:val="28"/>
          <w:lang w:val="en-US"/>
        </w:rPr>
        <w:t>PLoS</w:t>
      </w:r>
      <w:proofErr w:type="spellEnd"/>
      <w:r w:rsidRPr="00587927">
        <w:rPr>
          <w:rFonts w:ascii="Times New Roman" w:eastAsia="Calibri" w:hAnsi="Times New Roman" w:cs="Times New Roman"/>
          <w:i/>
          <w:sz w:val="28"/>
          <w:szCs w:val="28"/>
          <w:lang w:val="en-US"/>
        </w:rPr>
        <w:t xml:space="preserve"> Medicine</w:t>
      </w:r>
      <w:r w:rsidRPr="00587927">
        <w:rPr>
          <w:rFonts w:ascii="Times New Roman" w:eastAsia="Calibri" w:hAnsi="Times New Roman" w:cs="Times New Roman"/>
          <w:sz w:val="28"/>
          <w:szCs w:val="28"/>
          <w:lang w:val="en-US"/>
        </w:rPr>
        <w:t>. 2009. Vol. 6, No 4. P. e1000046.</w:t>
      </w:r>
      <w:bookmarkEnd w:id="14"/>
      <w:r w:rsidRPr="00587927">
        <w:rPr>
          <w:rFonts w:ascii="Times New Roman" w:eastAsia="Calibri" w:hAnsi="Times New Roman" w:cs="Times New Roman"/>
          <w:sz w:val="28"/>
          <w:szCs w:val="28"/>
          <w:lang w:val="en-US"/>
        </w:rPr>
        <w:t xml:space="preserve"> </w:t>
      </w:r>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15" w:name="_Ref24052897"/>
      <w:proofErr w:type="spellStart"/>
      <w:r w:rsidRPr="00587927">
        <w:rPr>
          <w:rFonts w:ascii="Times New Roman" w:eastAsia="Times New Roman" w:hAnsi="Times New Roman" w:cs="Times New Roman"/>
          <w:sz w:val="28"/>
          <w:szCs w:val="28"/>
          <w:lang w:val="en-US" w:eastAsia="ru-RU"/>
        </w:rPr>
        <w:lastRenderedPageBreak/>
        <w:t>Ilic</w:t>
      </w:r>
      <w:proofErr w:type="spellEnd"/>
      <w:r w:rsidRPr="00587927">
        <w:rPr>
          <w:rFonts w:ascii="Times New Roman" w:eastAsia="Times New Roman" w:hAnsi="Times New Roman" w:cs="Times New Roman"/>
          <w:sz w:val="28"/>
          <w:szCs w:val="28"/>
          <w:lang w:val="en-US" w:eastAsia="ru-RU"/>
        </w:rPr>
        <w:t xml:space="preserve"> M., </w:t>
      </w:r>
      <w:proofErr w:type="spellStart"/>
      <w:r w:rsidRPr="00587927">
        <w:rPr>
          <w:rFonts w:ascii="Times New Roman" w:eastAsia="Times New Roman" w:hAnsi="Times New Roman" w:cs="Times New Roman"/>
          <w:sz w:val="28"/>
          <w:szCs w:val="28"/>
          <w:lang w:val="en-US" w:eastAsia="ru-RU"/>
        </w:rPr>
        <w:t>Ilic</w:t>
      </w:r>
      <w:proofErr w:type="spellEnd"/>
      <w:r w:rsidRPr="00587927">
        <w:rPr>
          <w:rFonts w:ascii="Times New Roman" w:eastAsia="Times New Roman" w:hAnsi="Times New Roman" w:cs="Times New Roman"/>
          <w:sz w:val="28"/>
          <w:szCs w:val="28"/>
          <w:lang w:val="en-US" w:eastAsia="ru-RU"/>
        </w:rPr>
        <w:t xml:space="preserve"> I. Epidemiology of pancreatic cancer. </w:t>
      </w:r>
      <w:r w:rsidRPr="00587927">
        <w:rPr>
          <w:rFonts w:ascii="Times New Roman" w:eastAsia="Times New Roman" w:hAnsi="Times New Roman" w:cs="Times New Roman"/>
          <w:i/>
          <w:sz w:val="28"/>
          <w:szCs w:val="28"/>
          <w:lang w:val="en-US" w:eastAsia="ru-RU"/>
        </w:rPr>
        <w:t>World J. Gastroenterol</w:t>
      </w:r>
      <w:r w:rsidRPr="00587927">
        <w:rPr>
          <w:rFonts w:ascii="Times New Roman" w:eastAsia="Times New Roman" w:hAnsi="Times New Roman" w:cs="Times New Roman"/>
          <w:sz w:val="28"/>
          <w:szCs w:val="28"/>
          <w:lang w:val="en-US" w:eastAsia="ru-RU"/>
        </w:rPr>
        <w:t>. 2016. Vol. 22, No 44. P. 9694–9705.</w:t>
      </w:r>
      <w:bookmarkEnd w:id="15"/>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6" w:name="_Ref24053070"/>
      <w:proofErr w:type="spellStart"/>
      <w:r w:rsidRPr="00587927">
        <w:rPr>
          <w:rFonts w:ascii="Times New Roman" w:eastAsia="Calibri" w:hAnsi="Times New Roman" w:cs="Times New Roman"/>
          <w:sz w:val="28"/>
          <w:szCs w:val="28"/>
          <w:lang w:val="en-US"/>
        </w:rPr>
        <w:t>Infante</w:t>
      </w:r>
      <w:proofErr w:type="spellEnd"/>
      <w:r w:rsidRPr="00587927">
        <w:rPr>
          <w:rFonts w:ascii="Times New Roman" w:eastAsia="Calibri" w:hAnsi="Times New Roman" w:cs="Times New Roman"/>
          <w:sz w:val="28"/>
          <w:szCs w:val="28"/>
          <w:lang w:val="en-US"/>
        </w:rPr>
        <w:t xml:space="preserve"> J. R., </w:t>
      </w:r>
      <w:proofErr w:type="spellStart"/>
      <w:r w:rsidRPr="00587927">
        <w:rPr>
          <w:rFonts w:ascii="Times New Roman" w:eastAsia="Calibri" w:hAnsi="Times New Roman" w:cs="Times New Roman"/>
          <w:sz w:val="28"/>
          <w:szCs w:val="28"/>
          <w:lang w:val="en-US"/>
        </w:rPr>
        <w:t>Matsubayashi</w:t>
      </w:r>
      <w:proofErr w:type="spellEnd"/>
      <w:r w:rsidRPr="00587927">
        <w:rPr>
          <w:rFonts w:ascii="Times New Roman" w:eastAsia="Calibri" w:hAnsi="Times New Roman" w:cs="Times New Roman"/>
          <w:sz w:val="28"/>
          <w:szCs w:val="28"/>
          <w:lang w:val="en-US"/>
        </w:rPr>
        <w:t xml:space="preserve"> H., Sato N., </w:t>
      </w:r>
      <w:proofErr w:type="spellStart"/>
      <w:r w:rsidRPr="00587927">
        <w:rPr>
          <w:rFonts w:ascii="Times New Roman" w:eastAsia="Calibri" w:hAnsi="Times New Roman" w:cs="Times New Roman"/>
          <w:sz w:val="28"/>
          <w:szCs w:val="28"/>
          <w:lang w:val="en-US"/>
        </w:rPr>
        <w:t>Tonascia</w:t>
      </w:r>
      <w:proofErr w:type="spellEnd"/>
      <w:r w:rsidRPr="00587927">
        <w:rPr>
          <w:rFonts w:ascii="Times New Roman" w:eastAsia="Calibri" w:hAnsi="Times New Roman" w:cs="Times New Roman"/>
          <w:sz w:val="28"/>
          <w:szCs w:val="28"/>
          <w:lang w:val="en-US"/>
        </w:rPr>
        <w:t xml:space="preserve"> J., Klein A. P., </w:t>
      </w:r>
      <w:proofErr w:type="spellStart"/>
      <w:r w:rsidRPr="00587927">
        <w:rPr>
          <w:rFonts w:ascii="Times New Roman" w:eastAsia="Calibri" w:hAnsi="Times New Roman" w:cs="Times New Roman"/>
          <w:sz w:val="28"/>
          <w:szCs w:val="28"/>
          <w:lang w:val="en-US"/>
        </w:rPr>
        <w:t>Riall</w:t>
      </w:r>
      <w:proofErr w:type="spellEnd"/>
      <w:r w:rsidRPr="00587927">
        <w:rPr>
          <w:rFonts w:ascii="Times New Roman" w:eastAsia="Calibri" w:hAnsi="Times New Roman" w:cs="Times New Roman"/>
          <w:sz w:val="28"/>
          <w:szCs w:val="28"/>
          <w:lang w:val="en-US"/>
        </w:rPr>
        <w:t xml:space="preserve"> T. A. Peritumoral fibroblast SPARC expression and patient outcome with </w:t>
      </w:r>
      <w:proofErr w:type="spellStart"/>
      <w:r w:rsidRPr="00587927">
        <w:rPr>
          <w:rFonts w:ascii="Times New Roman" w:eastAsia="Calibri" w:hAnsi="Times New Roman" w:cs="Times New Roman"/>
          <w:sz w:val="28"/>
          <w:szCs w:val="28"/>
          <w:lang w:val="en-US"/>
        </w:rPr>
        <w:t>resectable</w:t>
      </w:r>
      <w:proofErr w:type="spellEnd"/>
      <w:r w:rsidRPr="00587927">
        <w:rPr>
          <w:rFonts w:ascii="Times New Roman" w:eastAsia="Calibri" w:hAnsi="Times New Roman" w:cs="Times New Roman"/>
          <w:sz w:val="28"/>
          <w:szCs w:val="28"/>
          <w:lang w:val="en-US"/>
        </w:rPr>
        <w:t xml:space="preserve"> pancreatic adenocarcinoma. </w:t>
      </w:r>
      <w:r w:rsidRPr="00587927">
        <w:rPr>
          <w:rFonts w:ascii="Times New Roman" w:eastAsia="Calibri" w:hAnsi="Times New Roman" w:cs="Times New Roman"/>
          <w:i/>
          <w:sz w:val="28"/>
          <w:szCs w:val="28"/>
          <w:lang w:val="en-US"/>
        </w:rPr>
        <w:t>Journal of Clinical Oncology</w:t>
      </w:r>
      <w:r w:rsidRPr="00587927">
        <w:rPr>
          <w:rFonts w:ascii="Times New Roman" w:eastAsia="Calibri" w:hAnsi="Times New Roman" w:cs="Times New Roman"/>
          <w:sz w:val="28"/>
          <w:szCs w:val="28"/>
          <w:lang w:val="en-US"/>
        </w:rPr>
        <w:t>. 2007. Vol. 25. P. 319–325.</w:t>
      </w:r>
      <w:bookmarkEnd w:id="16"/>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17" w:name="_Ref24052950"/>
      <w:r w:rsidRPr="00587927">
        <w:rPr>
          <w:rFonts w:ascii="Times New Roman" w:eastAsia="Times New Roman" w:hAnsi="Times New Roman" w:cs="Times New Roman"/>
          <w:sz w:val="28"/>
          <w:szCs w:val="28"/>
          <w:lang w:val="en-US" w:eastAsia="ru-RU"/>
        </w:rPr>
        <w:t xml:space="preserve">Jenkinson C., Earl J., </w:t>
      </w:r>
      <w:proofErr w:type="spellStart"/>
      <w:r w:rsidRPr="00587927">
        <w:rPr>
          <w:rFonts w:ascii="Times New Roman" w:eastAsia="Times New Roman" w:hAnsi="Times New Roman" w:cs="Times New Roman"/>
          <w:sz w:val="28"/>
          <w:szCs w:val="28"/>
          <w:lang w:val="en-US" w:eastAsia="ru-RU"/>
        </w:rPr>
        <w:t>Ghaneh</w:t>
      </w:r>
      <w:proofErr w:type="spellEnd"/>
      <w:r w:rsidRPr="00587927">
        <w:rPr>
          <w:rFonts w:ascii="Times New Roman" w:eastAsia="Times New Roman" w:hAnsi="Times New Roman" w:cs="Times New Roman"/>
          <w:sz w:val="28"/>
          <w:szCs w:val="28"/>
          <w:lang w:val="en-US" w:eastAsia="ru-RU"/>
        </w:rPr>
        <w:t xml:space="preserve"> P., Halloran C., </w:t>
      </w:r>
      <w:proofErr w:type="spellStart"/>
      <w:r w:rsidRPr="00587927">
        <w:rPr>
          <w:rFonts w:ascii="Times New Roman" w:eastAsia="Times New Roman" w:hAnsi="Times New Roman" w:cs="Times New Roman"/>
          <w:sz w:val="28"/>
          <w:szCs w:val="28"/>
          <w:lang w:val="en-US" w:eastAsia="ru-RU"/>
        </w:rPr>
        <w:t>Carrato</w:t>
      </w:r>
      <w:proofErr w:type="spellEnd"/>
      <w:r w:rsidRPr="00587927">
        <w:rPr>
          <w:rFonts w:ascii="Times New Roman" w:eastAsia="Times New Roman" w:hAnsi="Times New Roman" w:cs="Times New Roman"/>
          <w:sz w:val="28"/>
          <w:szCs w:val="28"/>
          <w:lang w:val="en-US" w:eastAsia="ru-RU"/>
        </w:rPr>
        <w:t xml:space="preserve"> A., </w:t>
      </w:r>
      <w:proofErr w:type="spellStart"/>
      <w:r w:rsidRPr="00587927">
        <w:rPr>
          <w:rFonts w:ascii="Times New Roman" w:eastAsia="Times New Roman" w:hAnsi="Times New Roman" w:cs="Times New Roman"/>
          <w:sz w:val="28"/>
          <w:szCs w:val="28"/>
          <w:lang w:val="en-US" w:eastAsia="ru-RU"/>
        </w:rPr>
        <w:t>Greenhalf</w:t>
      </w:r>
      <w:proofErr w:type="spellEnd"/>
      <w:r w:rsidRPr="00587927">
        <w:rPr>
          <w:rFonts w:ascii="Times New Roman" w:eastAsia="Times New Roman" w:hAnsi="Times New Roman" w:cs="Times New Roman"/>
          <w:sz w:val="28"/>
          <w:szCs w:val="28"/>
          <w:lang w:val="en-US" w:eastAsia="ru-RU"/>
        </w:rPr>
        <w:t xml:space="preserve"> W</w:t>
      </w:r>
      <w:r w:rsidRPr="00587927">
        <w:rPr>
          <w:rFonts w:ascii="Times New Roman" w:eastAsia="Calibri" w:hAnsi="Times New Roman" w:cs="Times New Roman"/>
          <w:sz w:val="28"/>
          <w:szCs w:val="28"/>
          <w:lang w:val="en-US"/>
        </w:rPr>
        <w:t xml:space="preserve">. </w:t>
      </w:r>
      <w:r w:rsidRPr="00587927">
        <w:rPr>
          <w:rFonts w:ascii="Times New Roman" w:eastAsia="Times New Roman" w:hAnsi="Times New Roman" w:cs="Times New Roman"/>
          <w:sz w:val="28"/>
          <w:szCs w:val="28"/>
          <w:lang w:val="en-US" w:eastAsia="ru-RU"/>
        </w:rPr>
        <w:t xml:space="preserve">Biomarkers for early diagnosis of pancreatic cancer. </w:t>
      </w:r>
      <w:r w:rsidRPr="00587927">
        <w:rPr>
          <w:rFonts w:ascii="Times New Roman" w:eastAsia="Times New Roman" w:hAnsi="Times New Roman" w:cs="Times New Roman"/>
          <w:i/>
          <w:sz w:val="28"/>
          <w:szCs w:val="28"/>
          <w:lang w:val="en-US" w:eastAsia="ru-RU"/>
        </w:rPr>
        <w:t>Expert Review of Gastroenterology and Hepatology</w:t>
      </w:r>
      <w:r w:rsidRPr="00587927">
        <w:rPr>
          <w:rFonts w:ascii="Times New Roman" w:eastAsia="Times New Roman" w:hAnsi="Times New Roman" w:cs="Times New Roman"/>
          <w:sz w:val="28"/>
          <w:szCs w:val="28"/>
          <w:lang w:val="en-US" w:eastAsia="ru-RU"/>
        </w:rPr>
        <w:t>. 2014. Vol. 9, No 3. P. 1–11.</w:t>
      </w:r>
      <w:bookmarkEnd w:id="17"/>
      <w:r w:rsidRPr="00587927">
        <w:rPr>
          <w:rFonts w:ascii="Times New Roman" w:eastAsia="Times New Roman" w:hAnsi="Times New Roman" w:cs="Times New Roman"/>
          <w:sz w:val="28"/>
          <w:szCs w:val="28"/>
          <w:lang w:val="en-US" w:eastAsia="ru-RU"/>
        </w:rPr>
        <w:t xml:space="preserve"> </w:t>
      </w:r>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18" w:name="_Ref24052918"/>
      <w:proofErr w:type="spellStart"/>
      <w:r w:rsidRPr="00587927">
        <w:rPr>
          <w:rFonts w:ascii="Times New Roman" w:eastAsia="Times New Roman" w:hAnsi="Times New Roman" w:cs="Times New Roman"/>
          <w:sz w:val="28"/>
          <w:szCs w:val="28"/>
          <w:lang w:val="en-US" w:eastAsia="ru-RU"/>
        </w:rPr>
        <w:t>Kanno</w:t>
      </w:r>
      <w:proofErr w:type="spellEnd"/>
      <w:r w:rsidRPr="00587927">
        <w:rPr>
          <w:rFonts w:ascii="Times New Roman" w:eastAsia="Times New Roman" w:hAnsi="Times New Roman" w:cs="Times New Roman"/>
          <w:sz w:val="28"/>
          <w:szCs w:val="28"/>
          <w:lang w:val="en-US" w:eastAsia="ru-RU"/>
        </w:rPr>
        <w:t xml:space="preserve"> A., </w:t>
      </w:r>
      <w:proofErr w:type="spellStart"/>
      <w:r w:rsidRPr="00587927">
        <w:rPr>
          <w:rFonts w:ascii="Times New Roman" w:eastAsia="Times New Roman" w:hAnsi="Times New Roman" w:cs="Times New Roman"/>
          <w:sz w:val="28"/>
          <w:szCs w:val="28"/>
          <w:lang w:val="en-US" w:eastAsia="ru-RU"/>
        </w:rPr>
        <w:t>Masamune</w:t>
      </w:r>
      <w:proofErr w:type="spellEnd"/>
      <w:r w:rsidRPr="00587927">
        <w:rPr>
          <w:rFonts w:ascii="Times New Roman" w:eastAsia="Times New Roman" w:hAnsi="Times New Roman" w:cs="Times New Roman"/>
          <w:sz w:val="28"/>
          <w:szCs w:val="28"/>
          <w:lang w:val="en-US" w:eastAsia="ru-RU"/>
        </w:rPr>
        <w:t xml:space="preserve"> A., </w:t>
      </w:r>
      <w:proofErr w:type="spellStart"/>
      <w:r w:rsidRPr="00587927">
        <w:rPr>
          <w:rFonts w:ascii="Times New Roman" w:eastAsia="Times New Roman" w:hAnsi="Times New Roman" w:cs="Times New Roman"/>
          <w:sz w:val="28"/>
          <w:szCs w:val="28"/>
          <w:lang w:val="en-US" w:eastAsia="ru-RU"/>
        </w:rPr>
        <w:t>Hanada</w:t>
      </w:r>
      <w:proofErr w:type="spellEnd"/>
      <w:r w:rsidRPr="00587927">
        <w:rPr>
          <w:rFonts w:ascii="Times New Roman" w:eastAsia="Times New Roman" w:hAnsi="Times New Roman" w:cs="Times New Roman"/>
          <w:sz w:val="28"/>
          <w:szCs w:val="28"/>
          <w:lang w:val="en-US" w:eastAsia="ru-RU"/>
        </w:rPr>
        <w:t xml:space="preserve"> K., </w:t>
      </w:r>
      <w:proofErr w:type="spellStart"/>
      <w:r w:rsidRPr="00587927">
        <w:rPr>
          <w:rFonts w:ascii="Times New Roman" w:eastAsia="Times New Roman" w:hAnsi="Times New Roman" w:cs="Times New Roman"/>
          <w:sz w:val="28"/>
          <w:szCs w:val="28"/>
          <w:lang w:val="en-US" w:eastAsia="ru-RU"/>
        </w:rPr>
        <w:t>Kikuyama</w:t>
      </w:r>
      <w:proofErr w:type="spellEnd"/>
      <w:r w:rsidRPr="00587927">
        <w:rPr>
          <w:rFonts w:ascii="Times New Roman" w:eastAsia="Times New Roman" w:hAnsi="Times New Roman" w:cs="Times New Roman"/>
          <w:sz w:val="28"/>
          <w:szCs w:val="28"/>
          <w:lang w:val="en-US" w:eastAsia="ru-RU"/>
        </w:rPr>
        <w:t xml:space="preserve"> M., Kitano M. Advances in early detection of pancreatic cancer. </w:t>
      </w:r>
      <w:r w:rsidRPr="00587927">
        <w:rPr>
          <w:rFonts w:ascii="Times New Roman" w:eastAsia="Times New Roman" w:hAnsi="Times New Roman" w:cs="Times New Roman"/>
          <w:i/>
          <w:sz w:val="28"/>
          <w:szCs w:val="28"/>
          <w:lang w:val="en-US" w:eastAsia="ru-RU"/>
        </w:rPr>
        <w:t>Diagnostics</w:t>
      </w:r>
      <w:r w:rsidRPr="00587927">
        <w:rPr>
          <w:rFonts w:ascii="Times New Roman" w:eastAsia="Times New Roman" w:hAnsi="Times New Roman" w:cs="Times New Roman"/>
          <w:sz w:val="28"/>
          <w:szCs w:val="28"/>
          <w:lang w:val="en-US" w:eastAsia="ru-RU"/>
        </w:rPr>
        <w:t>. 2019. Vol. 9, No 1. P. E18.</w:t>
      </w:r>
      <w:bookmarkEnd w:id="18"/>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19" w:name="_Ref24053123"/>
      <w:proofErr w:type="spellStart"/>
      <w:r w:rsidRPr="00587927">
        <w:rPr>
          <w:rFonts w:ascii="Times New Roman" w:eastAsia="Calibri" w:hAnsi="Times New Roman" w:cs="Times New Roman"/>
          <w:sz w:val="28"/>
          <w:szCs w:val="28"/>
          <w:lang w:val="en-US"/>
        </w:rPr>
        <w:t>Kisiel</w:t>
      </w:r>
      <w:proofErr w:type="spellEnd"/>
      <w:r w:rsidRPr="00587927">
        <w:rPr>
          <w:rFonts w:ascii="Times New Roman" w:eastAsia="Calibri" w:hAnsi="Times New Roman" w:cs="Times New Roman"/>
          <w:sz w:val="28"/>
          <w:szCs w:val="28"/>
          <w:lang w:val="en-US"/>
        </w:rPr>
        <w:t xml:space="preserve"> J. B., </w:t>
      </w:r>
      <w:proofErr w:type="spellStart"/>
      <w:r w:rsidRPr="00587927">
        <w:rPr>
          <w:rFonts w:ascii="Times New Roman" w:eastAsia="Calibri" w:hAnsi="Times New Roman" w:cs="Times New Roman"/>
          <w:sz w:val="28"/>
          <w:szCs w:val="28"/>
          <w:lang w:val="en-US"/>
        </w:rPr>
        <w:t>Yab</w:t>
      </w:r>
      <w:proofErr w:type="spellEnd"/>
      <w:r w:rsidRPr="00587927">
        <w:rPr>
          <w:rFonts w:ascii="Times New Roman" w:eastAsia="Calibri" w:hAnsi="Times New Roman" w:cs="Times New Roman"/>
          <w:sz w:val="28"/>
          <w:szCs w:val="28"/>
          <w:lang w:val="en-US"/>
        </w:rPr>
        <w:t xml:space="preserve"> T. C., Taylor W. R., Chari S. T., Petersen G. M., Mahoney D. W. Stool DNA testing for the detection of PDAC: assessment of methylation marker candidates. </w:t>
      </w:r>
      <w:r w:rsidRPr="00587927">
        <w:rPr>
          <w:rFonts w:ascii="Times New Roman" w:eastAsia="Calibri" w:hAnsi="Times New Roman" w:cs="Times New Roman"/>
          <w:i/>
          <w:sz w:val="28"/>
          <w:szCs w:val="28"/>
          <w:lang w:val="en-US"/>
        </w:rPr>
        <w:t>Cancer</w:t>
      </w:r>
      <w:r w:rsidRPr="00587927">
        <w:rPr>
          <w:rFonts w:ascii="Times New Roman" w:eastAsia="Calibri" w:hAnsi="Times New Roman" w:cs="Times New Roman"/>
          <w:sz w:val="28"/>
          <w:szCs w:val="28"/>
          <w:lang w:val="en-US"/>
        </w:rPr>
        <w:t>. 2012. Vol. 118. P. 2623–2631.</w:t>
      </w:r>
      <w:bookmarkEnd w:id="19"/>
    </w:p>
    <w:p w:rsidR="00C637E7" w:rsidRPr="00587927" w:rsidRDefault="00C637E7" w:rsidP="008E16E2">
      <w:pPr>
        <w:pStyle w:val="a5"/>
        <w:numPr>
          <w:ilvl w:val="0"/>
          <w:numId w:val="5"/>
        </w:numPr>
        <w:spacing w:after="0" w:line="240" w:lineRule="auto"/>
        <w:jc w:val="both"/>
        <w:rPr>
          <w:rFonts w:ascii="Times New Roman" w:eastAsia="Times New Roman" w:hAnsi="Times New Roman" w:cs="Times New Roman"/>
          <w:sz w:val="28"/>
          <w:szCs w:val="28"/>
          <w:lang w:val="en-US" w:eastAsia="ru-RU"/>
        </w:rPr>
      </w:pPr>
      <w:bookmarkStart w:id="20" w:name="_Ref24052944"/>
      <w:proofErr w:type="spellStart"/>
      <w:r w:rsidRPr="00587927">
        <w:rPr>
          <w:rFonts w:ascii="Times New Roman" w:eastAsia="Times New Roman" w:hAnsi="Times New Roman" w:cs="Times New Roman"/>
          <w:sz w:val="28"/>
          <w:szCs w:val="28"/>
          <w:shd w:val="clear" w:color="auto" w:fill="FFFFFF"/>
          <w:lang w:val="en-US" w:eastAsia="ru-RU"/>
        </w:rPr>
        <w:t>Klöppel</w:t>
      </w:r>
      <w:proofErr w:type="spellEnd"/>
      <w:r w:rsidRPr="00587927">
        <w:rPr>
          <w:rFonts w:ascii="Times New Roman" w:eastAsia="Times New Roman" w:hAnsi="Times New Roman" w:cs="Times New Roman"/>
          <w:sz w:val="28"/>
          <w:szCs w:val="28"/>
          <w:shd w:val="clear" w:color="auto" w:fill="FFFFFF"/>
          <w:lang w:val="en-US" w:eastAsia="ru-RU"/>
        </w:rPr>
        <w:t xml:space="preserve"> G., </w:t>
      </w:r>
      <w:proofErr w:type="spellStart"/>
      <w:r w:rsidRPr="00587927">
        <w:rPr>
          <w:rFonts w:ascii="Times New Roman" w:eastAsia="Times New Roman" w:hAnsi="Times New Roman" w:cs="Times New Roman"/>
          <w:sz w:val="28"/>
          <w:szCs w:val="28"/>
          <w:shd w:val="clear" w:color="auto" w:fill="FFFFFF"/>
          <w:lang w:val="en-US" w:eastAsia="ru-RU"/>
        </w:rPr>
        <w:t>Adsay</w:t>
      </w:r>
      <w:proofErr w:type="spellEnd"/>
      <w:r w:rsidRPr="00587927">
        <w:rPr>
          <w:rFonts w:ascii="Times New Roman" w:eastAsia="Times New Roman" w:hAnsi="Times New Roman" w:cs="Times New Roman"/>
          <w:sz w:val="28"/>
          <w:szCs w:val="28"/>
          <w:shd w:val="clear" w:color="auto" w:fill="FFFFFF"/>
          <w:lang w:val="en-US" w:eastAsia="ru-RU"/>
        </w:rPr>
        <w:t xml:space="preserve"> V. N. Chronic pancreatitis and the differential diagnosis versus pancreatic cancer. </w:t>
      </w:r>
      <w:r w:rsidRPr="00587927">
        <w:rPr>
          <w:rFonts w:ascii="Times New Roman" w:eastAsia="Times New Roman" w:hAnsi="Times New Roman" w:cs="Times New Roman"/>
          <w:i/>
          <w:sz w:val="28"/>
          <w:szCs w:val="28"/>
          <w:shd w:val="clear" w:color="auto" w:fill="FFFFFF"/>
          <w:lang w:val="en-US" w:eastAsia="ru-RU"/>
        </w:rPr>
        <w:t>Archives of Pathology &amp; Laboratory Medicine</w:t>
      </w:r>
      <w:r w:rsidRPr="00587927">
        <w:rPr>
          <w:rFonts w:ascii="Times New Roman" w:eastAsia="Times New Roman" w:hAnsi="Times New Roman" w:cs="Times New Roman"/>
          <w:sz w:val="28"/>
          <w:szCs w:val="28"/>
          <w:shd w:val="clear" w:color="auto" w:fill="FFFFFF"/>
          <w:lang w:val="en-US" w:eastAsia="ru-RU"/>
        </w:rPr>
        <w:t xml:space="preserve">. 2009. Vol. 133, No 3. P. </w:t>
      </w:r>
      <w:r w:rsidRPr="00587927">
        <w:rPr>
          <w:rFonts w:ascii="Times New Roman" w:eastAsia="Times New Roman" w:hAnsi="Times New Roman" w:cs="Times New Roman"/>
          <w:sz w:val="28"/>
          <w:szCs w:val="28"/>
          <w:lang w:val="en-US" w:eastAsia="ru-RU"/>
        </w:rPr>
        <w:t>382–387</w:t>
      </w:r>
      <w:r w:rsidRPr="00587927">
        <w:rPr>
          <w:rFonts w:ascii="Times New Roman" w:eastAsia="Times New Roman" w:hAnsi="Times New Roman" w:cs="Times New Roman"/>
          <w:sz w:val="28"/>
          <w:szCs w:val="28"/>
          <w:shd w:val="clear" w:color="auto" w:fill="FFFFFF"/>
          <w:lang w:val="en-US" w:eastAsia="ru-RU"/>
        </w:rPr>
        <w:t>.</w:t>
      </w:r>
      <w:bookmarkEnd w:id="20"/>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1" w:name="_Ref24053096"/>
      <w:proofErr w:type="spellStart"/>
      <w:r w:rsidRPr="00587927">
        <w:rPr>
          <w:rFonts w:ascii="Times New Roman" w:eastAsia="Calibri" w:hAnsi="Times New Roman" w:cs="Times New Roman"/>
          <w:sz w:val="28"/>
          <w:szCs w:val="28"/>
          <w:lang w:val="en-US"/>
        </w:rPr>
        <w:t>Koopmann</w:t>
      </w:r>
      <w:proofErr w:type="spellEnd"/>
      <w:r w:rsidRPr="00587927">
        <w:rPr>
          <w:rFonts w:ascii="Times New Roman" w:eastAsia="Calibri" w:hAnsi="Times New Roman" w:cs="Times New Roman"/>
          <w:sz w:val="28"/>
          <w:szCs w:val="28"/>
          <w:lang w:val="en-US"/>
        </w:rPr>
        <w:t xml:space="preserve"> J., Rosenzweig C. N., Zhang Z., Canto M. I., Brown D. A., Hunter M. Serum markers in patients with </w:t>
      </w:r>
      <w:proofErr w:type="spellStart"/>
      <w:r w:rsidRPr="00587927">
        <w:rPr>
          <w:rFonts w:ascii="Times New Roman" w:eastAsia="Calibri" w:hAnsi="Times New Roman" w:cs="Times New Roman"/>
          <w:sz w:val="28"/>
          <w:szCs w:val="28"/>
          <w:lang w:val="en-US"/>
        </w:rPr>
        <w:t>resectable</w:t>
      </w:r>
      <w:proofErr w:type="spellEnd"/>
      <w:r w:rsidRPr="00587927">
        <w:rPr>
          <w:rFonts w:ascii="Times New Roman" w:eastAsia="Calibri" w:hAnsi="Times New Roman" w:cs="Times New Roman"/>
          <w:sz w:val="28"/>
          <w:szCs w:val="28"/>
          <w:lang w:val="en-US"/>
        </w:rPr>
        <w:t xml:space="preserve"> pancreatic adenocarcinoma: macrophage inhibitory cytokine 1 versus CA19-9. </w:t>
      </w:r>
      <w:r w:rsidRPr="00587927">
        <w:rPr>
          <w:rFonts w:ascii="Times New Roman" w:eastAsia="Calibri" w:hAnsi="Times New Roman" w:cs="Times New Roman"/>
          <w:i/>
          <w:sz w:val="28"/>
          <w:szCs w:val="28"/>
          <w:lang w:val="en-US"/>
        </w:rPr>
        <w:t>Clinical Cancer Research</w:t>
      </w:r>
      <w:r w:rsidRPr="00587927">
        <w:rPr>
          <w:rFonts w:ascii="Times New Roman" w:eastAsia="Calibri" w:hAnsi="Times New Roman" w:cs="Times New Roman"/>
          <w:sz w:val="28"/>
          <w:szCs w:val="28"/>
          <w:lang w:val="en-US"/>
        </w:rPr>
        <w:t>. 2006. Vol. 12. P. 442–446.</w:t>
      </w:r>
      <w:bookmarkEnd w:id="21"/>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22" w:name="_Ref24052956"/>
      <w:r w:rsidRPr="00587927">
        <w:rPr>
          <w:rFonts w:ascii="Times New Roman" w:eastAsia="Times New Roman" w:hAnsi="Times New Roman" w:cs="Times New Roman"/>
          <w:sz w:val="28"/>
          <w:szCs w:val="28"/>
          <w:lang w:val="en-US" w:eastAsia="ru-RU"/>
        </w:rPr>
        <w:t xml:space="preserve">Le N., </w:t>
      </w:r>
      <w:proofErr w:type="spellStart"/>
      <w:r w:rsidRPr="00587927">
        <w:rPr>
          <w:rFonts w:ascii="Times New Roman" w:eastAsia="Times New Roman" w:hAnsi="Times New Roman" w:cs="Times New Roman"/>
          <w:sz w:val="28"/>
          <w:szCs w:val="28"/>
          <w:lang w:val="en-US" w:eastAsia="ru-RU"/>
        </w:rPr>
        <w:t>Sund</w:t>
      </w:r>
      <w:proofErr w:type="spellEnd"/>
      <w:r w:rsidRPr="00587927">
        <w:rPr>
          <w:rFonts w:ascii="Times New Roman" w:eastAsia="Times New Roman" w:hAnsi="Times New Roman" w:cs="Times New Roman"/>
          <w:sz w:val="28"/>
          <w:szCs w:val="28"/>
          <w:lang w:val="en-US" w:eastAsia="ru-RU"/>
        </w:rPr>
        <w:t xml:space="preserve"> M., Vinci A. GEMS collaborating group of Pancreas 2000. Prognostic and predictive markers in pancreatic adenocarcinoma. </w:t>
      </w:r>
      <w:r w:rsidRPr="00587927">
        <w:rPr>
          <w:rFonts w:ascii="Times New Roman" w:eastAsia="Times New Roman" w:hAnsi="Times New Roman" w:cs="Times New Roman"/>
          <w:i/>
          <w:sz w:val="28"/>
          <w:szCs w:val="28"/>
          <w:lang w:val="en-US" w:eastAsia="ru-RU"/>
        </w:rPr>
        <w:t>Dig. Liver Dis</w:t>
      </w:r>
      <w:r w:rsidRPr="00587927">
        <w:rPr>
          <w:rFonts w:ascii="Times New Roman" w:eastAsia="Times New Roman" w:hAnsi="Times New Roman" w:cs="Times New Roman"/>
          <w:sz w:val="28"/>
          <w:szCs w:val="28"/>
          <w:lang w:val="en-US" w:eastAsia="ru-RU"/>
        </w:rPr>
        <w:t>. 2016. Vol. 48, No 3. P. 223–230.</w:t>
      </w:r>
      <w:bookmarkEnd w:id="22"/>
      <w:r w:rsidRPr="00587927">
        <w:rPr>
          <w:rFonts w:ascii="Times New Roman" w:eastAsia="Times New Roman" w:hAnsi="Times New Roman" w:cs="Times New Roman"/>
          <w:sz w:val="28"/>
          <w:szCs w:val="28"/>
          <w:lang w:val="en-US" w:eastAsia="ru-RU"/>
        </w:rPr>
        <w:t xml:space="preserve"> </w:t>
      </w:r>
    </w:p>
    <w:p w:rsidR="00C637E7" w:rsidRPr="00587927" w:rsidRDefault="00C637E7" w:rsidP="008E16E2">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bookmarkStart w:id="23" w:name="_Ref24052901"/>
      <w:r w:rsidRPr="00587927">
        <w:rPr>
          <w:rFonts w:ascii="Times New Roman" w:eastAsia="Times New Roman" w:hAnsi="Times New Roman" w:cs="Times New Roman"/>
          <w:sz w:val="28"/>
          <w:szCs w:val="28"/>
          <w:lang w:val="en-US" w:eastAsia="ru-RU"/>
        </w:rPr>
        <w:t xml:space="preserve">Lew D., Afghani E., </w:t>
      </w:r>
      <w:proofErr w:type="spellStart"/>
      <w:r w:rsidRPr="00587927">
        <w:rPr>
          <w:rFonts w:ascii="Times New Roman" w:eastAsia="Times New Roman" w:hAnsi="Times New Roman" w:cs="Times New Roman"/>
          <w:sz w:val="28"/>
          <w:szCs w:val="28"/>
          <w:lang w:val="en-US" w:eastAsia="ru-RU"/>
        </w:rPr>
        <w:t>Pandol</w:t>
      </w:r>
      <w:proofErr w:type="spellEnd"/>
      <w:r w:rsidRPr="00587927">
        <w:rPr>
          <w:rFonts w:ascii="Times New Roman" w:eastAsia="Times New Roman" w:hAnsi="Times New Roman" w:cs="Times New Roman"/>
          <w:sz w:val="28"/>
          <w:szCs w:val="28"/>
          <w:lang w:val="en-US" w:eastAsia="ru-RU"/>
        </w:rPr>
        <w:t xml:space="preserve"> S. Chronic pancreatitis: current status and challenges for prevention and treatment. </w:t>
      </w:r>
      <w:r w:rsidRPr="00587927">
        <w:rPr>
          <w:rFonts w:ascii="Times New Roman" w:eastAsia="Times New Roman" w:hAnsi="Times New Roman" w:cs="Times New Roman"/>
          <w:i/>
          <w:sz w:val="28"/>
          <w:szCs w:val="28"/>
          <w:lang w:val="en-US" w:eastAsia="ru-RU"/>
        </w:rPr>
        <w:t>Dig. Dis. Sci</w:t>
      </w:r>
      <w:r w:rsidRPr="00587927">
        <w:rPr>
          <w:rFonts w:ascii="Times New Roman" w:eastAsia="Times New Roman" w:hAnsi="Times New Roman" w:cs="Times New Roman"/>
          <w:sz w:val="28"/>
          <w:szCs w:val="28"/>
          <w:lang w:val="en-US" w:eastAsia="ru-RU"/>
        </w:rPr>
        <w:t>. 2017. Vol. 62, No 7. P. 1702–1712.</w:t>
      </w:r>
      <w:bookmarkEnd w:id="23"/>
      <w:r w:rsidRPr="00587927">
        <w:rPr>
          <w:rFonts w:ascii="Times New Roman" w:eastAsia="Times New Roman" w:hAnsi="Times New Roman" w:cs="Times New Roman"/>
          <w:sz w:val="28"/>
          <w:szCs w:val="28"/>
          <w:lang w:val="en-US" w:eastAsia="ru-RU"/>
        </w:rPr>
        <w:t xml:space="preserve"> </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4" w:name="_Ref24053019"/>
      <w:r w:rsidRPr="00587927">
        <w:rPr>
          <w:rFonts w:ascii="Times New Roman" w:eastAsia="Calibri" w:hAnsi="Times New Roman" w:cs="Times New Roman"/>
          <w:sz w:val="28"/>
          <w:szCs w:val="28"/>
          <w:lang w:val="en-US"/>
        </w:rPr>
        <w:t xml:space="preserve">Li D., Yeung S. C., Hassan M. M., </w:t>
      </w:r>
      <w:proofErr w:type="spellStart"/>
      <w:r w:rsidRPr="00587927">
        <w:rPr>
          <w:rFonts w:ascii="Times New Roman" w:eastAsia="Calibri" w:hAnsi="Times New Roman" w:cs="Times New Roman"/>
          <w:sz w:val="28"/>
          <w:szCs w:val="28"/>
          <w:lang w:val="en-US"/>
        </w:rPr>
        <w:t>Konopleva</w:t>
      </w:r>
      <w:proofErr w:type="spellEnd"/>
      <w:r w:rsidRPr="00587927">
        <w:rPr>
          <w:rFonts w:ascii="Times New Roman" w:eastAsia="Calibri" w:hAnsi="Times New Roman" w:cs="Times New Roman"/>
          <w:sz w:val="28"/>
          <w:szCs w:val="28"/>
          <w:lang w:val="en-US"/>
        </w:rPr>
        <w:t xml:space="preserve"> M., </w:t>
      </w:r>
      <w:proofErr w:type="spellStart"/>
      <w:r w:rsidRPr="00587927">
        <w:rPr>
          <w:rFonts w:ascii="Times New Roman" w:eastAsia="Calibri" w:hAnsi="Times New Roman" w:cs="Times New Roman"/>
          <w:sz w:val="28"/>
          <w:szCs w:val="28"/>
          <w:lang w:val="en-US"/>
        </w:rPr>
        <w:t>Abbruzzese</w:t>
      </w:r>
      <w:proofErr w:type="spellEnd"/>
      <w:r w:rsidRPr="00587927">
        <w:rPr>
          <w:rFonts w:ascii="Times New Roman" w:eastAsia="Calibri" w:hAnsi="Times New Roman" w:cs="Times New Roman"/>
          <w:sz w:val="28"/>
          <w:szCs w:val="28"/>
          <w:lang w:val="en-US"/>
        </w:rPr>
        <w:t xml:space="preserve"> J. L. Antidiabetic therapies affect risk of PDAC. </w:t>
      </w:r>
      <w:r w:rsidRPr="00587927">
        <w:rPr>
          <w:rFonts w:ascii="Times New Roman" w:eastAsia="Calibri" w:hAnsi="Times New Roman" w:cs="Times New Roman"/>
          <w:i/>
          <w:sz w:val="28"/>
          <w:szCs w:val="28"/>
          <w:lang w:val="en-US"/>
        </w:rPr>
        <w:t>Gastroenterology</w:t>
      </w:r>
      <w:r w:rsidRPr="00587927">
        <w:rPr>
          <w:rFonts w:ascii="Times New Roman" w:eastAsia="Calibri" w:hAnsi="Times New Roman" w:cs="Times New Roman"/>
          <w:sz w:val="28"/>
          <w:szCs w:val="28"/>
          <w:lang w:val="en-US"/>
        </w:rPr>
        <w:t>. 2009. Vol. 137. P. 482–488.</w:t>
      </w:r>
      <w:bookmarkEnd w:id="24"/>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5" w:name="_Ref24052996"/>
      <w:r w:rsidRPr="00587927">
        <w:rPr>
          <w:rFonts w:ascii="Times New Roman" w:eastAsia="Calibri" w:hAnsi="Times New Roman" w:cs="Times New Roman"/>
          <w:sz w:val="28"/>
          <w:szCs w:val="28"/>
          <w:lang w:val="en-US"/>
        </w:rPr>
        <w:t xml:space="preserve">Lin Y., </w:t>
      </w:r>
      <w:proofErr w:type="spellStart"/>
      <w:r w:rsidRPr="00587927">
        <w:rPr>
          <w:rFonts w:ascii="Times New Roman" w:eastAsia="Calibri" w:hAnsi="Times New Roman" w:cs="Times New Roman"/>
          <w:sz w:val="28"/>
          <w:szCs w:val="28"/>
          <w:lang w:val="en-US"/>
        </w:rPr>
        <w:t>Tamakoshi</w:t>
      </w:r>
      <w:proofErr w:type="spellEnd"/>
      <w:r w:rsidRPr="00587927">
        <w:rPr>
          <w:rFonts w:ascii="Times New Roman" w:eastAsia="Calibri" w:hAnsi="Times New Roman" w:cs="Times New Roman"/>
          <w:sz w:val="28"/>
          <w:szCs w:val="28"/>
          <w:lang w:val="en-US"/>
        </w:rPr>
        <w:t xml:space="preserve"> A., Kawamura T., Inaba Y., Kikuchi S., </w:t>
      </w:r>
      <w:proofErr w:type="spellStart"/>
      <w:r w:rsidRPr="00587927">
        <w:rPr>
          <w:rFonts w:ascii="Times New Roman" w:eastAsia="Calibri" w:hAnsi="Times New Roman" w:cs="Times New Roman"/>
          <w:sz w:val="28"/>
          <w:szCs w:val="28"/>
          <w:lang w:val="en-US"/>
        </w:rPr>
        <w:t>Motohashi</w:t>
      </w:r>
      <w:proofErr w:type="spellEnd"/>
      <w:r w:rsidRPr="00587927">
        <w:rPr>
          <w:rFonts w:ascii="Times New Roman" w:eastAsia="Calibri" w:hAnsi="Times New Roman" w:cs="Times New Roman"/>
          <w:sz w:val="28"/>
          <w:szCs w:val="28"/>
          <w:lang w:val="en-US"/>
        </w:rPr>
        <w:t xml:space="preserve"> Y. A prospective cohort study of cigarette smoking and PDAC in Japan. </w:t>
      </w:r>
      <w:r w:rsidRPr="00587927">
        <w:rPr>
          <w:rFonts w:ascii="Times New Roman" w:eastAsia="Calibri" w:hAnsi="Times New Roman" w:cs="Times New Roman"/>
          <w:i/>
          <w:sz w:val="28"/>
          <w:szCs w:val="28"/>
          <w:lang w:val="en-US"/>
        </w:rPr>
        <w:t>Cancer Causes and Control</w:t>
      </w:r>
      <w:r w:rsidRPr="00587927">
        <w:rPr>
          <w:rFonts w:ascii="Times New Roman" w:eastAsia="Calibri" w:hAnsi="Times New Roman" w:cs="Times New Roman"/>
          <w:sz w:val="28"/>
          <w:szCs w:val="28"/>
          <w:lang w:val="en-US"/>
        </w:rPr>
        <w:t>. 2002. Vol. 13. P. 259–354.</w:t>
      </w:r>
      <w:bookmarkEnd w:id="25"/>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6" w:name="_Ref24053000"/>
      <w:proofErr w:type="spellStart"/>
      <w:r w:rsidRPr="00587927">
        <w:rPr>
          <w:rFonts w:ascii="Times New Roman" w:eastAsia="Calibri" w:hAnsi="Times New Roman" w:cs="Times New Roman"/>
          <w:sz w:val="28"/>
          <w:szCs w:val="28"/>
          <w:lang w:val="en-US"/>
        </w:rPr>
        <w:t>Lowenfels</w:t>
      </w:r>
      <w:proofErr w:type="spellEnd"/>
      <w:r w:rsidRPr="00587927">
        <w:rPr>
          <w:rFonts w:ascii="Times New Roman" w:eastAsia="Calibri" w:hAnsi="Times New Roman" w:cs="Times New Roman"/>
          <w:sz w:val="28"/>
          <w:szCs w:val="28"/>
          <w:lang w:val="en-US"/>
        </w:rPr>
        <w:t xml:space="preserve"> A. B., Maisonneuve P., </w:t>
      </w:r>
      <w:proofErr w:type="spellStart"/>
      <w:r w:rsidRPr="00587927">
        <w:rPr>
          <w:rFonts w:ascii="Times New Roman" w:eastAsia="Calibri" w:hAnsi="Times New Roman" w:cs="Times New Roman"/>
          <w:sz w:val="28"/>
          <w:szCs w:val="28"/>
          <w:lang w:val="en-US"/>
        </w:rPr>
        <w:t>Cavallini</w:t>
      </w:r>
      <w:proofErr w:type="spellEnd"/>
      <w:r w:rsidRPr="00587927">
        <w:rPr>
          <w:rFonts w:ascii="Times New Roman" w:eastAsia="Calibri" w:hAnsi="Times New Roman" w:cs="Times New Roman"/>
          <w:sz w:val="28"/>
          <w:szCs w:val="28"/>
          <w:lang w:val="en-US"/>
        </w:rPr>
        <w:t xml:space="preserve"> G., Ammann R. W., </w:t>
      </w:r>
      <w:proofErr w:type="spellStart"/>
      <w:r w:rsidRPr="00587927">
        <w:rPr>
          <w:rFonts w:ascii="Times New Roman" w:eastAsia="Calibri" w:hAnsi="Times New Roman" w:cs="Times New Roman"/>
          <w:sz w:val="28"/>
          <w:szCs w:val="28"/>
          <w:lang w:val="en-US"/>
        </w:rPr>
        <w:t>Lankisch</w:t>
      </w:r>
      <w:proofErr w:type="spellEnd"/>
      <w:r w:rsidRPr="00587927">
        <w:rPr>
          <w:rFonts w:ascii="Times New Roman" w:eastAsia="Calibri" w:hAnsi="Times New Roman" w:cs="Times New Roman"/>
          <w:sz w:val="28"/>
          <w:szCs w:val="28"/>
          <w:lang w:val="en-US"/>
        </w:rPr>
        <w:t xml:space="preserve"> P. G., Andersen J. R. Pancreatitis and the risk of PDAC. International pancreatitis study group. </w:t>
      </w:r>
      <w:r w:rsidRPr="00587927">
        <w:rPr>
          <w:rFonts w:ascii="Times New Roman" w:eastAsia="Calibri" w:hAnsi="Times New Roman" w:cs="Times New Roman"/>
          <w:i/>
          <w:sz w:val="28"/>
          <w:szCs w:val="28"/>
          <w:lang w:val="en-US"/>
        </w:rPr>
        <w:t>New England Journal of Medicine</w:t>
      </w:r>
      <w:r w:rsidRPr="00587927">
        <w:rPr>
          <w:rFonts w:ascii="Times New Roman" w:eastAsia="Calibri" w:hAnsi="Times New Roman" w:cs="Times New Roman"/>
          <w:sz w:val="28"/>
          <w:szCs w:val="28"/>
          <w:lang w:val="en-US"/>
        </w:rPr>
        <w:t>.1993. Vol. 328. P. 1433–1437.</w:t>
      </w:r>
      <w:bookmarkEnd w:id="26"/>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7" w:name="_Ref24053011"/>
      <w:r w:rsidRPr="00587927">
        <w:rPr>
          <w:rFonts w:ascii="Times New Roman" w:eastAsia="Calibri" w:hAnsi="Times New Roman" w:cs="Times New Roman"/>
          <w:sz w:val="28"/>
          <w:szCs w:val="28"/>
          <w:lang w:val="en-US"/>
        </w:rPr>
        <w:t xml:space="preserve">Maisonneuve P., </w:t>
      </w:r>
      <w:proofErr w:type="spellStart"/>
      <w:r w:rsidRPr="00587927">
        <w:rPr>
          <w:rFonts w:ascii="Times New Roman" w:eastAsia="Calibri" w:hAnsi="Times New Roman" w:cs="Times New Roman"/>
          <w:sz w:val="28"/>
          <w:szCs w:val="28"/>
          <w:lang w:val="en-US"/>
        </w:rPr>
        <w:t>Lowenfels</w:t>
      </w:r>
      <w:proofErr w:type="spellEnd"/>
      <w:r w:rsidRPr="00587927">
        <w:rPr>
          <w:rFonts w:ascii="Times New Roman" w:eastAsia="Calibri" w:hAnsi="Times New Roman" w:cs="Times New Roman"/>
          <w:sz w:val="28"/>
          <w:szCs w:val="28"/>
          <w:lang w:val="en-US"/>
        </w:rPr>
        <w:t xml:space="preserve"> A. B. Epidemiology of PDAC: an update. </w:t>
      </w:r>
      <w:r w:rsidRPr="00587927">
        <w:rPr>
          <w:rFonts w:ascii="Times New Roman" w:eastAsia="Calibri" w:hAnsi="Times New Roman" w:cs="Times New Roman"/>
          <w:i/>
          <w:sz w:val="28"/>
          <w:szCs w:val="28"/>
          <w:lang w:val="en-US"/>
        </w:rPr>
        <w:t>Digestive Diseases</w:t>
      </w:r>
      <w:r w:rsidRPr="00587927">
        <w:rPr>
          <w:rFonts w:ascii="Times New Roman" w:eastAsia="Calibri" w:hAnsi="Times New Roman" w:cs="Times New Roman"/>
          <w:sz w:val="28"/>
          <w:szCs w:val="28"/>
          <w:lang w:val="en-US"/>
        </w:rPr>
        <w:t>. 2010. Vol. 28. P. 645–656.</w:t>
      </w:r>
      <w:bookmarkEnd w:id="27"/>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8" w:name="_Ref24053141"/>
      <w:r w:rsidRPr="00587927">
        <w:rPr>
          <w:rFonts w:ascii="Times New Roman" w:eastAsia="Calibri" w:hAnsi="Times New Roman" w:cs="Times New Roman"/>
          <w:sz w:val="28"/>
          <w:szCs w:val="28"/>
          <w:lang w:val="en-US"/>
        </w:rPr>
        <w:t xml:space="preserve">Marten A., </w:t>
      </w:r>
      <w:proofErr w:type="spellStart"/>
      <w:r w:rsidRPr="00587927">
        <w:rPr>
          <w:rFonts w:ascii="Times New Roman" w:eastAsia="Calibri" w:hAnsi="Times New Roman" w:cs="Times New Roman"/>
          <w:sz w:val="28"/>
          <w:szCs w:val="28"/>
          <w:lang w:val="en-US"/>
        </w:rPr>
        <w:t>Buchler</w:t>
      </w:r>
      <w:proofErr w:type="spellEnd"/>
      <w:r w:rsidRPr="00587927">
        <w:rPr>
          <w:rFonts w:ascii="Times New Roman" w:eastAsia="Calibri" w:hAnsi="Times New Roman" w:cs="Times New Roman"/>
          <w:sz w:val="28"/>
          <w:szCs w:val="28"/>
          <w:lang w:val="en-US"/>
        </w:rPr>
        <w:t xml:space="preserve"> M. W., </w:t>
      </w:r>
      <w:proofErr w:type="spellStart"/>
      <w:r w:rsidRPr="00587927">
        <w:rPr>
          <w:rFonts w:ascii="Times New Roman" w:eastAsia="Calibri" w:hAnsi="Times New Roman" w:cs="Times New Roman"/>
          <w:sz w:val="28"/>
          <w:szCs w:val="28"/>
          <w:lang w:val="en-US"/>
        </w:rPr>
        <w:t>Werft</w:t>
      </w:r>
      <w:proofErr w:type="spellEnd"/>
      <w:r w:rsidRPr="00587927">
        <w:rPr>
          <w:rFonts w:ascii="Times New Roman" w:eastAsia="Calibri" w:hAnsi="Times New Roman" w:cs="Times New Roman"/>
          <w:sz w:val="28"/>
          <w:szCs w:val="28"/>
          <w:lang w:val="en-US"/>
        </w:rPr>
        <w:t xml:space="preserve"> W., </w:t>
      </w:r>
      <w:proofErr w:type="spellStart"/>
      <w:r w:rsidRPr="00587927">
        <w:rPr>
          <w:rFonts w:ascii="Times New Roman" w:eastAsia="Calibri" w:hAnsi="Times New Roman" w:cs="Times New Roman"/>
          <w:sz w:val="28"/>
          <w:szCs w:val="28"/>
          <w:lang w:val="en-US"/>
        </w:rPr>
        <w:t>Wente</w:t>
      </w:r>
      <w:proofErr w:type="spellEnd"/>
      <w:r w:rsidRPr="00587927">
        <w:rPr>
          <w:rFonts w:ascii="Times New Roman" w:eastAsia="Calibri" w:hAnsi="Times New Roman" w:cs="Times New Roman"/>
          <w:sz w:val="28"/>
          <w:szCs w:val="28"/>
          <w:lang w:val="en-US"/>
        </w:rPr>
        <w:t xml:space="preserve"> M. N., </w:t>
      </w:r>
      <w:proofErr w:type="spellStart"/>
      <w:r w:rsidRPr="00587927">
        <w:rPr>
          <w:rFonts w:ascii="Times New Roman" w:eastAsia="Calibri" w:hAnsi="Times New Roman" w:cs="Times New Roman"/>
          <w:sz w:val="28"/>
          <w:szCs w:val="28"/>
          <w:lang w:val="en-US"/>
        </w:rPr>
        <w:t>Kirschfink</w:t>
      </w:r>
      <w:proofErr w:type="spellEnd"/>
      <w:r w:rsidRPr="00587927">
        <w:rPr>
          <w:rFonts w:ascii="Times New Roman" w:eastAsia="Calibri" w:hAnsi="Times New Roman" w:cs="Times New Roman"/>
          <w:sz w:val="28"/>
          <w:szCs w:val="28"/>
          <w:lang w:val="en-US"/>
        </w:rPr>
        <w:t xml:space="preserve"> M., Schmidt J. Soluble iC3b as an early marker for pancreatic adenocarcinoma is superior to CA19-9 and radiology. </w:t>
      </w:r>
      <w:r w:rsidRPr="00587927">
        <w:rPr>
          <w:rFonts w:ascii="Times New Roman" w:eastAsia="Calibri" w:hAnsi="Times New Roman" w:cs="Times New Roman"/>
          <w:i/>
          <w:sz w:val="28"/>
          <w:szCs w:val="28"/>
          <w:lang w:val="en-US"/>
        </w:rPr>
        <w:t>Journal of Immunotherapy</w:t>
      </w:r>
      <w:r w:rsidRPr="00587927">
        <w:rPr>
          <w:rFonts w:ascii="Times New Roman" w:eastAsia="Calibri" w:hAnsi="Times New Roman" w:cs="Times New Roman"/>
          <w:sz w:val="28"/>
          <w:szCs w:val="28"/>
          <w:lang w:val="en-US"/>
        </w:rPr>
        <w:t>. 2010. Vol. 32. P. 219–224.</w:t>
      </w:r>
      <w:bookmarkEnd w:id="28"/>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29" w:name="_Ref24053099"/>
      <w:r w:rsidRPr="00587927">
        <w:rPr>
          <w:rFonts w:ascii="Times New Roman" w:eastAsia="Calibri" w:hAnsi="Times New Roman" w:cs="Times New Roman"/>
          <w:sz w:val="28"/>
          <w:szCs w:val="28"/>
          <w:lang w:val="en-US"/>
        </w:rPr>
        <w:t xml:space="preserve">Narayanan R. Phenome-genome association studies of PDAC: new targets for therapy and diagnosis. </w:t>
      </w:r>
      <w:r w:rsidRPr="00587927">
        <w:rPr>
          <w:rFonts w:ascii="Times New Roman" w:eastAsia="Calibri" w:hAnsi="Times New Roman" w:cs="Times New Roman"/>
          <w:i/>
          <w:sz w:val="28"/>
          <w:szCs w:val="28"/>
          <w:lang w:val="en-US"/>
        </w:rPr>
        <w:t>Cancer Genomics Proteomics</w:t>
      </w:r>
      <w:r w:rsidRPr="00587927">
        <w:rPr>
          <w:rFonts w:ascii="Times New Roman" w:eastAsia="Calibri" w:hAnsi="Times New Roman" w:cs="Times New Roman"/>
          <w:sz w:val="28"/>
          <w:szCs w:val="28"/>
          <w:lang w:val="en-US"/>
        </w:rPr>
        <w:t>. 2015. Vol. 12. P. 9–19.</w:t>
      </w:r>
      <w:bookmarkEnd w:id="29"/>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0" w:name="_Ref24053077"/>
      <w:proofErr w:type="spellStart"/>
      <w:r w:rsidRPr="00587927">
        <w:rPr>
          <w:rFonts w:ascii="Times New Roman" w:eastAsia="Calibri" w:hAnsi="Times New Roman" w:cs="Times New Roman"/>
          <w:sz w:val="28"/>
          <w:szCs w:val="28"/>
          <w:lang w:val="en-US"/>
        </w:rPr>
        <w:t>Öhlund</w:t>
      </w:r>
      <w:proofErr w:type="spellEnd"/>
      <w:r w:rsidRPr="00587927">
        <w:rPr>
          <w:rFonts w:ascii="Times New Roman" w:eastAsia="Calibri" w:hAnsi="Times New Roman" w:cs="Times New Roman"/>
          <w:sz w:val="28"/>
          <w:szCs w:val="28"/>
          <w:lang w:val="en-US"/>
        </w:rPr>
        <w:t xml:space="preserve"> D., Franklin O., Lundberg E., Lundin C., </w:t>
      </w:r>
      <w:proofErr w:type="spellStart"/>
      <w:r w:rsidRPr="00587927">
        <w:rPr>
          <w:rFonts w:ascii="Times New Roman" w:eastAsia="Calibri" w:hAnsi="Times New Roman" w:cs="Times New Roman"/>
          <w:sz w:val="28"/>
          <w:szCs w:val="28"/>
          <w:lang w:val="en-US"/>
        </w:rPr>
        <w:t>Sund</w:t>
      </w:r>
      <w:proofErr w:type="spellEnd"/>
      <w:r w:rsidRPr="00587927">
        <w:rPr>
          <w:rFonts w:ascii="Times New Roman" w:eastAsia="Calibri" w:hAnsi="Times New Roman" w:cs="Times New Roman"/>
          <w:sz w:val="28"/>
          <w:szCs w:val="28"/>
          <w:lang w:val="en-US"/>
        </w:rPr>
        <w:t xml:space="preserve"> M. Type IV collagen stimulates PDAC cell proliferation, migration, and inhibits apoptosis through an autocrine loop. </w:t>
      </w:r>
      <w:r w:rsidRPr="00587927">
        <w:rPr>
          <w:rFonts w:ascii="Times New Roman" w:eastAsia="Calibri" w:hAnsi="Times New Roman" w:cs="Times New Roman"/>
          <w:i/>
          <w:sz w:val="28"/>
          <w:szCs w:val="28"/>
          <w:lang w:val="en-US"/>
        </w:rPr>
        <w:t>BMC Cancer</w:t>
      </w:r>
      <w:r w:rsidRPr="00587927">
        <w:rPr>
          <w:rFonts w:ascii="Times New Roman" w:eastAsia="Calibri" w:hAnsi="Times New Roman" w:cs="Times New Roman"/>
          <w:sz w:val="28"/>
          <w:szCs w:val="28"/>
          <w:lang w:val="en-US"/>
        </w:rPr>
        <w:t>. 2013. Vol. 13. P. 154.</w:t>
      </w:r>
      <w:bookmarkEnd w:id="30"/>
      <w:r w:rsidRPr="00587927">
        <w:rPr>
          <w:rFonts w:ascii="Times New Roman" w:eastAsia="Calibri" w:hAnsi="Times New Roman" w:cs="Times New Roman"/>
          <w:sz w:val="28"/>
          <w:szCs w:val="28"/>
          <w:lang w:val="en-US"/>
        </w:rPr>
        <w:t xml:space="preserve"> </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1" w:name="_Ref24053119"/>
      <w:proofErr w:type="spellStart"/>
      <w:r w:rsidRPr="00587927">
        <w:rPr>
          <w:rFonts w:ascii="Times New Roman" w:eastAsia="Calibri" w:hAnsi="Times New Roman" w:cs="Times New Roman"/>
          <w:sz w:val="28"/>
          <w:szCs w:val="28"/>
          <w:lang w:val="en-US"/>
        </w:rPr>
        <w:lastRenderedPageBreak/>
        <w:t>Queneau</w:t>
      </w:r>
      <w:proofErr w:type="spellEnd"/>
      <w:r w:rsidRPr="00587927">
        <w:rPr>
          <w:rFonts w:ascii="Times New Roman" w:eastAsia="Calibri" w:hAnsi="Times New Roman" w:cs="Times New Roman"/>
          <w:sz w:val="28"/>
          <w:szCs w:val="28"/>
          <w:lang w:val="en-US"/>
        </w:rPr>
        <w:t xml:space="preserve"> P. E., </w:t>
      </w:r>
      <w:proofErr w:type="spellStart"/>
      <w:r w:rsidRPr="00587927">
        <w:rPr>
          <w:rFonts w:ascii="Times New Roman" w:eastAsia="Calibri" w:hAnsi="Times New Roman" w:cs="Times New Roman"/>
          <w:sz w:val="28"/>
          <w:szCs w:val="28"/>
          <w:lang w:val="en-US"/>
        </w:rPr>
        <w:t>Adessi</w:t>
      </w:r>
      <w:proofErr w:type="spellEnd"/>
      <w:r w:rsidRPr="00587927">
        <w:rPr>
          <w:rFonts w:ascii="Times New Roman" w:eastAsia="Calibri" w:hAnsi="Times New Roman" w:cs="Times New Roman"/>
          <w:sz w:val="28"/>
          <w:szCs w:val="28"/>
          <w:lang w:val="en-US"/>
        </w:rPr>
        <w:t xml:space="preserve"> G. L., Thibault P., </w:t>
      </w:r>
      <w:proofErr w:type="spellStart"/>
      <w:r w:rsidRPr="00587927">
        <w:rPr>
          <w:rFonts w:ascii="Times New Roman" w:eastAsia="Calibri" w:hAnsi="Times New Roman" w:cs="Times New Roman"/>
          <w:sz w:val="28"/>
          <w:szCs w:val="28"/>
          <w:lang w:val="en-US"/>
        </w:rPr>
        <w:t>Cléau</w:t>
      </w:r>
      <w:proofErr w:type="spellEnd"/>
      <w:r w:rsidRPr="00587927">
        <w:rPr>
          <w:rFonts w:ascii="Times New Roman" w:eastAsia="Calibri" w:hAnsi="Times New Roman" w:cs="Times New Roman"/>
          <w:sz w:val="28"/>
          <w:szCs w:val="28"/>
          <w:lang w:val="en-US"/>
        </w:rPr>
        <w:t xml:space="preserve"> D., </w:t>
      </w:r>
      <w:proofErr w:type="spellStart"/>
      <w:r w:rsidRPr="00587927">
        <w:rPr>
          <w:rFonts w:ascii="Times New Roman" w:eastAsia="Calibri" w:hAnsi="Times New Roman" w:cs="Times New Roman"/>
          <w:sz w:val="28"/>
          <w:szCs w:val="28"/>
          <w:lang w:val="en-US"/>
        </w:rPr>
        <w:t>Heyd</w:t>
      </w:r>
      <w:proofErr w:type="spellEnd"/>
      <w:r w:rsidRPr="00587927">
        <w:rPr>
          <w:rFonts w:ascii="Times New Roman" w:eastAsia="Calibri" w:hAnsi="Times New Roman" w:cs="Times New Roman"/>
          <w:sz w:val="28"/>
          <w:szCs w:val="28"/>
          <w:lang w:val="en-US"/>
        </w:rPr>
        <w:t xml:space="preserve"> B., </w:t>
      </w:r>
      <w:proofErr w:type="spellStart"/>
      <w:r w:rsidRPr="00587927">
        <w:rPr>
          <w:rFonts w:ascii="Times New Roman" w:eastAsia="Calibri" w:hAnsi="Times New Roman" w:cs="Times New Roman"/>
          <w:sz w:val="28"/>
          <w:szCs w:val="28"/>
          <w:lang w:val="en-US"/>
        </w:rPr>
        <w:t>Mantion</w:t>
      </w:r>
      <w:proofErr w:type="spellEnd"/>
      <w:r w:rsidRPr="00587927">
        <w:rPr>
          <w:rFonts w:ascii="Times New Roman" w:eastAsia="Calibri" w:hAnsi="Times New Roman" w:cs="Times New Roman"/>
          <w:sz w:val="28"/>
          <w:szCs w:val="28"/>
          <w:lang w:val="en-US"/>
        </w:rPr>
        <w:t xml:space="preserve"> G. Early detection of pancreatic cancer in patients with chronic pancreatitis: diagnostic utility of a K-</w:t>
      </w:r>
      <w:proofErr w:type="spellStart"/>
      <w:r w:rsidRPr="00587927">
        <w:rPr>
          <w:rFonts w:ascii="Times New Roman" w:eastAsia="Calibri" w:hAnsi="Times New Roman" w:cs="Times New Roman"/>
          <w:sz w:val="28"/>
          <w:szCs w:val="28"/>
          <w:lang w:val="en-US"/>
        </w:rPr>
        <w:t>ras</w:t>
      </w:r>
      <w:proofErr w:type="spellEnd"/>
      <w:r w:rsidRPr="00587927">
        <w:rPr>
          <w:rFonts w:ascii="Times New Roman" w:eastAsia="Calibri" w:hAnsi="Times New Roman" w:cs="Times New Roman"/>
          <w:sz w:val="28"/>
          <w:szCs w:val="28"/>
          <w:lang w:val="en-US"/>
        </w:rPr>
        <w:t xml:space="preserve"> point mutation in the pancreatic juice. </w:t>
      </w:r>
      <w:r w:rsidRPr="00587927">
        <w:rPr>
          <w:rFonts w:ascii="Times New Roman" w:eastAsia="Calibri" w:hAnsi="Times New Roman" w:cs="Times New Roman"/>
          <w:i/>
          <w:sz w:val="28"/>
          <w:szCs w:val="28"/>
          <w:lang w:val="en-US"/>
        </w:rPr>
        <w:t>J. Gastroenterol</w:t>
      </w:r>
      <w:r w:rsidRPr="00587927">
        <w:rPr>
          <w:rFonts w:ascii="Times New Roman" w:eastAsia="Calibri" w:hAnsi="Times New Roman" w:cs="Times New Roman"/>
          <w:sz w:val="28"/>
          <w:szCs w:val="28"/>
          <w:lang w:val="en-US"/>
        </w:rPr>
        <w:t>. 2001. Vol. 96, No 3. P. 700–704.</w:t>
      </w:r>
      <w:bookmarkEnd w:id="31"/>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2" w:name="_Ref24053030"/>
      <w:r w:rsidRPr="00587927">
        <w:rPr>
          <w:rFonts w:ascii="Times New Roman" w:eastAsia="Calibri" w:hAnsi="Times New Roman" w:cs="Times New Roman"/>
          <w:sz w:val="28"/>
          <w:szCs w:val="28"/>
          <w:lang w:val="en-US"/>
        </w:rPr>
        <w:t xml:space="preserve">Shi C., </w:t>
      </w:r>
      <w:proofErr w:type="spellStart"/>
      <w:r w:rsidRPr="00587927">
        <w:rPr>
          <w:rFonts w:ascii="Times New Roman" w:eastAsia="Calibri" w:hAnsi="Times New Roman" w:cs="Times New Roman"/>
          <w:sz w:val="28"/>
          <w:szCs w:val="28"/>
          <w:lang w:val="en-US"/>
        </w:rPr>
        <w:t>Hruban</w:t>
      </w:r>
      <w:proofErr w:type="spellEnd"/>
      <w:r w:rsidRPr="00587927">
        <w:rPr>
          <w:rFonts w:ascii="Times New Roman" w:eastAsia="Calibri" w:hAnsi="Times New Roman" w:cs="Times New Roman"/>
          <w:sz w:val="28"/>
          <w:szCs w:val="28"/>
          <w:lang w:val="en-US"/>
        </w:rPr>
        <w:t xml:space="preserve"> R. H., Klein A. P. Familial PDAC. </w:t>
      </w:r>
      <w:r w:rsidRPr="00587927">
        <w:rPr>
          <w:rFonts w:ascii="Times New Roman" w:eastAsia="Calibri" w:hAnsi="Times New Roman" w:cs="Times New Roman"/>
          <w:i/>
          <w:sz w:val="28"/>
          <w:szCs w:val="28"/>
          <w:lang w:val="en-US"/>
        </w:rPr>
        <w:t>Archives of pathology and laboratory medicine</w:t>
      </w:r>
      <w:r w:rsidRPr="00587927">
        <w:rPr>
          <w:rFonts w:ascii="Times New Roman" w:eastAsia="Calibri" w:hAnsi="Times New Roman" w:cs="Times New Roman"/>
          <w:sz w:val="28"/>
          <w:szCs w:val="28"/>
          <w:lang w:val="en-US"/>
        </w:rPr>
        <w:t>. 2009. Vol. 133. P. 365–374.</w:t>
      </w:r>
      <w:bookmarkEnd w:id="32"/>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3" w:name="_Ref24053062"/>
      <w:proofErr w:type="spellStart"/>
      <w:r w:rsidRPr="00587927">
        <w:rPr>
          <w:rFonts w:ascii="Times New Roman" w:eastAsia="Calibri" w:hAnsi="Times New Roman" w:cs="Times New Roman"/>
          <w:sz w:val="28"/>
          <w:szCs w:val="28"/>
          <w:lang w:val="en-US"/>
        </w:rPr>
        <w:t>Takehara</w:t>
      </w:r>
      <w:proofErr w:type="spellEnd"/>
      <w:r w:rsidRPr="00587927">
        <w:rPr>
          <w:rFonts w:ascii="Times New Roman" w:eastAsia="Calibri" w:hAnsi="Times New Roman" w:cs="Times New Roman"/>
          <w:sz w:val="28"/>
          <w:szCs w:val="28"/>
          <w:lang w:val="en-US"/>
        </w:rPr>
        <w:t xml:space="preserve"> A., </w:t>
      </w:r>
      <w:proofErr w:type="spellStart"/>
      <w:r w:rsidRPr="00587927">
        <w:rPr>
          <w:rFonts w:ascii="Times New Roman" w:eastAsia="Calibri" w:hAnsi="Times New Roman" w:cs="Times New Roman"/>
          <w:sz w:val="28"/>
          <w:szCs w:val="28"/>
          <w:lang w:val="en-US"/>
        </w:rPr>
        <w:t>Eguchi</w:t>
      </w:r>
      <w:proofErr w:type="spellEnd"/>
      <w:r w:rsidRPr="00587927">
        <w:rPr>
          <w:rFonts w:ascii="Times New Roman" w:eastAsia="Calibri" w:hAnsi="Times New Roman" w:cs="Times New Roman"/>
          <w:sz w:val="28"/>
          <w:szCs w:val="28"/>
          <w:lang w:val="en-US"/>
        </w:rPr>
        <w:t xml:space="preserve"> H., </w:t>
      </w:r>
      <w:proofErr w:type="spellStart"/>
      <w:r w:rsidRPr="00587927">
        <w:rPr>
          <w:rFonts w:ascii="Times New Roman" w:eastAsia="Calibri" w:hAnsi="Times New Roman" w:cs="Times New Roman"/>
          <w:sz w:val="28"/>
          <w:szCs w:val="28"/>
          <w:lang w:val="en-US"/>
        </w:rPr>
        <w:t>Ohigashi</w:t>
      </w:r>
      <w:proofErr w:type="spellEnd"/>
      <w:r w:rsidRPr="00587927">
        <w:rPr>
          <w:rFonts w:ascii="Times New Roman" w:eastAsia="Calibri" w:hAnsi="Times New Roman" w:cs="Times New Roman"/>
          <w:sz w:val="28"/>
          <w:szCs w:val="28"/>
          <w:lang w:val="en-US"/>
        </w:rPr>
        <w:t xml:space="preserve"> H., Ishikawa O., Kasugai T., Hosokawa M. Novel tumor marker REG4 detected in serum of patients with </w:t>
      </w:r>
      <w:proofErr w:type="spellStart"/>
      <w:r w:rsidRPr="00587927">
        <w:rPr>
          <w:rFonts w:ascii="Times New Roman" w:eastAsia="Calibri" w:hAnsi="Times New Roman" w:cs="Times New Roman"/>
          <w:sz w:val="28"/>
          <w:szCs w:val="28"/>
          <w:lang w:val="en-US"/>
        </w:rPr>
        <w:t>resectable</w:t>
      </w:r>
      <w:proofErr w:type="spellEnd"/>
      <w:r w:rsidRPr="00587927">
        <w:rPr>
          <w:rFonts w:ascii="Times New Roman" w:eastAsia="Calibri" w:hAnsi="Times New Roman" w:cs="Times New Roman"/>
          <w:sz w:val="28"/>
          <w:szCs w:val="28"/>
          <w:lang w:val="en-US"/>
        </w:rPr>
        <w:t xml:space="preserve"> PDAC and feasibility for antibody therapy targeting REG4. </w:t>
      </w:r>
      <w:r w:rsidRPr="00587927">
        <w:rPr>
          <w:rFonts w:ascii="Times New Roman" w:eastAsia="Calibri" w:hAnsi="Times New Roman" w:cs="Times New Roman"/>
          <w:i/>
          <w:sz w:val="28"/>
          <w:szCs w:val="28"/>
          <w:lang w:val="en-US"/>
        </w:rPr>
        <w:t>Cancer Science</w:t>
      </w:r>
      <w:r w:rsidRPr="00587927">
        <w:rPr>
          <w:rFonts w:ascii="Times New Roman" w:eastAsia="Calibri" w:hAnsi="Times New Roman" w:cs="Times New Roman"/>
          <w:sz w:val="28"/>
          <w:szCs w:val="28"/>
          <w:lang w:val="en-US"/>
        </w:rPr>
        <w:t>. 2006. Vol. 97. P. 1191–1197.</w:t>
      </w:r>
      <w:bookmarkEnd w:id="33"/>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4" w:name="_Ref24053040"/>
      <w:proofErr w:type="spellStart"/>
      <w:r w:rsidRPr="00587927">
        <w:rPr>
          <w:rFonts w:ascii="Times New Roman" w:eastAsia="Calibri" w:hAnsi="Times New Roman" w:cs="Times New Roman"/>
          <w:sz w:val="28"/>
          <w:szCs w:val="28"/>
          <w:lang w:val="en-US"/>
        </w:rPr>
        <w:t>Teich</w:t>
      </w:r>
      <w:proofErr w:type="spellEnd"/>
      <w:r w:rsidRPr="00587927">
        <w:rPr>
          <w:rFonts w:ascii="Times New Roman" w:eastAsia="Calibri" w:hAnsi="Times New Roman" w:cs="Times New Roman"/>
          <w:sz w:val="28"/>
          <w:szCs w:val="28"/>
          <w:lang w:val="en-US"/>
        </w:rPr>
        <w:t xml:space="preserve"> N., Schulz H. U., Witt H., </w:t>
      </w:r>
      <w:proofErr w:type="spellStart"/>
      <w:r w:rsidRPr="00587927">
        <w:rPr>
          <w:rFonts w:ascii="Times New Roman" w:eastAsia="Calibri" w:hAnsi="Times New Roman" w:cs="Times New Roman"/>
          <w:sz w:val="28"/>
          <w:szCs w:val="28"/>
          <w:lang w:val="en-US"/>
        </w:rPr>
        <w:t>Böhmig</w:t>
      </w:r>
      <w:proofErr w:type="spellEnd"/>
      <w:r w:rsidRPr="00587927">
        <w:rPr>
          <w:rFonts w:ascii="Times New Roman" w:eastAsia="Calibri" w:hAnsi="Times New Roman" w:cs="Times New Roman"/>
          <w:sz w:val="28"/>
          <w:szCs w:val="28"/>
          <w:lang w:val="en-US"/>
        </w:rPr>
        <w:t xml:space="preserve"> M., </w:t>
      </w:r>
      <w:proofErr w:type="spellStart"/>
      <w:r w:rsidRPr="00587927">
        <w:rPr>
          <w:rFonts w:ascii="Times New Roman" w:eastAsia="Calibri" w:hAnsi="Times New Roman" w:cs="Times New Roman"/>
          <w:sz w:val="28"/>
          <w:szCs w:val="28"/>
          <w:lang w:val="en-US"/>
        </w:rPr>
        <w:t>Keim</w:t>
      </w:r>
      <w:proofErr w:type="spellEnd"/>
      <w:r w:rsidRPr="00587927">
        <w:rPr>
          <w:rFonts w:ascii="Times New Roman" w:eastAsia="Calibri" w:hAnsi="Times New Roman" w:cs="Times New Roman"/>
          <w:sz w:val="28"/>
          <w:szCs w:val="28"/>
          <w:lang w:val="en-US"/>
        </w:rPr>
        <w:t xml:space="preserve"> V. N34S, a pancreatitis associated SPINK1 mutation, is not associated with sporadic pancreatic cancer. </w:t>
      </w:r>
      <w:proofErr w:type="spellStart"/>
      <w:r w:rsidRPr="00587927">
        <w:rPr>
          <w:rFonts w:ascii="Times New Roman" w:eastAsia="Calibri" w:hAnsi="Times New Roman" w:cs="Times New Roman"/>
          <w:i/>
          <w:sz w:val="28"/>
          <w:szCs w:val="28"/>
          <w:lang w:val="en-US"/>
        </w:rPr>
        <w:t>Pancreatology</w:t>
      </w:r>
      <w:proofErr w:type="spellEnd"/>
      <w:r w:rsidRPr="00587927">
        <w:rPr>
          <w:rFonts w:ascii="Times New Roman" w:eastAsia="Calibri" w:hAnsi="Times New Roman" w:cs="Times New Roman"/>
          <w:sz w:val="28"/>
          <w:szCs w:val="28"/>
          <w:lang w:val="en-US"/>
        </w:rPr>
        <w:t>. 2003. Vol. 3, No 1. P. 67–68.</w:t>
      </w:r>
      <w:bookmarkEnd w:id="34"/>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5" w:name="_Ref24052989"/>
      <w:proofErr w:type="spellStart"/>
      <w:r w:rsidRPr="00587927">
        <w:rPr>
          <w:rFonts w:ascii="Times New Roman" w:eastAsia="Calibri" w:hAnsi="Times New Roman" w:cs="Times New Roman"/>
          <w:sz w:val="28"/>
          <w:szCs w:val="28"/>
          <w:lang w:val="en-US"/>
        </w:rPr>
        <w:t>Wahi</w:t>
      </w:r>
      <w:proofErr w:type="spellEnd"/>
      <w:r w:rsidRPr="00587927">
        <w:rPr>
          <w:rFonts w:ascii="Times New Roman" w:eastAsia="Calibri" w:hAnsi="Times New Roman" w:cs="Times New Roman"/>
          <w:sz w:val="28"/>
          <w:szCs w:val="28"/>
          <w:lang w:val="en-US"/>
        </w:rPr>
        <w:t xml:space="preserve"> M. M., Shah N., Schrock C. E., </w:t>
      </w:r>
      <w:proofErr w:type="spellStart"/>
      <w:r w:rsidRPr="00587927">
        <w:rPr>
          <w:rFonts w:ascii="Times New Roman" w:eastAsia="Calibri" w:hAnsi="Times New Roman" w:cs="Times New Roman"/>
          <w:sz w:val="28"/>
          <w:szCs w:val="28"/>
          <w:lang w:val="en-US"/>
        </w:rPr>
        <w:t>Rosemurgy</w:t>
      </w:r>
      <w:proofErr w:type="spellEnd"/>
      <w:r w:rsidRPr="00587927">
        <w:rPr>
          <w:rFonts w:ascii="Times New Roman" w:eastAsia="Calibri" w:hAnsi="Times New Roman" w:cs="Times New Roman"/>
          <w:sz w:val="28"/>
          <w:szCs w:val="28"/>
          <w:lang w:val="en-US"/>
        </w:rPr>
        <w:t xml:space="preserve"> A. S. 2nd, Goldin S. B. Reproductive factors and risk of PDAC inwomen: a review of the literature. </w:t>
      </w:r>
      <w:r w:rsidRPr="00587927">
        <w:rPr>
          <w:rFonts w:ascii="Times New Roman" w:eastAsia="Calibri" w:hAnsi="Times New Roman" w:cs="Times New Roman"/>
          <w:i/>
          <w:sz w:val="28"/>
          <w:szCs w:val="28"/>
          <w:lang w:val="en-US"/>
        </w:rPr>
        <w:t>Annals of Epidemiology</w:t>
      </w:r>
      <w:r w:rsidRPr="00587927">
        <w:rPr>
          <w:rFonts w:ascii="Times New Roman" w:eastAsia="Calibri" w:hAnsi="Times New Roman" w:cs="Times New Roman"/>
          <w:sz w:val="28"/>
          <w:szCs w:val="28"/>
          <w:lang w:val="en-US"/>
        </w:rPr>
        <w:t>. 2009. Vol. 19. P. 103–111.</w:t>
      </w:r>
      <w:bookmarkEnd w:id="35"/>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6" w:name="_Ref24053037"/>
      <w:r w:rsidRPr="00587927">
        <w:rPr>
          <w:rFonts w:ascii="Times New Roman" w:eastAsia="Calibri" w:hAnsi="Times New Roman" w:cs="Times New Roman"/>
          <w:sz w:val="28"/>
          <w:szCs w:val="28"/>
          <w:lang w:val="en-US"/>
        </w:rPr>
        <w:t xml:space="preserve">Whitcomb D. C. Inflammation and Cancer V. Chronic pancreatitis and pancreatic cancer. </w:t>
      </w:r>
      <w:r w:rsidRPr="00587927">
        <w:rPr>
          <w:rFonts w:ascii="Times New Roman" w:eastAsia="Calibri" w:hAnsi="Times New Roman" w:cs="Times New Roman"/>
          <w:i/>
          <w:sz w:val="28"/>
          <w:szCs w:val="28"/>
          <w:lang w:val="en-US"/>
        </w:rPr>
        <w:t xml:space="preserve">J. Physiol. </w:t>
      </w:r>
      <w:proofErr w:type="spellStart"/>
      <w:r w:rsidRPr="00587927">
        <w:rPr>
          <w:rFonts w:ascii="Times New Roman" w:eastAsia="Calibri" w:hAnsi="Times New Roman" w:cs="Times New Roman"/>
          <w:i/>
          <w:sz w:val="28"/>
          <w:szCs w:val="28"/>
          <w:lang w:val="en-US"/>
        </w:rPr>
        <w:t>Gastrointest</w:t>
      </w:r>
      <w:proofErr w:type="spellEnd"/>
      <w:r w:rsidRPr="00587927">
        <w:rPr>
          <w:rFonts w:ascii="Times New Roman" w:eastAsia="Calibri" w:hAnsi="Times New Roman" w:cs="Times New Roman"/>
          <w:i/>
          <w:sz w:val="28"/>
          <w:szCs w:val="28"/>
          <w:lang w:val="en-US"/>
        </w:rPr>
        <w:t>. Liver Physiol</w:t>
      </w:r>
      <w:r w:rsidRPr="00587927">
        <w:rPr>
          <w:rFonts w:ascii="Times New Roman" w:eastAsia="Calibri" w:hAnsi="Times New Roman" w:cs="Times New Roman"/>
          <w:sz w:val="28"/>
          <w:szCs w:val="28"/>
          <w:lang w:val="en-US"/>
        </w:rPr>
        <w:t>. 2004. Vol. 287, No 2. P. G315–319.</w:t>
      </w:r>
      <w:bookmarkEnd w:id="36"/>
      <w:r w:rsidRPr="00587927">
        <w:rPr>
          <w:rFonts w:ascii="Times New Roman" w:eastAsia="Calibri" w:hAnsi="Times New Roman" w:cs="Times New Roman"/>
          <w:sz w:val="28"/>
          <w:szCs w:val="28"/>
          <w:lang w:val="en-US"/>
        </w:rPr>
        <w:t xml:space="preserve"> </w:t>
      </w:r>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7" w:name="_Ref24053045"/>
      <w:r w:rsidRPr="00587927">
        <w:rPr>
          <w:rFonts w:ascii="Times New Roman" w:eastAsia="Calibri" w:hAnsi="Times New Roman" w:cs="Times New Roman"/>
          <w:sz w:val="28"/>
          <w:szCs w:val="28"/>
          <w:lang w:val="en-US"/>
        </w:rPr>
        <w:t xml:space="preserve">Witt H., Luck W., Hennies H. C., Classen M., </w:t>
      </w:r>
      <w:proofErr w:type="spellStart"/>
      <w:r w:rsidRPr="00587927">
        <w:rPr>
          <w:rFonts w:ascii="Times New Roman" w:eastAsia="Calibri" w:hAnsi="Times New Roman" w:cs="Times New Roman"/>
          <w:sz w:val="28"/>
          <w:szCs w:val="28"/>
          <w:lang w:val="en-US"/>
        </w:rPr>
        <w:t>Kage</w:t>
      </w:r>
      <w:proofErr w:type="spellEnd"/>
      <w:r w:rsidRPr="00587927">
        <w:rPr>
          <w:rFonts w:ascii="Times New Roman" w:eastAsia="Calibri" w:hAnsi="Times New Roman" w:cs="Times New Roman"/>
          <w:sz w:val="28"/>
          <w:szCs w:val="28"/>
          <w:lang w:val="en-US"/>
        </w:rPr>
        <w:t xml:space="preserve"> A., Lass U. Mutations in the gene encoding the serine protease inhibitor, </w:t>
      </w:r>
      <w:proofErr w:type="spellStart"/>
      <w:r w:rsidRPr="00587927">
        <w:rPr>
          <w:rFonts w:ascii="Times New Roman" w:eastAsia="Calibri" w:hAnsi="Times New Roman" w:cs="Times New Roman"/>
          <w:sz w:val="28"/>
          <w:szCs w:val="28"/>
          <w:lang w:val="en-US"/>
        </w:rPr>
        <w:t>Kazal</w:t>
      </w:r>
      <w:proofErr w:type="spellEnd"/>
      <w:r w:rsidRPr="00587927">
        <w:rPr>
          <w:rFonts w:ascii="Times New Roman" w:eastAsia="Calibri" w:hAnsi="Times New Roman" w:cs="Times New Roman"/>
          <w:sz w:val="28"/>
          <w:szCs w:val="28"/>
          <w:lang w:val="en-US"/>
        </w:rPr>
        <w:t xml:space="preserve"> type 1 are associated with chronic pancreatitis. </w:t>
      </w:r>
      <w:r w:rsidRPr="00587927">
        <w:rPr>
          <w:rFonts w:ascii="Times New Roman" w:eastAsia="Calibri" w:hAnsi="Times New Roman" w:cs="Times New Roman"/>
          <w:i/>
          <w:sz w:val="28"/>
          <w:szCs w:val="28"/>
          <w:lang w:val="en-US"/>
        </w:rPr>
        <w:t>Nature Genetics</w:t>
      </w:r>
      <w:r w:rsidRPr="00587927">
        <w:rPr>
          <w:rFonts w:ascii="Times New Roman" w:eastAsia="Calibri" w:hAnsi="Times New Roman" w:cs="Times New Roman"/>
          <w:sz w:val="28"/>
          <w:szCs w:val="28"/>
          <w:lang w:val="en-US"/>
        </w:rPr>
        <w:t>. 2000. Vol. 25. P. 213–216.</w:t>
      </w:r>
      <w:bookmarkEnd w:id="37"/>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8" w:name="_Ref24053103"/>
      <w:r w:rsidRPr="00587927">
        <w:rPr>
          <w:rFonts w:ascii="Times New Roman" w:eastAsia="Calibri" w:hAnsi="Times New Roman" w:cs="Times New Roman"/>
          <w:sz w:val="28"/>
          <w:szCs w:val="28"/>
          <w:lang w:val="en-US"/>
        </w:rPr>
        <w:t xml:space="preserve">Yang J. Y., Sun Y. W., Liu D. J., Zhang J. F., Li J., Hua R. MicroRNAs in stool samples as potential screening biomarkers for pancreatic ductal adenocarcinoma cancer. </w:t>
      </w:r>
      <w:r w:rsidRPr="00587927">
        <w:rPr>
          <w:rFonts w:ascii="Times New Roman" w:eastAsia="Calibri" w:hAnsi="Times New Roman" w:cs="Times New Roman"/>
          <w:i/>
          <w:sz w:val="28"/>
          <w:szCs w:val="28"/>
          <w:lang w:val="en-US"/>
        </w:rPr>
        <w:t>American Journal of Cancer Research</w:t>
      </w:r>
      <w:r w:rsidRPr="00587927">
        <w:rPr>
          <w:rFonts w:ascii="Times New Roman" w:eastAsia="Calibri" w:hAnsi="Times New Roman" w:cs="Times New Roman"/>
          <w:sz w:val="28"/>
          <w:szCs w:val="28"/>
          <w:lang w:val="en-US"/>
        </w:rPr>
        <w:t>. 2014. Vol. 4. P. 663–673.</w:t>
      </w:r>
      <w:bookmarkEnd w:id="38"/>
    </w:p>
    <w:p w:rsidR="00C637E7" w:rsidRPr="00587927" w:rsidRDefault="00C637E7" w:rsidP="008E16E2">
      <w:pPr>
        <w:pStyle w:val="a5"/>
        <w:numPr>
          <w:ilvl w:val="0"/>
          <w:numId w:val="5"/>
        </w:numPr>
        <w:spacing w:after="0" w:line="240" w:lineRule="auto"/>
        <w:jc w:val="both"/>
        <w:rPr>
          <w:rFonts w:ascii="Times New Roman" w:eastAsia="Calibri" w:hAnsi="Times New Roman" w:cs="Times New Roman"/>
          <w:sz w:val="28"/>
          <w:szCs w:val="28"/>
          <w:lang w:val="en-US"/>
        </w:rPr>
      </w:pPr>
      <w:bookmarkStart w:id="39" w:name="_Ref24053113"/>
      <w:r w:rsidRPr="00587927">
        <w:rPr>
          <w:rFonts w:ascii="Times New Roman" w:eastAsia="Calibri" w:hAnsi="Times New Roman" w:cs="Times New Roman"/>
          <w:sz w:val="28"/>
          <w:szCs w:val="28"/>
          <w:lang w:val="en-US"/>
        </w:rPr>
        <w:t xml:space="preserve">Zhang L., Farrell J. J., Zhou H., </w:t>
      </w:r>
      <w:proofErr w:type="spellStart"/>
      <w:r w:rsidRPr="00587927">
        <w:rPr>
          <w:rFonts w:ascii="Times New Roman" w:eastAsia="Calibri" w:hAnsi="Times New Roman" w:cs="Times New Roman"/>
          <w:sz w:val="28"/>
          <w:szCs w:val="28"/>
          <w:lang w:val="en-US"/>
        </w:rPr>
        <w:t>Elashoff</w:t>
      </w:r>
      <w:proofErr w:type="spellEnd"/>
      <w:r w:rsidRPr="00587927">
        <w:rPr>
          <w:rFonts w:ascii="Times New Roman" w:eastAsia="Calibri" w:hAnsi="Times New Roman" w:cs="Times New Roman"/>
          <w:sz w:val="28"/>
          <w:szCs w:val="28"/>
          <w:lang w:val="en-US"/>
        </w:rPr>
        <w:t xml:space="preserve"> D., Akin D., Park N. H. Salivary transcriptomic biomarkers for detection of </w:t>
      </w:r>
      <w:proofErr w:type="spellStart"/>
      <w:r w:rsidRPr="00587927">
        <w:rPr>
          <w:rFonts w:ascii="Times New Roman" w:eastAsia="Calibri" w:hAnsi="Times New Roman" w:cs="Times New Roman"/>
          <w:sz w:val="28"/>
          <w:szCs w:val="28"/>
          <w:lang w:val="en-US"/>
        </w:rPr>
        <w:t>resectable</w:t>
      </w:r>
      <w:proofErr w:type="spellEnd"/>
      <w:r w:rsidRPr="00587927">
        <w:rPr>
          <w:rFonts w:ascii="Times New Roman" w:eastAsia="Calibri" w:hAnsi="Times New Roman" w:cs="Times New Roman"/>
          <w:sz w:val="28"/>
          <w:szCs w:val="28"/>
          <w:lang w:val="en-US"/>
        </w:rPr>
        <w:t xml:space="preserve"> PDAC. </w:t>
      </w:r>
      <w:r w:rsidRPr="00587927">
        <w:rPr>
          <w:rFonts w:ascii="Times New Roman" w:eastAsia="Calibri" w:hAnsi="Times New Roman" w:cs="Times New Roman"/>
          <w:i/>
          <w:sz w:val="28"/>
          <w:szCs w:val="28"/>
          <w:lang w:val="en-US"/>
        </w:rPr>
        <w:t>Gastroenterology</w:t>
      </w:r>
      <w:r w:rsidRPr="00587927">
        <w:rPr>
          <w:rFonts w:ascii="Times New Roman" w:eastAsia="Calibri" w:hAnsi="Times New Roman" w:cs="Times New Roman"/>
          <w:sz w:val="28"/>
          <w:szCs w:val="28"/>
          <w:lang w:val="en-US"/>
        </w:rPr>
        <w:t>. 2010. Vol. 138. P. 949–957.</w:t>
      </w:r>
      <w:bookmarkEnd w:id="39"/>
    </w:p>
    <w:p w:rsidR="003F1301" w:rsidRPr="00587927" w:rsidRDefault="003F1301" w:rsidP="00673F24">
      <w:pPr>
        <w:spacing w:after="0" w:line="240" w:lineRule="auto"/>
        <w:ind w:firstLine="284"/>
        <w:rPr>
          <w:rFonts w:ascii="Times New Roman" w:hAnsi="Times New Roman" w:cs="Times New Roman"/>
          <w:b/>
          <w:sz w:val="28"/>
          <w:szCs w:val="28"/>
        </w:rPr>
      </w:pPr>
    </w:p>
    <w:p w:rsidR="00B82A49" w:rsidRPr="00587927" w:rsidRDefault="00B82A49" w:rsidP="000F7E8D">
      <w:pPr>
        <w:spacing w:after="0" w:line="240" w:lineRule="auto"/>
        <w:ind w:firstLine="284"/>
        <w:jc w:val="both"/>
        <w:rPr>
          <w:rFonts w:ascii="Times New Roman" w:hAnsi="Times New Roman" w:cs="Times New Roman"/>
          <w:sz w:val="28"/>
          <w:szCs w:val="28"/>
        </w:rPr>
      </w:pPr>
    </w:p>
    <w:p w:rsidR="00B82A49" w:rsidRPr="00587927" w:rsidRDefault="00B82A49">
      <w:pPr>
        <w:rPr>
          <w:rFonts w:ascii="Times New Roman" w:hAnsi="Times New Roman" w:cs="Times New Roman"/>
          <w:sz w:val="28"/>
          <w:szCs w:val="28"/>
        </w:rPr>
      </w:pPr>
      <w:r w:rsidRPr="00587927">
        <w:rPr>
          <w:rFonts w:ascii="Times New Roman" w:hAnsi="Times New Roman" w:cs="Times New Roman"/>
          <w:sz w:val="28"/>
          <w:szCs w:val="28"/>
        </w:rPr>
        <w:br w:type="page"/>
      </w:r>
    </w:p>
    <w:p w:rsidR="00B82A49" w:rsidRPr="00587927" w:rsidRDefault="00B82A49" w:rsidP="00B82A49">
      <w:pPr>
        <w:rPr>
          <w:rFonts w:ascii="Times New Roman" w:hAnsi="Times New Roman" w:cs="Times New Roman"/>
          <w:sz w:val="28"/>
          <w:szCs w:val="28"/>
        </w:rPr>
      </w:pPr>
      <w:r w:rsidRPr="00587927">
        <w:rPr>
          <w:rFonts w:ascii="Times New Roman" w:hAnsi="Times New Roman" w:cs="Times New Roman"/>
          <w:sz w:val="28"/>
          <w:szCs w:val="28"/>
        </w:rPr>
        <w:lastRenderedPageBreak/>
        <w:t>УДК 616.37-006</w:t>
      </w:r>
    </w:p>
    <w:p w:rsidR="00B82A49" w:rsidRPr="00587927" w:rsidRDefault="00B82A49" w:rsidP="00B82A49">
      <w:pPr>
        <w:spacing w:after="0" w:line="240" w:lineRule="auto"/>
        <w:rPr>
          <w:rFonts w:ascii="Times New Roman" w:hAnsi="Times New Roman" w:cs="Times New Roman"/>
          <w:b/>
          <w:sz w:val="28"/>
          <w:szCs w:val="28"/>
        </w:rPr>
      </w:pPr>
      <w:r w:rsidRPr="00587927">
        <w:rPr>
          <w:rFonts w:ascii="Times New Roman" w:hAnsi="Times New Roman" w:cs="Times New Roman"/>
          <w:b/>
          <w:sz w:val="28"/>
          <w:szCs w:val="28"/>
        </w:rPr>
        <w:t>Биологические диагностические маркеры и факторы риска рака поджелудочной железы у пациентов с хроническим панкреатитом (обзор литературы)</w:t>
      </w:r>
    </w:p>
    <w:p w:rsidR="00B82A49" w:rsidRPr="00587927" w:rsidRDefault="00B82A49" w:rsidP="00B82A49">
      <w:pPr>
        <w:spacing w:after="0" w:line="240" w:lineRule="auto"/>
        <w:rPr>
          <w:rFonts w:ascii="Times New Roman" w:hAnsi="Times New Roman" w:cs="Times New Roman"/>
          <w:sz w:val="28"/>
          <w:szCs w:val="28"/>
        </w:rPr>
      </w:pPr>
      <w:r w:rsidRPr="00587927">
        <w:rPr>
          <w:rFonts w:ascii="Times New Roman" w:hAnsi="Times New Roman" w:cs="Times New Roman"/>
          <w:sz w:val="28"/>
          <w:szCs w:val="28"/>
        </w:rPr>
        <w:t>А. А. Литвин</w:t>
      </w:r>
      <w:r w:rsidRPr="00587927">
        <w:rPr>
          <w:rFonts w:ascii="Times New Roman" w:hAnsi="Times New Roman" w:cs="Times New Roman"/>
          <w:sz w:val="28"/>
          <w:szCs w:val="28"/>
          <w:vertAlign w:val="superscript"/>
        </w:rPr>
        <w:t>1,2</w:t>
      </w:r>
      <w:r w:rsidRPr="00587927">
        <w:rPr>
          <w:rFonts w:ascii="Times New Roman" w:hAnsi="Times New Roman" w:cs="Times New Roman"/>
          <w:sz w:val="28"/>
          <w:szCs w:val="28"/>
        </w:rPr>
        <w:t>, С. В. Коренев</w:t>
      </w:r>
      <w:r w:rsidRPr="00587927">
        <w:rPr>
          <w:rFonts w:ascii="Times New Roman" w:hAnsi="Times New Roman" w:cs="Times New Roman"/>
          <w:sz w:val="28"/>
          <w:szCs w:val="28"/>
          <w:vertAlign w:val="superscript"/>
        </w:rPr>
        <w:t>1</w:t>
      </w:r>
      <w:r w:rsidRPr="00587927">
        <w:rPr>
          <w:rFonts w:ascii="Times New Roman" w:hAnsi="Times New Roman" w:cs="Times New Roman"/>
          <w:sz w:val="28"/>
          <w:szCs w:val="28"/>
        </w:rPr>
        <w:t>, Е. Н. Колокольцева</w:t>
      </w:r>
      <w:r w:rsidRPr="00587927">
        <w:rPr>
          <w:rFonts w:ascii="Times New Roman" w:hAnsi="Times New Roman" w:cs="Times New Roman"/>
          <w:sz w:val="28"/>
          <w:szCs w:val="28"/>
          <w:vertAlign w:val="superscript"/>
        </w:rPr>
        <w:t>1</w:t>
      </w:r>
      <w:r w:rsidRPr="00587927">
        <w:rPr>
          <w:rFonts w:ascii="Times New Roman" w:hAnsi="Times New Roman" w:cs="Times New Roman"/>
          <w:sz w:val="28"/>
          <w:szCs w:val="28"/>
        </w:rPr>
        <w:t>, В. С. Денисюк</w:t>
      </w:r>
      <w:r w:rsidRPr="00587927">
        <w:rPr>
          <w:rFonts w:ascii="Times New Roman" w:hAnsi="Times New Roman" w:cs="Times New Roman"/>
          <w:sz w:val="28"/>
          <w:szCs w:val="28"/>
          <w:vertAlign w:val="superscript"/>
        </w:rPr>
        <w:t>1</w:t>
      </w:r>
      <w:r w:rsidRPr="00587927">
        <w:rPr>
          <w:rFonts w:ascii="Times New Roman" w:hAnsi="Times New Roman" w:cs="Times New Roman"/>
          <w:sz w:val="28"/>
          <w:szCs w:val="28"/>
        </w:rPr>
        <w:t>, С. Б. Румовская</w:t>
      </w:r>
      <w:r w:rsidRPr="00587927">
        <w:rPr>
          <w:rFonts w:ascii="Times New Roman" w:hAnsi="Times New Roman" w:cs="Times New Roman"/>
          <w:sz w:val="28"/>
          <w:szCs w:val="28"/>
          <w:vertAlign w:val="superscript"/>
        </w:rPr>
        <w:t>1</w:t>
      </w:r>
    </w:p>
    <w:p w:rsidR="00B82A49" w:rsidRPr="00587927" w:rsidRDefault="00B82A49" w:rsidP="00B82A49">
      <w:pPr>
        <w:spacing w:after="0" w:line="240" w:lineRule="auto"/>
        <w:rPr>
          <w:rFonts w:ascii="Times New Roman" w:hAnsi="Times New Roman" w:cs="Times New Roman"/>
          <w:sz w:val="28"/>
          <w:szCs w:val="28"/>
        </w:rPr>
      </w:pPr>
      <w:r w:rsidRPr="00587927">
        <w:rPr>
          <w:rFonts w:ascii="Times New Roman" w:hAnsi="Times New Roman" w:cs="Times New Roman"/>
          <w:sz w:val="28"/>
          <w:szCs w:val="28"/>
          <w:vertAlign w:val="superscript"/>
        </w:rPr>
        <w:t>1</w:t>
      </w:r>
      <w:r w:rsidRPr="00587927">
        <w:rPr>
          <w:rFonts w:ascii="Times New Roman" w:hAnsi="Times New Roman" w:cs="Times New Roman"/>
          <w:sz w:val="28"/>
          <w:szCs w:val="28"/>
        </w:rPr>
        <w:t>Балтийский федеральный университет им. И. Канта</w:t>
      </w:r>
    </w:p>
    <w:p w:rsidR="00B82A49" w:rsidRPr="00587927" w:rsidRDefault="00B82A49" w:rsidP="00B82A49">
      <w:pPr>
        <w:spacing w:after="0" w:line="240" w:lineRule="auto"/>
        <w:rPr>
          <w:rFonts w:ascii="Times New Roman" w:hAnsi="Times New Roman" w:cs="Times New Roman"/>
          <w:sz w:val="28"/>
          <w:szCs w:val="28"/>
        </w:rPr>
      </w:pPr>
      <w:r w:rsidRPr="00587927">
        <w:rPr>
          <w:rFonts w:ascii="Times New Roman" w:hAnsi="Times New Roman" w:cs="Times New Roman"/>
          <w:sz w:val="28"/>
          <w:szCs w:val="28"/>
          <w:vertAlign w:val="superscript"/>
        </w:rPr>
        <w:t>2</w:t>
      </w:r>
      <w:r w:rsidRPr="00587927">
        <w:rPr>
          <w:rFonts w:ascii="Times New Roman" w:hAnsi="Times New Roman" w:cs="Times New Roman"/>
          <w:sz w:val="28"/>
          <w:szCs w:val="28"/>
        </w:rPr>
        <w:t>Областная клиническая больница Калининградской области, Калининград, Россия</w:t>
      </w:r>
    </w:p>
    <w:p w:rsidR="00B82A49" w:rsidRPr="00587927" w:rsidRDefault="00B82A49" w:rsidP="00B82A49">
      <w:pPr>
        <w:spacing w:after="0" w:line="240" w:lineRule="auto"/>
        <w:rPr>
          <w:rFonts w:ascii="Times New Roman" w:hAnsi="Times New Roman" w:cs="Times New Roman"/>
          <w:sz w:val="28"/>
          <w:szCs w:val="28"/>
        </w:rPr>
      </w:pPr>
    </w:p>
    <w:p w:rsidR="00B82A49" w:rsidRPr="00587927" w:rsidRDefault="00B82A49" w:rsidP="00B82A49">
      <w:pPr>
        <w:spacing w:after="0" w:line="240" w:lineRule="auto"/>
        <w:jc w:val="both"/>
        <w:rPr>
          <w:rFonts w:ascii="Times New Roman" w:hAnsi="Times New Roman" w:cs="Times New Roman"/>
          <w:b/>
          <w:sz w:val="28"/>
          <w:szCs w:val="28"/>
        </w:rPr>
      </w:pPr>
      <w:r w:rsidRPr="00587927">
        <w:rPr>
          <w:rFonts w:ascii="Times New Roman" w:hAnsi="Times New Roman" w:cs="Times New Roman"/>
          <w:b/>
          <w:sz w:val="28"/>
          <w:szCs w:val="28"/>
        </w:rPr>
        <w:t xml:space="preserve">Ключевые слова: </w:t>
      </w:r>
      <w:r w:rsidRPr="00587927">
        <w:rPr>
          <w:rFonts w:ascii="Times New Roman" w:hAnsi="Times New Roman" w:cs="Times New Roman"/>
          <w:sz w:val="28"/>
          <w:szCs w:val="28"/>
        </w:rPr>
        <w:t xml:space="preserve">рак поджелудочной железы, хронический панкреатит, дифференциальная диагностика, опухолевые маркеры, диагностические </w:t>
      </w:r>
      <w:proofErr w:type="spellStart"/>
      <w:r w:rsidRPr="00587927">
        <w:rPr>
          <w:rFonts w:ascii="Times New Roman" w:hAnsi="Times New Roman" w:cs="Times New Roman"/>
          <w:sz w:val="28"/>
          <w:szCs w:val="28"/>
        </w:rPr>
        <w:t>биомаркеры</w:t>
      </w:r>
      <w:proofErr w:type="spellEnd"/>
      <w:r w:rsidRPr="00587927">
        <w:rPr>
          <w:rFonts w:ascii="Times New Roman" w:hAnsi="Times New Roman" w:cs="Times New Roman"/>
          <w:sz w:val="28"/>
          <w:szCs w:val="28"/>
        </w:rPr>
        <w:t xml:space="preserve">, CA 19-9, K-RAS, </w:t>
      </w:r>
      <w:proofErr w:type="spellStart"/>
      <w:r w:rsidRPr="00587927">
        <w:rPr>
          <w:rFonts w:ascii="Times New Roman" w:hAnsi="Times New Roman" w:cs="Times New Roman"/>
          <w:sz w:val="28"/>
          <w:szCs w:val="28"/>
        </w:rPr>
        <w:t>miRNA</w:t>
      </w:r>
      <w:proofErr w:type="spellEnd"/>
    </w:p>
    <w:p w:rsidR="00B82A49" w:rsidRPr="00587927" w:rsidRDefault="00B82A49" w:rsidP="00B82A49">
      <w:pPr>
        <w:spacing w:after="0" w:line="240" w:lineRule="auto"/>
        <w:jc w:val="both"/>
        <w:rPr>
          <w:rFonts w:ascii="Times New Roman" w:hAnsi="Times New Roman" w:cs="Times New Roman"/>
          <w:sz w:val="28"/>
          <w:szCs w:val="28"/>
        </w:rPr>
      </w:pPr>
      <w:r w:rsidRPr="00587927">
        <w:rPr>
          <w:rFonts w:ascii="Times New Roman" w:hAnsi="Times New Roman" w:cs="Times New Roman"/>
          <w:sz w:val="28"/>
          <w:szCs w:val="28"/>
        </w:rPr>
        <w:t>На протяжении нескольких лет отмечается неуклонный рост распространенности рака поджелудочной железы (</w:t>
      </w:r>
      <w:r w:rsidR="00311891">
        <w:rPr>
          <w:rFonts w:ascii="Times New Roman" w:hAnsi="Times New Roman" w:cs="Times New Roman"/>
          <w:sz w:val="28"/>
          <w:szCs w:val="28"/>
        </w:rPr>
        <w:t>РПЗ</w:t>
      </w:r>
      <w:r w:rsidRPr="00587927">
        <w:rPr>
          <w:rFonts w:ascii="Times New Roman" w:hAnsi="Times New Roman" w:cs="Times New Roman"/>
          <w:sz w:val="28"/>
          <w:szCs w:val="28"/>
        </w:rPr>
        <w:t>), его несвоевременная диагностика обусловлена длительным бессимптомным течением, незначительными изменениями рутинных лабораторных показателей, недостаточной информативностью стандартных визуализирующих исследований. В связи этим большое значение уделяется определению факторов риска возникновения опухоли в поджелудочной железе (</w:t>
      </w:r>
      <w:r w:rsidR="00311891">
        <w:rPr>
          <w:rFonts w:ascii="Times New Roman" w:hAnsi="Times New Roman" w:cs="Times New Roman"/>
          <w:sz w:val="28"/>
          <w:szCs w:val="28"/>
        </w:rPr>
        <w:t>ПЗ</w:t>
      </w:r>
      <w:r w:rsidRPr="00587927">
        <w:rPr>
          <w:rFonts w:ascii="Times New Roman" w:hAnsi="Times New Roman" w:cs="Times New Roman"/>
          <w:sz w:val="28"/>
          <w:szCs w:val="28"/>
        </w:rPr>
        <w:t xml:space="preserve">) и установлению </w:t>
      </w:r>
      <w:proofErr w:type="spellStart"/>
      <w:r w:rsidRPr="00587927">
        <w:rPr>
          <w:rFonts w:ascii="Times New Roman" w:hAnsi="Times New Roman" w:cs="Times New Roman"/>
          <w:sz w:val="28"/>
          <w:szCs w:val="28"/>
        </w:rPr>
        <w:t>биомаркеров</w:t>
      </w:r>
      <w:proofErr w:type="spellEnd"/>
      <w:r w:rsidRPr="00587927">
        <w:rPr>
          <w:rFonts w:ascii="Times New Roman" w:hAnsi="Times New Roman" w:cs="Times New Roman"/>
          <w:sz w:val="28"/>
          <w:szCs w:val="28"/>
        </w:rPr>
        <w:t xml:space="preserve"> (диагностических, прогностических, предиктивных) неопластической трансформации </w:t>
      </w:r>
      <w:r w:rsidR="00311891">
        <w:rPr>
          <w:rFonts w:ascii="Times New Roman" w:hAnsi="Times New Roman" w:cs="Times New Roman"/>
          <w:sz w:val="28"/>
          <w:szCs w:val="28"/>
        </w:rPr>
        <w:t>ПЗ</w:t>
      </w:r>
      <w:r w:rsidRPr="00587927">
        <w:rPr>
          <w:rFonts w:ascii="Times New Roman" w:hAnsi="Times New Roman" w:cs="Times New Roman"/>
          <w:sz w:val="28"/>
          <w:szCs w:val="28"/>
        </w:rPr>
        <w:t xml:space="preserve"> на фоне хронического панкреатита.</w:t>
      </w:r>
    </w:p>
    <w:p w:rsidR="00E15FA6" w:rsidRPr="00587927" w:rsidRDefault="00B82A49" w:rsidP="00B82A49">
      <w:pPr>
        <w:spacing w:after="0" w:line="240" w:lineRule="auto"/>
        <w:jc w:val="both"/>
        <w:rPr>
          <w:rFonts w:ascii="Times New Roman" w:hAnsi="Times New Roman" w:cs="Times New Roman"/>
          <w:sz w:val="28"/>
          <w:szCs w:val="28"/>
        </w:rPr>
      </w:pPr>
      <w:r w:rsidRPr="00587927">
        <w:rPr>
          <w:rFonts w:ascii="Times New Roman" w:hAnsi="Times New Roman" w:cs="Times New Roman"/>
          <w:sz w:val="28"/>
          <w:szCs w:val="28"/>
        </w:rPr>
        <w:t xml:space="preserve">К ненаследственным факторам риска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относят пожилой возраст, курение, сопутствующий хронический панкреатит, инфицирование </w:t>
      </w:r>
      <w:proofErr w:type="spellStart"/>
      <w:r w:rsidRPr="00587927">
        <w:rPr>
          <w:rFonts w:ascii="Times New Roman" w:hAnsi="Times New Roman" w:cs="Times New Roman"/>
          <w:sz w:val="28"/>
          <w:szCs w:val="28"/>
        </w:rPr>
        <w:t>Helicobacter</w:t>
      </w:r>
      <w:proofErr w:type="spellEnd"/>
      <w:r w:rsidRPr="00587927">
        <w:rPr>
          <w:rFonts w:ascii="Times New Roman" w:hAnsi="Times New Roman" w:cs="Times New Roman"/>
          <w:sz w:val="28"/>
          <w:szCs w:val="28"/>
        </w:rPr>
        <w:t xml:space="preserve"> </w:t>
      </w:r>
      <w:proofErr w:type="spellStart"/>
      <w:r w:rsidRPr="00587927">
        <w:rPr>
          <w:rFonts w:ascii="Times New Roman" w:hAnsi="Times New Roman" w:cs="Times New Roman"/>
          <w:sz w:val="28"/>
          <w:szCs w:val="28"/>
        </w:rPr>
        <w:t>pylori</w:t>
      </w:r>
      <w:proofErr w:type="spellEnd"/>
      <w:r w:rsidRPr="00587927">
        <w:rPr>
          <w:rFonts w:ascii="Times New Roman" w:hAnsi="Times New Roman" w:cs="Times New Roman"/>
          <w:sz w:val="28"/>
          <w:szCs w:val="28"/>
        </w:rPr>
        <w:t xml:space="preserve">/вирусом гепатита B, ожирение, сахарный диабет. Среди наследственных факторов риска доминируют отягощенный семейный анамнез по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семейному </w:t>
      </w:r>
      <w:proofErr w:type="spellStart"/>
      <w:r w:rsidRPr="00587927">
        <w:rPr>
          <w:rFonts w:ascii="Times New Roman" w:hAnsi="Times New Roman" w:cs="Times New Roman"/>
          <w:sz w:val="28"/>
          <w:szCs w:val="28"/>
        </w:rPr>
        <w:t>аденоматозному</w:t>
      </w:r>
      <w:proofErr w:type="spellEnd"/>
      <w:r w:rsidRPr="00587927">
        <w:rPr>
          <w:rFonts w:ascii="Times New Roman" w:hAnsi="Times New Roman" w:cs="Times New Roman"/>
          <w:sz w:val="28"/>
          <w:szCs w:val="28"/>
        </w:rPr>
        <w:t xml:space="preserve"> полипозу, носительство мутантных генов (PRSS1, SPINK1, BRCA2). </w:t>
      </w:r>
      <w:proofErr w:type="spellStart"/>
      <w:r w:rsidRPr="00587927">
        <w:rPr>
          <w:rFonts w:ascii="Times New Roman" w:hAnsi="Times New Roman" w:cs="Times New Roman"/>
          <w:sz w:val="28"/>
          <w:szCs w:val="28"/>
        </w:rPr>
        <w:t>Биомаркеры</w:t>
      </w:r>
      <w:proofErr w:type="spellEnd"/>
      <w:r w:rsidRPr="00587927">
        <w:rPr>
          <w:rFonts w:ascii="Times New Roman" w:hAnsi="Times New Roman" w:cs="Times New Roman"/>
          <w:sz w:val="28"/>
          <w:szCs w:val="28"/>
        </w:rPr>
        <w:t xml:space="preserve"> могут использоваться не только для ранней неинвазивной диагностики опухоли </w:t>
      </w:r>
      <w:r w:rsidR="00311891">
        <w:rPr>
          <w:rFonts w:ascii="Times New Roman" w:hAnsi="Times New Roman" w:cs="Times New Roman"/>
          <w:sz w:val="28"/>
          <w:szCs w:val="28"/>
        </w:rPr>
        <w:t>ПЗ</w:t>
      </w:r>
      <w:r w:rsidRPr="00587927">
        <w:rPr>
          <w:rFonts w:ascii="Times New Roman" w:hAnsi="Times New Roman" w:cs="Times New Roman"/>
          <w:sz w:val="28"/>
          <w:szCs w:val="28"/>
        </w:rPr>
        <w:t xml:space="preserve">, но и для проведения дифференциального диагноза между хроническим панкреатитом и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В статье проанализированы чувствительность и специфичность различных сывороточных маркеров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СА 19-9, PAM4, MIC-1. Отличить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от аутоиммунного панкреатита можно посредством определения сывороточной концентрации IgG4. Помимо сыворотки крови для определения потенциальных маркеров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могут использоваться каловые массы (K-RAS, BMP3) и слюна (KRAS, MBD3L2, ACRV1 и DPM1). Представлены новые данные о возможности определения фекальных </w:t>
      </w:r>
      <w:proofErr w:type="spellStart"/>
      <w:r w:rsidRPr="00587927">
        <w:rPr>
          <w:rFonts w:ascii="Times New Roman" w:hAnsi="Times New Roman" w:cs="Times New Roman"/>
          <w:sz w:val="28"/>
          <w:szCs w:val="28"/>
        </w:rPr>
        <w:t>miRNA</w:t>
      </w:r>
      <w:proofErr w:type="spellEnd"/>
      <w:r w:rsidRPr="00587927">
        <w:rPr>
          <w:rFonts w:ascii="Times New Roman" w:hAnsi="Times New Roman" w:cs="Times New Roman"/>
          <w:sz w:val="28"/>
          <w:szCs w:val="28"/>
        </w:rPr>
        <w:t xml:space="preserve"> в качестве </w:t>
      </w:r>
      <w:proofErr w:type="spellStart"/>
      <w:r w:rsidRPr="00587927">
        <w:rPr>
          <w:rFonts w:ascii="Times New Roman" w:hAnsi="Times New Roman" w:cs="Times New Roman"/>
          <w:sz w:val="28"/>
          <w:szCs w:val="28"/>
        </w:rPr>
        <w:t>биомаркеров</w:t>
      </w:r>
      <w:proofErr w:type="spellEnd"/>
      <w:r w:rsidRPr="00587927">
        <w:rPr>
          <w:rFonts w:ascii="Times New Roman" w:hAnsi="Times New Roman" w:cs="Times New Roman"/>
          <w:sz w:val="28"/>
          <w:szCs w:val="28"/>
        </w:rPr>
        <w:t xml:space="preserve">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miR-21, miR-155 и miR-216. Большинство </w:t>
      </w:r>
      <w:proofErr w:type="spellStart"/>
      <w:r w:rsidRPr="00587927">
        <w:rPr>
          <w:rFonts w:ascii="Times New Roman" w:hAnsi="Times New Roman" w:cs="Times New Roman"/>
          <w:sz w:val="28"/>
          <w:szCs w:val="28"/>
        </w:rPr>
        <w:t>биомаркеров</w:t>
      </w:r>
      <w:proofErr w:type="spellEnd"/>
      <w:r w:rsidRPr="00587927">
        <w:rPr>
          <w:rFonts w:ascii="Times New Roman" w:hAnsi="Times New Roman" w:cs="Times New Roman"/>
          <w:sz w:val="28"/>
          <w:szCs w:val="28"/>
        </w:rPr>
        <w:t xml:space="preserve"> </w:t>
      </w:r>
      <w:r w:rsidR="00311891">
        <w:rPr>
          <w:rFonts w:ascii="Times New Roman" w:hAnsi="Times New Roman" w:cs="Times New Roman"/>
          <w:sz w:val="28"/>
          <w:szCs w:val="28"/>
        </w:rPr>
        <w:t>РПЗ</w:t>
      </w:r>
      <w:r w:rsidRPr="00587927">
        <w:rPr>
          <w:rFonts w:ascii="Times New Roman" w:hAnsi="Times New Roman" w:cs="Times New Roman"/>
          <w:sz w:val="28"/>
          <w:szCs w:val="28"/>
        </w:rPr>
        <w:t xml:space="preserve"> еще не внедрены в широкую клиническую практику, продолжаются исследования по изучению их информативности.</w:t>
      </w:r>
    </w:p>
    <w:p w:rsidR="00B82A49" w:rsidRPr="00587927" w:rsidRDefault="00B82A49" w:rsidP="00B82A49">
      <w:pPr>
        <w:spacing w:after="0" w:line="240" w:lineRule="auto"/>
        <w:jc w:val="both"/>
        <w:rPr>
          <w:rFonts w:ascii="Times New Roman" w:hAnsi="Times New Roman" w:cs="Times New Roman"/>
          <w:sz w:val="28"/>
          <w:szCs w:val="28"/>
        </w:rPr>
      </w:pPr>
    </w:p>
    <w:p w:rsidR="00B82A49" w:rsidRPr="00587927" w:rsidRDefault="00B82A49" w:rsidP="00B82A49">
      <w:pPr>
        <w:rPr>
          <w:rFonts w:ascii="Times New Roman" w:hAnsi="Times New Roman" w:cs="Times New Roman"/>
          <w:sz w:val="28"/>
          <w:szCs w:val="28"/>
        </w:rPr>
      </w:pPr>
      <w:r w:rsidRPr="00587927">
        <w:rPr>
          <w:rFonts w:ascii="Times New Roman" w:hAnsi="Times New Roman" w:cs="Times New Roman"/>
          <w:sz w:val="28"/>
          <w:szCs w:val="28"/>
        </w:rPr>
        <w:t>УДК 616.37-006</w:t>
      </w:r>
    </w:p>
    <w:p w:rsidR="00B82A49" w:rsidRPr="00587927" w:rsidRDefault="00B82A49" w:rsidP="00B82A49">
      <w:pPr>
        <w:spacing w:after="0" w:line="240" w:lineRule="auto"/>
        <w:jc w:val="both"/>
        <w:rPr>
          <w:rFonts w:ascii="Times New Roman" w:hAnsi="Times New Roman" w:cs="Times New Roman"/>
          <w:b/>
          <w:sz w:val="28"/>
          <w:szCs w:val="28"/>
          <w:lang w:val="uk-UA"/>
        </w:rPr>
      </w:pPr>
      <w:r w:rsidRPr="00587927">
        <w:rPr>
          <w:rFonts w:ascii="Times New Roman" w:hAnsi="Times New Roman" w:cs="Times New Roman"/>
          <w:b/>
          <w:sz w:val="28"/>
          <w:szCs w:val="28"/>
          <w:lang w:val="uk-UA"/>
        </w:rPr>
        <w:lastRenderedPageBreak/>
        <w:t xml:space="preserve">Біологічні діагностичні маркери і фактори ризику раку підшлункової залози у пацієнтів </w:t>
      </w:r>
      <w:r w:rsidR="00C637E7" w:rsidRPr="00587927">
        <w:rPr>
          <w:rFonts w:ascii="Times New Roman" w:hAnsi="Times New Roman" w:cs="Times New Roman"/>
          <w:b/>
          <w:sz w:val="28"/>
          <w:szCs w:val="28"/>
          <w:lang w:val="uk-UA"/>
        </w:rPr>
        <w:t>і</w:t>
      </w:r>
      <w:r w:rsidRPr="00587927">
        <w:rPr>
          <w:rFonts w:ascii="Times New Roman" w:hAnsi="Times New Roman" w:cs="Times New Roman"/>
          <w:b/>
          <w:sz w:val="28"/>
          <w:szCs w:val="28"/>
          <w:lang w:val="uk-UA"/>
        </w:rPr>
        <w:t>з хронічним панкреатитом (огляд літератури)</w:t>
      </w:r>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lang w:val="uk-UA"/>
        </w:rPr>
        <w:t>А. А. Литвин</w:t>
      </w:r>
      <w:r w:rsidRPr="00587927">
        <w:rPr>
          <w:rFonts w:ascii="Times New Roman" w:hAnsi="Times New Roman" w:cs="Times New Roman"/>
          <w:sz w:val="28"/>
          <w:szCs w:val="28"/>
          <w:vertAlign w:val="superscript"/>
          <w:lang w:val="uk-UA"/>
        </w:rPr>
        <w:t>1,2</w:t>
      </w:r>
      <w:r w:rsidRPr="00587927">
        <w:rPr>
          <w:rFonts w:ascii="Times New Roman" w:hAnsi="Times New Roman" w:cs="Times New Roman"/>
          <w:sz w:val="28"/>
          <w:szCs w:val="28"/>
          <w:lang w:val="uk-UA"/>
        </w:rPr>
        <w:t>, С. В. Коренев</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К. М. Колокольцева</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В. С. Денисюк</w:t>
      </w: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 С. Б. Румовська</w:t>
      </w:r>
      <w:r w:rsidRPr="00587927">
        <w:rPr>
          <w:rFonts w:ascii="Times New Roman" w:hAnsi="Times New Roman" w:cs="Times New Roman"/>
          <w:sz w:val="28"/>
          <w:szCs w:val="28"/>
          <w:vertAlign w:val="superscript"/>
          <w:lang w:val="uk-UA"/>
        </w:rPr>
        <w:t>1</w:t>
      </w:r>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vertAlign w:val="superscript"/>
          <w:lang w:val="uk-UA"/>
        </w:rPr>
        <w:t>1</w:t>
      </w:r>
      <w:r w:rsidRPr="00587927">
        <w:rPr>
          <w:rFonts w:ascii="Times New Roman" w:hAnsi="Times New Roman" w:cs="Times New Roman"/>
          <w:sz w:val="28"/>
          <w:szCs w:val="28"/>
          <w:lang w:val="uk-UA"/>
        </w:rPr>
        <w:t>Балтійський федеральний університет ім. І. Канта</w:t>
      </w:r>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vertAlign w:val="superscript"/>
          <w:lang w:val="uk-UA"/>
        </w:rPr>
        <w:t>2</w:t>
      </w:r>
      <w:r w:rsidRPr="00587927">
        <w:rPr>
          <w:rFonts w:ascii="Times New Roman" w:hAnsi="Times New Roman" w:cs="Times New Roman"/>
          <w:sz w:val="28"/>
          <w:szCs w:val="28"/>
          <w:lang w:val="uk-UA"/>
        </w:rPr>
        <w:t>Обласна клінічна лікарня Калінінградській області, Калінінград, Росія</w:t>
      </w:r>
    </w:p>
    <w:p w:rsidR="00B82A49" w:rsidRPr="00587927" w:rsidRDefault="00B82A49" w:rsidP="00B82A49">
      <w:pPr>
        <w:spacing w:after="0" w:line="240" w:lineRule="auto"/>
        <w:jc w:val="both"/>
        <w:rPr>
          <w:rFonts w:ascii="Times New Roman" w:hAnsi="Times New Roman" w:cs="Times New Roman"/>
          <w:sz w:val="28"/>
          <w:szCs w:val="28"/>
          <w:lang w:val="uk-UA"/>
        </w:rPr>
      </w:pPr>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b/>
          <w:sz w:val="28"/>
          <w:szCs w:val="28"/>
          <w:lang w:val="uk-UA"/>
        </w:rPr>
        <w:t>Ключові слова:</w:t>
      </w:r>
      <w:r w:rsidRPr="00587927">
        <w:rPr>
          <w:rFonts w:ascii="Times New Roman" w:hAnsi="Times New Roman" w:cs="Times New Roman"/>
          <w:sz w:val="28"/>
          <w:szCs w:val="28"/>
          <w:lang w:val="uk-UA"/>
        </w:rPr>
        <w:t xml:space="preserve"> рак підшлункової залози, хронічний панкреатит, диференціальна діагностика, пухлинні маркери, діагностичні </w:t>
      </w:r>
      <w:proofErr w:type="spellStart"/>
      <w:r w:rsidRPr="00587927">
        <w:rPr>
          <w:rFonts w:ascii="Times New Roman" w:hAnsi="Times New Roman" w:cs="Times New Roman"/>
          <w:sz w:val="28"/>
          <w:szCs w:val="28"/>
          <w:lang w:val="uk-UA"/>
        </w:rPr>
        <w:t>біомаркери</w:t>
      </w:r>
      <w:proofErr w:type="spellEnd"/>
      <w:r w:rsidRPr="00587927">
        <w:rPr>
          <w:rFonts w:ascii="Times New Roman" w:hAnsi="Times New Roman" w:cs="Times New Roman"/>
          <w:sz w:val="28"/>
          <w:szCs w:val="28"/>
          <w:lang w:val="uk-UA"/>
        </w:rPr>
        <w:t xml:space="preserve">, CA 19-9, K-RAS, </w:t>
      </w:r>
      <w:proofErr w:type="spellStart"/>
      <w:r w:rsidRPr="00587927">
        <w:rPr>
          <w:rFonts w:ascii="Times New Roman" w:hAnsi="Times New Roman" w:cs="Times New Roman"/>
          <w:sz w:val="28"/>
          <w:szCs w:val="28"/>
          <w:lang w:val="uk-UA"/>
        </w:rPr>
        <w:t>miRNA</w:t>
      </w:r>
      <w:proofErr w:type="spellEnd"/>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lang w:val="uk-UA"/>
        </w:rPr>
        <w:t xml:space="preserve">Упродовж останніх років відзначається неухильне зростання поширеності раку підшлункової залози (РПЗ), його несвоєчасна діагностика обумовлена тривалим латентним перебігом, незначними змінами рутинних лабораторних показників, недостатньою інформативністю стандартних </w:t>
      </w:r>
      <w:proofErr w:type="spellStart"/>
      <w:r w:rsidRPr="00587927">
        <w:rPr>
          <w:rFonts w:ascii="Times New Roman" w:hAnsi="Times New Roman" w:cs="Times New Roman"/>
          <w:sz w:val="28"/>
          <w:szCs w:val="28"/>
          <w:lang w:val="uk-UA"/>
        </w:rPr>
        <w:t>візуалізуючих</w:t>
      </w:r>
      <w:proofErr w:type="spellEnd"/>
      <w:r w:rsidRPr="00587927">
        <w:rPr>
          <w:rFonts w:ascii="Times New Roman" w:hAnsi="Times New Roman" w:cs="Times New Roman"/>
          <w:sz w:val="28"/>
          <w:szCs w:val="28"/>
          <w:lang w:val="uk-UA"/>
        </w:rPr>
        <w:t xml:space="preserve"> досліджень. У зв’язку з цим велика увага приділяється визначенню чинників ризику виникнення пухлини у підшлунковій залозі (ПЗ) та встановленню </w:t>
      </w:r>
      <w:proofErr w:type="spellStart"/>
      <w:r w:rsidRPr="00587927">
        <w:rPr>
          <w:rFonts w:ascii="Times New Roman" w:hAnsi="Times New Roman" w:cs="Times New Roman"/>
          <w:sz w:val="28"/>
          <w:szCs w:val="28"/>
          <w:lang w:val="uk-UA"/>
        </w:rPr>
        <w:t>біомаркерів</w:t>
      </w:r>
      <w:proofErr w:type="spellEnd"/>
      <w:r w:rsidRPr="00587927">
        <w:rPr>
          <w:rFonts w:ascii="Times New Roman" w:hAnsi="Times New Roman" w:cs="Times New Roman"/>
          <w:sz w:val="28"/>
          <w:szCs w:val="28"/>
          <w:lang w:val="uk-UA"/>
        </w:rPr>
        <w:t xml:space="preserve"> (діагностичних, прогностичних, </w:t>
      </w:r>
      <w:proofErr w:type="spellStart"/>
      <w:r w:rsidRPr="00587927">
        <w:rPr>
          <w:rFonts w:ascii="Times New Roman" w:hAnsi="Times New Roman" w:cs="Times New Roman"/>
          <w:sz w:val="28"/>
          <w:szCs w:val="28"/>
          <w:lang w:val="uk-UA"/>
        </w:rPr>
        <w:t>предиктивних</w:t>
      </w:r>
      <w:proofErr w:type="spellEnd"/>
      <w:r w:rsidRPr="00587927">
        <w:rPr>
          <w:rFonts w:ascii="Times New Roman" w:hAnsi="Times New Roman" w:cs="Times New Roman"/>
          <w:sz w:val="28"/>
          <w:szCs w:val="28"/>
          <w:lang w:val="uk-UA"/>
        </w:rPr>
        <w:t xml:space="preserve">) </w:t>
      </w:r>
      <w:proofErr w:type="spellStart"/>
      <w:r w:rsidRPr="00587927">
        <w:rPr>
          <w:rFonts w:ascii="Times New Roman" w:hAnsi="Times New Roman" w:cs="Times New Roman"/>
          <w:sz w:val="28"/>
          <w:szCs w:val="28"/>
          <w:lang w:val="uk-UA"/>
        </w:rPr>
        <w:t>неопластичної</w:t>
      </w:r>
      <w:proofErr w:type="spellEnd"/>
      <w:r w:rsidRPr="00587927">
        <w:rPr>
          <w:rFonts w:ascii="Times New Roman" w:hAnsi="Times New Roman" w:cs="Times New Roman"/>
          <w:sz w:val="28"/>
          <w:szCs w:val="28"/>
          <w:lang w:val="uk-UA"/>
        </w:rPr>
        <w:t xml:space="preserve"> трансформації ПЗ на тлі хронічного панкреатиту.</w:t>
      </w:r>
    </w:p>
    <w:p w:rsidR="00B82A49" w:rsidRPr="00587927" w:rsidRDefault="00B82A49" w:rsidP="00B82A49">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lang w:val="uk-UA"/>
        </w:rPr>
        <w:t xml:space="preserve">До неспадкових факторів ризику РПЗ відносять похилий вік, куріння, супутній хронічний панкреатит, інфікування </w:t>
      </w:r>
      <w:proofErr w:type="spellStart"/>
      <w:r w:rsidRPr="00587927">
        <w:rPr>
          <w:rFonts w:ascii="Times New Roman" w:hAnsi="Times New Roman" w:cs="Times New Roman"/>
          <w:sz w:val="28"/>
          <w:szCs w:val="28"/>
          <w:lang w:val="uk-UA"/>
        </w:rPr>
        <w:t>Helicobacter</w:t>
      </w:r>
      <w:proofErr w:type="spellEnd"/>
      <w:r w:rsidRPr="00587927">
        <w:rPr>
          <w:rFonts w:ascii="Times New Roman" w:hAnsi="Times New Roman" w:cs="Times New Roman"/>
          <w:sz w:val="28"/>
          <w:szCs w:val="28"/>
          <w:lang w:val="uk-UA"/>
        </w:rPr>
        <w:t xml:space="preserve"> </w:t>
      </w:r>
      <w:proofErr w:type="spellStart"/>
      <w:r w:rsidRPr="00587927">
        <w:rPr>
          <w:rFonts w:ascii="Times New Roman" w:hAnsi="Times New Roman" w:cs="Times New Roman"/>
          <w:sz w:val="28"/>
          <w:szCs w:val="28"/>
          <w:lang w:val="uk-UA"/>
        </w:rPr>
        <w:t>pylori</w:t>
      </w:r>
      <w:proofErr w:type="spellEnd"/>
      <w:r w:rsidRPr="00587927">
        <w:rPr>
          <w:rFonts w:ascii="Times New Roman" w:hAnsi="Times New Roman" w:cs="Times New Roman"/>
          <w:sz w:val="28"/>
          <w:szCs w:val="28"/>
          <w:lang w:val="uk-UA"/>
        </w:rPr>
        <w:t xml:space="preserve">/вірусом гепатиту B, ожиріння, цукровий діабет. Серед спадкових факторів ризику домінують обтяжений сімейний анамнез по РПЗ, родинному </w:t>
      </w:r>
      <w:proofErr w:type="spellStart"/>
      <w:r w:rsidRPr="00587927">
        <w:rPr>
          <w:rFonts w:ascii="Times New Roman" w:hAnsi="Times New Roman" w:cs="Times New Roman"/>
          <w:sz w:val="28"/>
          <w:szCs w:val="28"/>
          <w:lang w:val="uk-UA"/>
        </w:rPr>
        <w:t>аденоматозному</w:t>
      </w:r>
      <w:proofErr w:type="spellEnd"/>
      <w:r w:rsidRPr="00587927">
        <w:rPr>
          <w:rFonts w:ascii="Times New Roman" w:hAnsi="Times New Roman" w:cs="Times New Roman"/>
          <w:sz w:val="28"/>
          <w:szCs w:val="28"/>
          <w:lang w:val="uk-UA"/>
        </w:rPr>
        <w:t xml:space="preserve"> </w:t>
      </w:r>
      <w:proofErr w:type="spellStart"/>
      <w:r w:rsidRPr="00587927">
        <w:rPr>
          <w:rFonts w:ascii="Times New Roman" w:hAnsi="Times New Roman" w:cs="Times New Roman"/>
          <w:sz w:val="28"/>
          <w:szCs w:val="28"/>
          <w:lang w:val="uk-UA"/>
        </w:rPr>
        <w:t>поліпозу</w:t>
      </w:r>
      <w:proofErr w:type="spellEnd"/>
      <w:r w:rsidRPr="00587927">
        <w:rPr>
          <w:rFonts w:ascii="Times New Roman" w:hAnsi="Times New Roman" w:cs="Times New Roman"/>
          <w:sz w:val="28"/>
          <w:szCs w:val="28"/>
          <w:lang w:val="uk-UA"/>
        </w:rPr>
        <w:t xml:space="preserve">, </w:t>
      </w:r>
      <w:proofErr w:type="spellStart"/>
      <w:r w:rsidRPr="00587927">
        <w:rPr>
          <w:rFonts w:ascii="Times New Roman" w:hAnsi="Times New Roman" w:cs="Times New Roman"/>
          <w:sz w:val="28"/>
          <w:szCs w:val="28"/>
          <w:lang w:val="uk-UA"/>
        </w:rPr>
        <w:t>носійство</w:t>
      </w:r>
      <w:proofErr w:type="spellEnd"/>
      <w:r w:rsidRPr="00587927">
        <w:rPr>
          <w:rFonts w:ascii="Times New Roman" w:hAnsi="Times New Roman" w:cs="Times New Roman"/>
          <w:sz w:val="28"/>
          <w:szCs w:val="28"/>
          <w:lang w:val="uk-UA"/>
        </w:rPr>
        <w:t xml:space="preserve"> мутантних генів (PRSS1, SPINK1, BRCA2). </w:t>
      </w:r>
      <w:proofErr w:type="spellStart"/>
      <w:r w:rsidRPr="00587927">
        <w:rPr>
          <w:rFonts w:ascii="Times New Roman" w:hAnsi="Times New Roman" w:cs="Times New Roman"/>
          <w:sz w:val="28"/>
          <w:szCs w:val="28"/>
          <w:lang w:val="uk-UA"/>
        </w:rPr>
        <w:t>Біомаркери</w:t>
      </w:r>
      <w:proofErr w:type="spellEnd"/>
      <w:r w:rsidRPr="00587927">
        <w:rPr>
          <w:rFonts w:ascii="Times New Roman" w:hAnsi="Times New Roman" w:cs="Times New Roman"/>
          <w:sz w:val="28"/>
          <w:szCs w:val="28"/>
          <w:lang w:val="uk-UA"/>
        </w:rPr>
        <w:t xml:space="preserve"> можуть використовуватись не тільки для ранньої </w:t>
      </w:r>
      <w:proofErr w:type="spellStart"/>
      <w:r w:rsidRPr="00587927">
        <w:rPr>
          <w:rFonts w:ascii="Times New Roman" w:hAnsi="Times New Roman" w:cs="Times New Roman"/>
          <w:sz w:val="28"/>
          <w:szCs w:val="28"/>
          <w:lang w:val="uk-UA"/>
        </w:rPr>
        <w:t>неінвазивної</w:t>
      </w:r>
      <w:proofErr w:type="spellEnd"/>
      <w:r w:rsidRPr="00587927">
        <w:rPr>
          <w:rFonts w:ascii="Times New Roman" w:hAnsi="Times New Roman" w:cs="Times New Roman"/>
          <w:sz w:val="28"/>
          <w:szCs w:val="28"/>
          <w:lang w:val="uk-UA"/>
        </w:rPr>
        <w:t xml:space="preserve"> діагностики пухлини П</w:t>
      </w:r>
      <w:r w:rsidR="00BE1D47" w:rsidRPr="00587927">
        <w:rPr>
          <w:rFonts w:ascii="Times New Roman" w:hAnsi="Times New Roman" w:cs="Times New Roman"/>
          <w:sz w:val="28"/>
          <w:szCs w:val="28"/>
          <w:lang w:val="uk-UA"/>
        </w:rPr>
        <w:t>З</w:t>
      </w:r>
      <w:r w:rsidRPr="00587927">
        <w:rPr>
          <w:rFonts w:ascii="Times New Roman" w:hAnsi="Times New Roman" w:cs="Times New Roman"/>
          <w:sz w:val="28"/>
          <w:szCs w:val="28"/>
          <w:lang w:val="uk-UA"/>
        </w:rPr>
        <w:t xml:space="preserve">, а також для проведення диференціального діагнозу між хронічним панкреатитом та </w:t>
      </w:r>
      <w:r w:rsidR="00BE1D47"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У статті проаналізовано чутливість та специфічність різних сироваткових маркерів </w:t>
      </w:r>
      <w:r w:rsidR="00BE1D47"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СА 19-9, PAM4, MIC-1. Відрізнити </w:t>
      </w:r>
      <w:r w:rsidR="00BE1D47"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від </w:t>
      </w:r>
      <w:proofErr w:type="spellStart"/>
      <w:r w:rsidRPr="00587927">
        <w:rPr>
          <w:rFonts w:ascii="Times New Roman" w:hAnsi="Times New Roman" w:cs="Times New Roman"/>
          <w:sz w:val="28"/>
          <w:szCs w:val="28"/>
          <w:lang w:val="uk-UA"/>
        </w:rPr>
        <w:t>аутоімунного</w:t>
      </w:r>
      <w:proofErr w:type="spellEnd"/>
      <w:r w:rsidRPr="00587927">
        <w:rPr>
          <w:rFonts w:ascii="Times New Roman" w:hAnsi="Times New Roman" w:cs="Times New Roman"/>
          <w:sz w:val="28"/>
          <w:szCs w:val="28"/>
          <w:lang w:val="uk-UA"/>
        </w:rPr>
        <w:t xml:space="preserve"> панкреатиту можна за допомогою визначення сироваткової концентрації IgG4. Крім сироватки крові для визначення потенційних маркерів </w:t>
      </w:r>
      <w:r w:rsidR="00FB27E8"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використовують калові маси (KRAS, BMP3) і слину (KRAS, MBD3L2, ACRV1 і DPM1). </w:t>
      </w:r>
      <w:r w:rsidR="00FB27E8" w:rsidRPr="00587927">
        <w:rPr>
          <w:rFonts w:ascii="Times New Roman" w:hAnsi="Times New Roman" w:cs="Times New Roman"/>
          <w:sz w:val="28"/>
          <w:szCs w:val="28"/>
          <w:lang w:val="uk-UA"/>
        </w:rPr>
        <w:t>Наведені</w:t>
      </w:r>
      <w:r w:rsidRPr="00587927">
        <w:rPr>
          <w:rFonts w:ascii="Times New Roman" w:hAnsi="Times New Roman" w:cs="Times New Roman"/>
          <w:sz w:val="28"/>
          <w:szCs w:val="28"/>
          <w:lang w:val="uk-UA"/>
        </w:rPr>
        <w:t xml:space="preserve"> нові дані про можливість визначення фекальних </w:t>
      </w:r>
      <w:proofErr w:type="spellStart"/>
      <w:r w:rsidRPr="00587927">
        <w:rPr>
          <w:rFonts w:ascii="Times New Roman" w:hAnsi="Times New Roman" w:cs="Times New Roman"/>
          <w:sz w:val="28"/>
          <w:szCs w:val="28"/>
          <w:lang w:val="uk-UA"/>
        </w:rPr>
        <w:t>miRNA</w:t>
      </w:r>
      <w:proofErr w:type="spellEnd"/>
      <w:r w:rsidRPr="00587927">
        <w:rPr>
          <w:rFonts w:ascii="Times New Roman" w:hAnsi="Times New Roman" w:cs="Times New Roman"/>
          <w:sz w:val="28"/>
          <w:szCs w:val="28"/>
          <w:lang w:val="uk-UA"/>
        </w:rPr>
        <w:t xml:space="preserve"> </w:t>
      </w:r>
      <w:r w:rsidR="00FB27E8" w:rsidRPr="00587927">
        <w:rPr>
          <w:rFonts w:ascii="Times New Roman" w:hAnsi="Times New Roman" w:cs="Times New Roman"/>
          <w:sz w:val="28"/>
          <w:szCs w:val="28"/>
          <w:lang w:val="uk-UA"/>
        </w:rPr>
        <w:t>у</w:t>
      </w:r>
      <w:r w:rsidRPr="00587927">
        <w:rPr>
          <w:rFonts w:ascii="Times New Roman" w:hAnsi="Times New Roman" w:cs="Times New Roman"/>
          <w:sz w:val="28"/>
          <w:szCs w:val="28"/>
          <w:lang w:val="uk-UA"/>
        </w:rPr>
        <w:t xml:space="preserve"> якості </w:t>
      </w:r>
      <w:proofErr w:type="spellStart"/>
      <w:r w:rsidRPr="00587927">
        <w:rPr>
          <w:rFonts w:ascii="Times New Roman" w:hAnsi="Times New Roman" w:cs="Times New Roman"/>
          <w:sz w:val="28"/>
          <w:szCs w:val="28"/>
          <w:lang w:val="uk-UA"/>
        </w:rPr>
        <w:t>біомаркерів</w:t>
      </w:r>
      <w:proofErr w:type="spellEnd"/>
      <w:r w:rsidRPr="00587927">
        <w:rPr>
          <w:rFonts w:ascii="Times New Roman" w:hAnsi="Times New Roman" w:cs="Times New Roman"/>
          <w:sz w:val="28"/>
          <w:szCs w:val="28"/>
          <w:lang w:val="uk-UA"/>
        </w:rPr>
        <w:t xml:space="preserve"> </w:t>
      </w:r>
      <w:r w:rsidR="00FB27E8"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miR-21, miR-155 і miR-216. Більшість </w:t>
      </w:r>
      <w:proofErr w:type="spellStart"/>
      <w:r w:rsidRPr="00587927">
        <w:rPr>
          <w:rFonts w:ascii="Times New Roman" w:hAnsi="Times New Roman" w:cs="Times New Roman"/>
          <w:sz w:val="28"/>
          <w:szCs w:val="28"/>
          <w:lang w:val="uk-UA"/>
        </w:rPr>
        <w:t>біомаркерів</w:t>
      </w:r>
      <w:proofErr w:type="spellEnd"/>
      <w:r w:rsidRPr="00587927">
        <w:rPr>
          <w:rFonts w:ascii="Times New Roman" w:hAnsi="Times New Roman" w:cs="Times New Roman"/>
          <w:sz w:val="28"/>
          <w:szCs w:val="28"/>
          <w:lang w:val="uk-UA"/>
        </w:rPr>
        <w:t xml:space="preserve"> </w:t>
      </w:r>
      <w:r w:rsidR="00FB27E8" w:rsidRPr="00587927">
        <w:rPr>
          <w:rFonts w:ascii="Times New Roman" w:hAnsi="Times New Roman" w:cs="Times New Roman"/>
          <w:sz w:val="28"/>
          <w:szCs w:val="28"/>
          <w:lang w:val="uk-UA"/>
        </w:rPr>
        <w:t>РПЗ</w:t>
      </w:r>
      <w:r w:rsidRPr="00587927">
        <w:rPr>
          <w:rFonts w:ascii="Times New Roman" w:hAnsi="Times New Roman" w:cs="Times New Roman"/>
          <w:sz w:val="28"/>
          <w:szCs w:val="28"/>
          <w:lang w:val="uk-UA"/>
        </w:rPr>
        <w:t xml:space="preserve"> ще не впроваджені </w:t>
      </w:r>
      <w:r w:rsidR="00FB27E8" w:rsidRPr="00587927">
        <w:rPr>
          <w:rFonts w:ascii="Times New Roman" w:hAnsi="Times New Roman" w:cs="Times New Roman"/>
          <w:sz w:val="28"/>
          <w:szCs w:val="28"/>
          <w:lang w:val="uk-UA"/>
        </w:rPr>
        <w:t>у</w:t>
      </w:r>
      <w:r w:rsidRPr="00587927">
        <w:rPr>
          <w:rFonts w:ascii="Times New Roman" w:hAnsi="Times New Roman" w:cs="Times New Roman"/>
          <w:sz w:val="28"/>
          <w:szCs w:val="28"/>
          <w:lang w:val="uk-UA"/>
        </w:rPr>
        <w:t xml:space="preserve"> </w:t>
      </w:r>
      <w:r w:rsidR="00FB27E8" w:rsidRPr="00587927">
        <w:rPr>
          <w:rFonts w:ascii="Times New Roman" w:hAnsi="Times New Roman" w:cs="Times New Roman"/>
          <w:sz w:val="28"/>
          <w:szCs w:val="28"/>
          <w:lang w:val="uk-UA"/>
        </w:rPr>
        <w:t>загальну</w:t>
      </w:r>
      <w:r w:rsidRPr="00587927">
        <w:rPr>
          <w:rFonts w:ascii="Times New Roman" w:hAnsi="Times New Roman" w:cs="Times New Roman"/>
          <w:sz w:val="28"/>
          <w:szCs w:val="28"/>
          <w:lang w:val="uk-UA"/>
        </w:rPr>
        <w:t xml:space="preserve"> клінічну практику, тривають дослідження з вивчення їх інформативності.</w:t>
      </w:r>
    </w:p>
    <w:p w:rsidR="00A21F13" w:rsidRPr="00587927" w:rsidRDefault="00A21F13" w:rsidP="00B82A49">
      <w:pPr>
        <w:spacing w:after="0" w:line="240" w:lineRule="auto"/>
        <w:jc w:val="both"/>
        <w:rPr>
          <w:rFonts w:ascii="Times New Roman" w:hAnsi="Times New Roman" w:cs="Times New Roman"/>
          <w:sz w:val="28"/>
          <w:szCs w:val="28"/>
          <w:lang w:val="uk-UA"/>
        </w:rPr>
      </w:pPr>
    </w:p>
    <w:p w:rsidR="00A21F13" w:rsidRPr="00587927" w:rsidRDefault="00A21F13" w:rsidP="00A21F13">
      <w:pPr>
        <w:spacing w:after="0" w:line="240" w:lineRule="auto"/>
        <w:jc w:val="both"/>
        <w:rPr>
          <w:rFonts w:ascii="Times New Roman" w:hAnsi="Times New Roman" w:cs="Times New Roman"/>
          <w:b/>
          <w:sz w:val="28"/>
          <w:szCs w:val="28"/>
          <w:lang w:val="en-US"/>
        </w:rPr>
      </w:pPr>
      <w:r w:rsidRPr="00587927">
        <w:rPr>
          <w:rFonts w:ascii="Times New Roman" w:hAnsi="Times New Roman" w:cs="Times New Roman"/>
          <w:b/>
          <w:sz w:val="28"/>
          <w:szCs w:val="28"/>
          <w:lang w:val="en-US"/>
        </w:rPr>
        <w:t xml:space="preserve">Biological diagnostic markers and </w:t>
      </w:r>
      <w:r w:rsidR="00C637E7" w:rsidRPr="00587927">
        <w:rPr>
          <w:rFonts w:ascii="Times New Roman" w:hAnsi="Times New Roman" w:cs="Times New Roman"/>
          <w:b/>
          <w:sz w:val="28"/>
          <w:szCs w:val="28"/>
          <w:lang w:val="en-US"/>
        </w:rPr>
        <w:t xml:space="preserve">pancreatic cancer </w:t>
      </w:r>
      <w:r w:rsidRPr="00587927">
        <w:rPr>
          <w:rFonts w:ascii="Times New Roman" w:hAnsi="Times New Roman" w:cs="Times New Roman"/>
          <w:b/>
          <w:sz w:val="28"/>
          <w:szCs w:val="28"/>
          <w:lang w:val="en-US"/>
        </w:rPr>
        <w:t>risk factors in patients with chronic pancreatitis (literature review)</w:t>
      </w:r>
    </w:p>
    <w:p w:rsidR="00A21F13" w:rsidRPr="00587927" w:rsidRDefault="00A21F13" w:rsidP="00A21F13">
      <w:pPr>
        <w:spacing w:after="0" w:line="240" w:lineRule="auto"/>
        <w:jc w:val="both"/>
        <w:rPr>
          <w:rFonts w:ascii="Times New Roman" w:hAnsi="Times New Roman" w:cs="Times New Roman"/>
          <w:sz w:val="28"/>
          <w:szCs w:val="28"/>
          <w:lang w:val="en-US"/>
        </w:rPr>
      </w:pPr>
      <w:r w:rsidRPr="00587927">
        <w:rPr>
          <w:rFonts w:ascii="Times New Roman" w:hAnsi="Times New Roman" w:cs="Times New Roman"/>
          <w:sz w:val="28"/>
          <w:szCs w:val="28"/>
          <w:lang w:val="en-US"/>
        </w:rPr>
        <w:t>A. A. Litvin</w:t>
      </w:r>
      <w:r w:rsidRPr="00587927">
        <w:rPr>
          <w:rFonts w:ascii="Times New Roman" w:hAnsi="Times New Roman" w:cs="Times New Roman"/>
          <w:sz w:val="28"/>
          <w:szCs w:val="28"/>
          <w:vertAlign w:val="superscript"/>
          <w:lang w:val="en-US"/>
        </w:rPr>
        <w:t>1,2</w:t>
      </w:r>
      <w:r w:rsidRPr="00587927">
        <w:rPr>
          <w:rFonts w:ascii="Times New Roman" w:hAnsi="Times New Roman" w:cs="Times New Roman"/>
          <w:sz w:val="28"/>
          <w:szCs w:val="28"/>
          <w:lang w:val="en-US"/>
        </w:rPr>
        <w:t>, S. V. Korenev</w:t>
      </w:r>
      <w:r w:rsidRPr="00587927">
        <w:rPr>
          <w:rFonts w:ascii="Times New Roman" w:hAnsi="Times New Roman" w:cs="Times New Roman"/>
          <w:sz w:val="28"/>
          <w:szCs w:val="28"/>
          <w:vertAlign w:val="superscript"/>
          <w:lang w:val="en-US"/>
        </w:rPr>
        <w:t>1</w:t>
      </w:r>
      <w:r w:rsidRPr="00587927">
        <w:rPr>
          <w:rFonts w:ascii="Times New Roman" w:hAnsi="Times New Roman" w:cs="Times New Roman"/>
          <w:sz w:val="28"/>
          <w:szCs w:val="28"/>
          <w:lang w:val="en-US"/>
        </w:rPr>
        <w:t>, E. N. Kolokoltseva</w:t>
      </w:r>
      <w:r w:rsidRPr="00587927">
        <w:rPr>
          <w:rFonts w:ascii="Times New Roman" w:hAnsi="Times New Roman" w:cs="Times New Roman"/>
          <w:sz w:val="28"/>
          <w:szCs w:val="28"/>
          <w:vertAlign w:val="superscript"/>
          <w:lang w:val="en-US"/>
        </w:rPr>
        <w:t>1</w:t>
      </w:r>
      <w:r w:rsidRPr="00587927">
        <w:rPr>
          <w:rFonts w:ascii="Times New Roman" w:hAnsi="Times New Roman" w:cs="Times New Roman"/>
          <w:sz w:val="28"/>
          <w:szCs w:val="28"/>
          <w:lang w:val="en-US"/>
        </w:rPr>
        <w:t>, V. S. Denisyuk</w:t>
      </w:r>
      <w:r w:rsidRPr="00587927">
        <w:rPr>
          <w:rFonts w:ascii="Times New Roman" w:hAnsi="Times New Roman" w:cs="Times New Roman"/>
          <w:sz w:val="28"/>
          <w:szCs w:val="28"/>
          <w:vertAlign w:val="superscript"/>
          <w:lang w:val="en-US"/>
        </w:rPr>
        <w:t>1</w:t>
      </w:r>
      <w:r w:rsidRPr="00587927">
        <w:rPr>
          <w:rFonts w:ascii="Times New Roman" w:hAnsi="Times New Roman" w:cs="Times New Roman"/>
          <w:sz w:val="28"/>
          <w:szCs w:val="28"/>
          <w:lang w:val="en-US"/>
        </w:rPr>
        <w:t>, S. B. Rumovskaya</w:t>
      </w:r>
      <w:r w:rsidRPr="00587927">
        <w:rPr>
          <w:rFonts w:ascii="Times New Roman" w:hAnsi="Times New Roman" w:cs="Times New Roman"/>
          <w:sz w:val="28"/>
          <w:szCs w:val="28"/>
          <w:vertAlign w:val="superscript"/>
          <w:lang w:val="en-US"/>
        </w:rPr>
        <w:t>1</w:t>
      </w:r>
    </w:p>
    <w:p w:rsidR="00A21F13" w:rsidRPr="00587927" w:rsidRDefault="00A21F13" w:rsidP="00A21F13">
      <w:pPr>
        <w:spacing w:after="0" w:line="240" w:lineRule="auto"/>
        <w:jc w:val="both"/>
        <w:rPr>
          <w:rFonts w:ascii="Times New Roman" w:hAnsi="Times New Roman" w:cs="Times New Roman"/>
          <w:sz w:val="28"/>
          <w:szCs w:val="28"/>
          <w:lang w:val="en-US"/>
        </w:rPr>
      </w:pPr>
      <w:r w:rsidRPr="00587927">
        <w:rPr>
          <w:rFonts w:ascii="Times New Roman" w:hAnsi="Times New Roman" w:cs="Times New Roman"/>
          <w:sz w:val="28"/>
          <w:szCs w:val="28"/>
          <w:vertAlign w:val="superscript"/>
          <w:lang w:val="en-US"/>
        </w:rPr>
        <w:t>1</w:t>
      </w:r>
      <w:r w:rsidRPr="00587927">
        <w:rPr>
          <w:rFonts w:ascii="Times New Roman" w:hAnsi="Times New Roman" w:cs="Times New Roman"/>
          <w:sz w:val="28"/>
          <w:szCs w:val="28"/>
          <w:lang w:val="en-US"/>
        </w:rPr>
        <w:t>Immanuel Kant Baltic Federal University</w:t>
      </w:r>
    </w:p>
    <w:p w:rsidR="00A21F13" w:rsidRPr="00587927" w:rsidRDefault="00A21F13" w:rsidP="00A21F13">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sz w:val="28"/>
          <w:szCs w:val="28"/>
          <w:vertAlign w:val="superscript"/>
          <w:lang w:val="en-US"/>
        </w:rPr>
        <w:t>2</w:t>
      </w:r>
      <w:r w:rsidRPr="00587927">
        <w:rPr>
          <w:rFonts w:ascii="Times New Roman" w:hAnsi="Times New Roman" w:cs="Times New Roman"/>
          <w:sz w:val="28"/>
          <w:szCs w:val="28"/>
          <w:lang w:val="en-US"/>
        </w:rPr>
        <w:t>Kaliningral Regional Clinical Hospital, Kaliningrad, Russia</w:t>
      </w:r>
    </w:p>
    <w:p w:rsidR="00A21F13" w:rsidRPr="00587927" w:rsidRDefault="00A21F13" w:rsidP="00A21F13">
      <w:pPr>
        <w:spacing w:after="0" w:line="240" w:lineRule="auto"/>
        <w:jc w:val="both"/>
        <w:rPr>
          <w:rFonts w:ascii="Times New Roman" w:hAnsi="Times New Roman" w:cs="Times New Roman"/>
          <w:sz w:val="28"/>
          <w:szCs w:val="28"/>
          <w:lang w:val="uk-UA"/>
        </w:rPr>
      </w:pPr>
    </w:p>
    <w:p w:rsidR="00A21F13" w:rsidRPr="00587927" w:rsidRDefault="00A21F13" w:rsidP="00A21F13">
      <w:pPr>
        <w:spacing w:after="0" w:line="240" w:lineRule="auto"/>
        <w:jc w:val="both"/>
        <w:rPr>
          <w:rFonts w:ascii="Times New Roman" w:hAnsi="Times New Roman" w:cs="Times New Roman"/>
          <w:sz w:val="28"/>
          <w:szCs w:val="28"/>
          <w:lang w:val="uk-UA"/>
        </w:rPr>
      </w:pPr>
      <w:r w:rsidRPr="00587927">
        <w:rPr>
          <w:rFonts w:ascii="Times New Roman" w:hAnsi="Times New Roman" w:cs="Times New Roman"/>
          <w:b/>
          <w:sz w:val="28"/>
          <w:szCs w:val="28"/>
          <w:lang w:val="en-US"/>
        </w:rPr>
        <w:t>Key</w:t>
      </w:r>
      <w:r w:rsidRPr="00587927">
        <w:rPr>
          <w:rFonts w:ascii="Times New Roman" w:hAnsi="Times New Roman" w:cs="Times New Roman"/>
          <w:b/>
          <w:sz w:val="28"/>
          <w:szCs w:val="28"/>
          <w:lang w:val="uk-UA"/>
        </w:rPr>
        <w:t xml:space="preserve"> </w:t>
      </w:r>
      <w:r w:rsidRPr="00587927">
        <w:rPr>
          <w:rFonts w:ascii="Times New Roman" w:hAnsi="Times New Roman" w:cs="Times New Roman"/>
          <w:b/>
          <w:sz w:val="28"/>
          <w:szCs w:val="28"/>
          <w:lang w:val="en-US"/>
        </w:rPr>
        <w:t>words:</w:t>
      </w:r>
      <w:r w:rsidRPr="00587927">
        <w:rPr>
          <w:rFonts w:ascii="Times New Roman" w:hAnsi="Times New Roman" w:cs="Times New Roman"/>
          <w:sz w:val="28"/>
          <w:szCs w:val="28"/>
          <w:lang w:val="en-US"/>
        </w:rPr>
        <w:t xml:space="preserve"> pancreatic cancer, chronic pancreatitis, differential diagnosis, tumor markers, diagnostic biomarkers, CA 19-9, K-RAS, miRNA</w:t>
      </w:r>
    </w:p>
    <w:p w:rsidR="00A21F13" w:rsidRPr="00587927" w:rsidRDefault="00A21F13" w:rsidP="00A21F13">
      <w:pPr>
        <w:spacing w:after="0" w:line="240" w:lineRule="auto"/>
        <w:jc w:val="both"/>
        <w:rPr>
          <w:rFonts w:ascii="Times New Roman" w:hAnsi="Times New Roman" w:cs="Times New Roman"/>
          <w:sz w:val="28"/>
          <w:szCs w:val="28"/>
          <w:lang w:val="en-US"/>
        </w:rPr>
      </w:pPr>
      <w:r w:rsidRPr="00587927">
        <w:rPr>
          <w:rFonts w:ascii="Times New Roman" w:hAnsi="Times New Roman" w:cs="Times New Roman"/>
          <w:sz w:val="28"/>
          <w:szCs w:val="28"/>
          <w:lang w:val="en-US"/>
        </w:rPr>
        <w:lastRenderedPageBreak/>
        <w:t>Pancreatic cancer (PC) prevalence has steadily increased in recent years. It is untimely diagnosed due to prolonged asymptomatic course, minor changes in routine laboratory indices, lack of informative value of standard visualizing techniques. In this regard, attention is paid to determination of PC risk factors and establishment of biomarkers (diagnostic, prognostic, predictive) for pancreatic neoplastic transformation on the background of chronic pancreatitis.</w:t>
      </w:r>
    </w:p>
    <w:p w:rsidR="00A21F13" w:rsidRPr="00587927" w:rsidRDefault="00A21F13" w:rsidP="00A21F13">
      <w:pPr>
        <w:spacing w:after="0" w:line="240" w:lineRule="auto"/>
        <w:jc w:val="both"/>
        <w:rPr>
          <w:rFonts w:ascii="Times New Roman" w:hAnsi="Times New Roman" w:cs="Times New Roman"/>
          <w:sz w:val="28"/>
          <w:szCs w:val="28"/>
          <w:lang w:val="en-US"/>
        </w:rPr>
      </w:pPr>
      <w:r w:rsidRPr="00587927">
        <w:rPr>
          <w:rFonts w:ascii="Times New Roman" w:hAnsi="Times New Roman" w:cs="Times New Roman"/>
          <w:sz w:val="28"/>
          <w:szCs w:val="28"/>
          <w:lang w:val="en-US"/>
        </w:rPr>
        <w:t xml:space="preserve">Non-inherited PC risk factors include old age, smoking, chronic pancreatitis, Helicobacter pylori/hepatitis B virus infection, obesity, diabetes mellitus. PC family history, family adenomatous polyposis, carriage of mutant genes (PRSS1, SPINK1, BRCA2) dominate among hereditary risk factors. Biomarkers can be used not only for early non-invasive diagnosis of PC, but also for differential diagnosis between chronic pancreatitis and PC. </w:t>
      </w:r>
      <w:r w:rsidR="00D22B86" w:rsidRPr="00587927">
        <w:rPr>
          <w:rFonts w:ascii="Times New Roman" w:hAnsi="Times New Roman" w:cs="Times New Roman"/>
          <w:sz w:val="28"/>
          <w:szCs w:val="28"/>
          <w:lang w:val="en-US"/>
        </w:rPr>
        <w:t>S</w:t>
      </w:r>
      <w:r w:rsidRPr="00587927">
        <w:rPr>
          <w:rFonts w:ascii="Times New Roman" w:hAnsi="Times New Roman" w:cs="Times New Roman"/>
          <w:sz w:val="28"/>
          <w:szCs w:val="28"/>
          <w:lang w:val="en-US"/>
        </w:rPr>
        <w:t xml:space="preserve">ensitivity and specificity of various </w:t>
      </w:r>
      <w:r w:rsidR="00D22B86" w:rsidRPr="00587927">
        <w:rPr>
          <w:rFonts w:ascii="Times New Roman" w:hAnsi="Times New Roman" w:cs="Times New Roman"/>
          <w:sz w:val="28"/>
          <w:szCs w:val="28"/>
          <w:lang w:val="en-US"/>
        </w:rPr>
        <w:t xml:space="preserve">PC </w:t>
      </w:r>
      <w:r w:rsidRPr="00587927">
        <w:rPr>
          <w:rFonts w:ascii="Times New Roman" w:hAnsi="Times New Roman" w:cs="Times New Roman"/>
          <w:sz w:val="28"/>
          <w:szCs w:val="28"/>
          <w:lang w:val="en-US"/>
        </w:rPr>
        <w:t>serum markers</w:t>
      </w:r>
      <w:r w:rsidR="00D22B86" w:rsidRPr="00587927">
        <w:rPr>
          <w:rFonts w:ascii="Times New Roman" w:hAnsi="Times New Roman" w:cs="Times New Roman"/>
          <w:sz w:val="28"/>
          <w:szCs w:val="28"/>
          <w:lang w:val="en-US"/>
        </w:rPr>
        <w:t>, such as CA 19-9, PAM4, MIC-1,</w:t>
      </w:r>
      <w:r w:rsidRPr="00587927">
        <w:rPr>
          <w:rFonts w:ascii="Times New Roman" w:hAnsi="Times New Roman" w:cs="Times New Roman"/>
          <w:sz w:val="28"/>
          <w:szCs w:val="28"/>
          <w:lang w:val="en-US"/>
        </w:rPr>
        <w:t xml:space="preserve"> </w:t>
      </w:r>
      <w:r w:rsidR="00D22B86" w:rsidRPr="00587927">
        <w:rPr>
          <w:rFonts w:ascii="Times New Roman" w:hAnsi="Times New Roman" w:cs="Times New Roman"/>
          <w:sz w:val="28"/>
          <w:szCs w:val="28"/>
          <w:lang w:val="en-US"/>
        </w:rPr>
        <w:t>are analyzed in the article</w:t>
      </w:r>
      <w:r w:rsidRPr="00587927">
        <w:rPr>
          <w:rFonts w:ascii="Times New Roman" w:hAnsi="Times New Roman" w:cs="Times New Roman"/>
          <w:sz w:val="28"/>
          <w:szCs w:val="28"/>
          <w:lang w:val="en-US"/>
        </w:rPr>
        <w:t xml:space="preserve">. It is possible to distinguish PC from autoimmune pancreatitis by determining the serum concentration of IgG4. In addition to blood serum, fecal masses (K-RAS, BMP3) and saliva (KRAS, MBD3L2, ACRV1 and DPM1) can be used to determine the potential markers of PC. New data of determination the fecal miRNAs as PC </w:t>
      </w:r>
      <w:r w:rsidR="00D22B86" w:rsidRPr="00587927">
        <w:rPr>
          <w:rFonts w:ascii="Times New Roman" w:hAnsi="Times New Roman" w:cs="Times New Roman"/>
          <w:sz w:val="28"/>
          <w:szCs w:val="28"/>
          <w:lang w:val="en-US"/>
        </w:rPr>
        <w:t>cancer biomarkers are presented, namely miR-21, miR-155 and miR-216</w:t>
      </w:r>
      <w:r w:rsidRPr="00587927">
        <w:rPr>
          <w:rFonts w:ascii="Times New Roman" w:hAnsi="Times New Roman" w:cs="Times New Roman"/>
          <w:sz w:val="28"/>
          <w:szCs w:val="28"/>
          <w:lang w:val="en-US"/>
        </w:rPr>
        <w:t xml:space="preserve">. </w:t>
      </w:r>
      <w:r w:rsidR="00D22B86" w:rsidRPr="00587927">
        <w:rPr>
          <w:rFonts w:ascii="Times New Roman" w:hAnsi="Times New Roman" w:cs="Times New Roman"/>
          <w:sz w:val="28"/>
          <w:szCs w:val="28"/>
          <w:lang w:val="en-US"/>
        </w:rPr>
        <w:t>M</w:t>
      </w:r>
      <w:r w:rsidRPr="00587927">
        <w:rPr>
          <w:rFonts w:ascii="Times New Roman" w:hAnsi="Times New Roman" w:cs="Times New Roman"/>
          <w:sz w:val="28"/>
          <w:szCs w:val="28"/>
          <w:lang w:val="en-US"/>
        </w:rPr>
        <w:t>ajority of PC biomarkers have not been introduced into a routine clinical practice</w:t>
      </w:r>
      <w:r w:rsidR="00D22B86" w:rsidRPr="00587927">
        <w:rPr>
          <w:rFonts w:ascii="Times New Roman" w:hAnsi="Times New Roman" w:cs="Times New Roman"/>
          <w:sz w:val="28"/>
          <w:szCs w:val="28"/>
          <w:lang w:val="en-US"/>
        </w:rPr>
        <w:t xml:space="preserve"> yet</w:t>
      </w:r>
      <w:r w:rsidRPr="00587927">
        <w:rPr>
          <w:rFonts w:ascii="Times New Roman" w:hAnsi="Times New Roman" w:cs="Times New Roman"/>
          <w:sz w:val="28"/>
          <w:szCs w:val="28"/>
          <w:lang w:val="en-US"/>
        </w:rPr>
        <w:t>, and research on their informative value is ongoing.</w:t>
      </w:r>
    </w:p>
    <w:sectPr w:rsidR="00A21F13" w:rsidRPr="00587927" w:rsidSect="009F1BD5">
      <w:pgSz w:w="11906" w:h="16838"/>
      <w:pgMar w:top="1134" w:right="849" w:bottom="114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4282"/>
    <w:multiLevelType w:val="hybridMultilevel"/>
    <w:tmpl w:val="E31E72DA"/>
    <w:lvl w:ilvl="0" w:tplc="DF4875E8">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DD54C75"/>
    <w:multiLevelType w:val="hybridMultilevel"/>
    <w:tmpl w:val="E230F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A60F31"/>
    <w:multiLevelType w:val="hybridMultilevel"/>
    <w:tmpl w:val="1F10E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3A5C16"/>
    <w:multiLevelType w:val="hybridMultilevel"/>
    <w:tmpl w:val="E4FE766E"/>
    <w:lvl w:ilvl="0" w:tplc="69A079D2">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7E437D8"/>
    <w:multiLevelType w:val="hybridMultilevel"/>
    <w:tmpl w:val="A808D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4"/>
    <w:rsid w:val="00001737"/>
    <w:rsid w:val="00006027"/>
    <w:rsid w:val="00033A37"/>
    <w:rsid w:val="00033F6A"/>
    <w:rsid w:val="000346AC"/>
    <w:rsid w:val="000353D2"/>
    <w:rsid w:val="00043445"/>
    <w:rsid w:val="000632D1"/>
    <w:rsid w:val="00071006"/>
    <w:rsid w:val="00071025"/>
    <w:rsid w:val="00092D3A"/>
    <w:rsid w:val="000B6A9F"/>
    <w:rsid w:val="000D2C56"/>
    <w:rsid w:val="000F4D5E"/>
    <w:rsid w:val="000F7E8D"/>
    <w:rsid w:val="00105D83"/>
    <w:rsid w:val="00115933"/>
    <w:rsid w:val="00130B6D"/>
    <w:rsid w:val="001352C4"/>
    <w:rsid w:val="001470C1"/>
    <w:rsid w:val="00152155"/>
    <w:rsid w:val="0016258E"/>
    <w:rsid w:val="00167098"/>
    <w:rsid w:val="001A6124"/>
    <w:rsid w:val="001B7ECC"/>
    <w:rsid w:val="001C06B5"/>
    <w:rsid w:val="001E0EB7"/>
    <w:rsid w:val="001E5C3A"/>
    <w:rsid w:val="001F239B"/>
    <w:rsid w:val="002164A7"/>
    <w:rsid w:val="002176D9"/>
    <w:rsid w:val="00222CEE"/>
    <w:rsid w:val="00226646"/>
    <w:rsid w:val="002324E7"/>
    <w:rsid w:val="00264385"/>
    <w:rsid w:val="0026779A"/>
    <w:rsid w:val="0027523A"/>
    <w:rsid w:val="00295FC4"/>
    <w:rsid w:val="00296B68"/>
    <w:rsid w:val="002A01AE"/>
    <w:rsid w:val="002B2AFD"/>
    <w:rsid w:val="002C1ABF"/>
    <w:rsid w:val="002C67E5"/>
    <w:rsid w:val="002D2AA9"/>
    <w:rsid w:val="002E293B"/>
    <w:rsid w:val="002E7A71"/>
    <w:rsid w:val="0030645D"/>
    <w:rsid w:val="00311891"/>
    <w:rsid w:val="0032289A"/>
    <w:rsid w:val="003323C3"/>
    <w:rsid w:val="0033485C"/>
    <w:rsid w:val="00344C57"/>
    <w:rsid w:val="003462B1"/>
    <w:rsid w:val="003502D9"/>
    <w:rsid w:val="00362230"/>
    <w:rsid w:val="00370FAD"/>
    <w:rsid w:val="00373E54"/>
    <w:rsid w:val="00381CD0"/>
    <w:rsid w:val="0039225B"/>
    <w:rsid w:val="003939D5"/>
    <w:rsid w:val="003A2115"/>
    <w:rsid w:val="003A6A45"/>
    <w:rsid w:val="003E5C66"/>
    <w:rsid w:val="003F1301"/>
    <w:rsid w:val="003F78FD"/>
    <w:rsid w:val="0040149D"/>
    <w:rsid w:val="0043133C"/>
    <w:rsid w:val="00433308"/>
    <w:rsid w:val="00434473"/>
    <w:rsid w:val="004377DF"/>
    <w:rsid w:val="00483034"/>
    <w:rsid w:val="00495954"/>
    <w:rsid w:val="004C4270"/>
    <w:rsid w:val="004D40B9"/>
    <w:rsid w:val="004D4782"/>
    <w:rsid w:val="004F7E98"/>
    <w:rsid w:val="00501612"/>
    <w:rsid w:val="00510FD6"/>
    <w:rsid w:val="00565D37"/>
    <w:rsid w:val="00581CB2"/>
    <w:rsid w:val="00582E41"/>
    <w:rsid w:val="005877C3"/>
    <w:rsid w:val="00587927"/>
    <w:rsid w:val="005A5654"/>
    <w:rsid w:val="005C07E9"/>
    <w:rsid w:val="005C1A9C"/>
    <w:rsid w:val="005C59A7"/>
    <w:rsid w:val="005D6B43"/>
    <w:rsid w:val="006017F6"/>
    <w:rsid w:val="006218CF"/>
    <w:rsid w:val="00630020"/>
    <w:rsid w:val="00631021"/>
    <w:rsid w:val="00632BB5"/>
    <w:rsid w:val="006334E1"/>
    <w:rsid w:val="006372C1"/>
    <w:rsid w:val="00641DFE"/>
    <w:rsid w:val="006446EE"/>
    <w:rsid w:val="00654B59"/>
    <w:rsid w:val="00670A95"/>
    <w:rsid w:val="006725B0"/>
    <w:rsid w:val="00673F24"/>
    <w:rsid w:val="0068562B"/>
    <w:rsid w:val="006B6376"/>
    <w:rsid w:val="006C7871"/>
    <w:rsid w:val="006D54C6"/>
    <w:rsid w:val="006E3A2C"/>
    <w:rsid w:val="00702C9F"/>
    <w:rsid w:val="00710839"/>
    <w:rsid w:val="007327C5"/>
    <w:rsid w:val="00737ACA"/>
    <w:rsid w:val="007459C2"/>
    <w:rsid w:val="00771BBD"/>
    <w:rsid w:val="00785CB6"/>
    <w:rsid w:val="0078657E"/>
    <w:rsid w:val="00787A1B"/>
    <w:rsid w:val="007B00AC"/>
    <w:rsid w:val="007B01E5"/>
    <w:rsid w:val="007D160D"/>
    <w:rsid w:val="007E01B2"/>
    <w:rsid w:val="007E43B0"/>
    <w:rsid w:val="007F5585"/>
    <w:rsid w:val="008034F3"/>
    <w:rsid w:val="0080350C"/>
    <w:rsid w:val="00822904"/>
    <w:rsid w:val="00827CF2"/>
    <w:rsid w:val="00835B46"/>
    <w:rsid w:val="0085312F"/>
    <w:rsid w:val="00855848"/>
    <w:rsid w:val="00855CAB"/>
    <w:rsid w:val="00884A87"/>
    <w:rsid w:val="008A6833"/>
    <w:rsid w:val="008B71F5"/>
    <w:rsid w:val="008D597F"/>
    <w:rsid w:val="008D6A90"/>
    <w:rsid w:val="008E16E2"/>
    <w:rsid w:val="008F2E0D"/>
    <w:rsid w:val="00904DD2"/>
    <w:rsid w:val="009314F7"/>
    <w:rsid w:val="009409E9"/>
    <w:rsid w:val="0094453F"/>
    <w:rsid w:val="00951CD2"/>
    <w:rsid w:val="00964BD2"/>
    <w:rsid w:val="00994A69"/>
    <w:rsid w:val="009A6B4E"/>
    <w:rsid w:val="009E000C"/>
    <w:rsid w:val="009F0B42"/>
    <w:rsid w:val="009F1BD5"/>
    <w:rsid w:val="00A01029"/>
    <w:rsid w:val="00A01F20"/>
    <w:rsid w:val="00A07567"/>
    <w:rsid w:val="00A07FD7"/>
    <w:rsid w:val="00A12BC9"/>
    <w:rsid w:val="00A21F13"/>
    <w:rsid w:val="00A2370B"/>
    <w:rsid w:val="00A27A34"/>
    <w:rsid w:val="00A623D5"/>
    <w:rsid w:val="00A629A2"/>
    <w:rsid w:val="00AA09BA"/>
    <w:rsid w:val="00AA2E72"/>
    <w:rsid w:val="00AA474F"/>
    <w:rsid w:val="00AB3539"/>
    <w:rsid w:val="00AB42A7"/>
    <w:rsid w:val="00AC5C04"/>
    <w:rsid w:val="00AC7C7B"/>
    <w:rsid w:val="00AD1A7B"/>
    <w:rsid w:val="00AE1E54"/>
    <w:rsid w:val="00AE25A3"/>
    <w:rsid w:val="00AE2F84"/>
    <w:rsid w:val="00AE3B7C"/>
    <w:rsid w:val="00AE69A1"/>
    <w:rsid w:val="00AF40F5"/>
    <w:rsid w:val="00AF5CBF"/>
    <w:rsid w:val="00B0073E"/>
    <w:rsid w:val="00B05607"/>
    <w:rsid w:val="00B137F9"/>
    <w:rsid w:val="00B17219"/>
    <w:rsid w:val="00B22C0F"/>
    <w:rsid w:val="00B3501A"/>
    <w:rsid w:val="00B41178"/>
    <w:rsid w:val="00B41E66"/>
    <w:rsid w:val="00B60A44"/>
    <w:rsid w:val="00B65792"/>
    <w:rsid w:val="00B66948"/>
    <w:rsid w:val="00B82A49"/>
    <w:rsid w:val="00B83CEF"/>
    <w:rsid w:val="00B90DBE"/>
    <w:rsid w:val="00BA022B"/>
    <w:rsid w:val="00BA50D6"/>
    <w:rsid w:val="00BA5DC8"/>
    <w:rsid w:val="00BC08C2"/>
    <w:rsid w:val="00BE1D47"/>
    <w:rsid w:val="00BF2BCA"/>
    <w:rsid w:val="00C04C35"/>
    <w:rsid w:val="00C50EDA"/>
    <w:rsid w:val="00C5672E"/>
    <w:rsid w:val="00C62ACE"/>
    <w:rsid w:val="00C637E7"/>
    <w:rsid w:val="00C64B78"/>
    <w:rsid w:val="00C64DC4"/>
    <w:rsid w:val="00C8541A"/>
    <w:rsid w:val="00C86879"/>
    <w:rsid w:val="00C92A83"/>
    <w:rsid w:val="00CA3E64"/>
    <w:rsid w:val="00CA5268"/>
    <w:rsid w:val="00CB4FD2"/>
    <w:rsid w:val="00CC6E9D"/>
    <w:rsid w:val="00CE04E1"/>
    <w:rsid w:val="00D22B86"/>
    <w:rsid w:val="00D23F5A"/>
    <w:rsid w:val="00D2400E"/>
    <w:rsid w:val="00D2491E"/>
    <w:rsid w:val="00D34909"/>
    <w:rsid w:val="00D610AA"/>
    <w:rsid w:val="00D67EE1"/>
    <w:rsid w:val="00D879C0"/>
    <w:rsid w:val="00D93210"/>
    <w:rsid w:val="00DB32F9"/>
    <w:rsid w:val="00DD1043"/>
    <w:rsid w:val="00DD2FD1"/>
    <w:rsid w:val="00DE1B0E"/>
    <w:rsid w:val="00E1343A"/>
    <w:rsid w:val="00E13878"/>
    <w:rsid w:val="00E15FA6"/>
    <w:rsid w:val="00E37CE9"/>
    <w:rsid w:val="00E42866"/>
    <w:rsid w:val="00E6198A"/>
    <w:rsid w:val="00E64D5E"/>
    <w:rsid w:val="00E97E66"/>
    <w:rsid w:val="00EB3559"/>
    <w:rsid w:val="00EC7458"/>
    <w:rsid w:val="00ED37EC"/>
    <w:rsid w:val="00F0463B"/>
    <w:rsid w:val="00F1111B"/>
    <w:rsid w:val="00F210D4"/>
    <w:rsid w:val="00F31D05"/>
    <w:rsid w:val="00F3740D"/>
    <w:rsid w:val="00F3765D"/>
    <w:rsid w:val="00F41079"/>
    <w:rsid w:val="00F46954"/>
    <w:rsid w:val="00F52EB2"/>
    <w:rsid w:val="00F56AC5"/>
    <w:rsid w:val="00F666CB"/>
    <w:rsid w:val="00F8076D"/>
    <w:rsid w:val="00F857D2"/>
    <w:rsid w:val="00F86461"/>
    <w:rsid w:val="00F878D9"/>
    <w:rsid w:val="00F946A8"/>
    <w:rsid w:val="00FA7218"/>
    <w:rsid w:val="00FA79D6"/>
    <w:rsid w:val="00FA7D27"/>
    <w:rsid w:val="00FB27E8"/>
    <w:rsid w:val="00FC004C"/>
    <w:rsid w:val="00FD425F"/>
    <w:rsid w:val="00FD5F59"/>
    <w:rsid w:val="00FD7231"/>
    <w:rsid w:val="00FE3FAB"/>
    <w:rsid w:val="00FE6968"/>
    <w:rsid w:val="00FF26A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2EBB"/>
  <w15:docId w15:val="{822B80DE-84C6-43DF-9417-0C1BB2C8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t-edited">
    <w:name w:val="alt-edited"/>
    <w:basedOn w:val="a0"/>
    <w:rsid w:val="00CB4FD2"/>
  </w:style>
  <w:style w:type="table" w:customStyle="1" w:styleId="21">
    <w:name w:val="Таблица простая 21"/>
    <w:basedOn w:val="a1"/>
    <w:uiPriority w:val="42"/>
    <w:rsid w:val="003502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3">
    <w:name w:val="Balloon Text"/>
    <w:basedOn w:val="a"/>
    <w:link w:val="a4"/>
    <w:uiPriority w:val="99"/>
    <w:semiHidden/>
    <w:unhideWhenUsed/>
    <w:rsid w:val="00FD5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5F59"/>
    <w:rPr>
      <w:rFonts w:ascii="Tahoma" w:hAnsi="Tahoma" w:cs="Tahoma"/>
      <w:sz w:val="16"/>
      <w:szCs w:val="16"/>
    </w:rPr>
  </w:style>
  <w:style w:type="paragraph" w:styleId="a5">
    <w:name w:val="List Paragraph"/>
    <w:basedOn w:val="a"/>
    <w:uiPriority w:val="34"/>
    <w:qFormat/>
    <w:rsid w:val="004D40B9"/>
    <w:pPr>
      <w:ind w:left="720"/>
      <w:contextualSpacing/>
    </w:pPr>
  </w:style>
  <w:style w:type="character" w:styleId="a6">
    <w:name w:val="Hyperlink"/>
    <w:basedOn w:val="a0"/>
    <w:uiPriority w:val="99"/>
    <w:unhideWhenUsed/>
    <w:rsid w:val="00BA50D6"/>
    <w:rPr>
      <w:color w:val="0000FF" w:themeColor="hyperlink"/>
      <w:u w:val="single"/>
    </w:rPr>
  </w:style>
  <w:style w:type="character" w:customStyle="1" w:styleId="1">
    <w:name w:val="Неразрешенное упоминание1"/>
    <w:basedOn w:val="a0"/>
    <w:uiPriority w:val="99"/>
    <w:semiHidden/>
    <w:unhideWhenUsed/>
    <w:rsid w:val="00F3765D"/>
    <w:rPr>
      <w:color w:val="605E5C"/>
      <w:shd w:val="clear" w:color="auto" w:fill="E1DFDD"/>
    </w:rPr>
  </w:style>
  <w:style w:type="character" w:customStyle="1" w:styleId="nlmarticle-title">
    <w:name w:val="nlm_article-title"/>
    <w:basedOn w:val="a0"/>
    <w:rsid w:val="00A01029"/>
  </w:style>
  <w:style w:type="character" w:customStyle="1" w:styleId="nlmyear">
    <w:name w:val="nlm_year"/>
    <w:basedOn w:val="a0"/>
    <w:rsid w:val="00A01029"/>
  </w:style>
  <w:style w:type="character" w:customStyle="1" w:styleId="nlmfpage">
    <w:name w:val="nlm_fpage"/>
    <w:basedOn w:val="a0"/>
    <w:rsid w:val="00A01029"/>
  </w:style>
  <w:style w:type="character" w:customStyle="1" w:styleId="nlmlpage">
    <w:name w:val="nlm_lpage"/>
    <w:basedOn w:val="a0"/>
    <w:rsid w:val="00A01029"/>
  </w:style>
  <w:style w:type="paragraph" w:styleId="HTML">
    <w:name w:val="HTML Preformatted"/>
    <w:basedOn w:val="a"/>
    <w:link w:val="HTML0"/>
    <w:uiPriority w:val="99"/>
    <w:unhideWhenUsed/>
    <w:rsid w:val="00A0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01029"/>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7F5585"/>
    <w:rPr>
      <w:sz w:val="16"/>
      <w:szCs w:val="16"/>
    </w:rPr>
  </w:style>
  <w:style w:type="paragraph" w:styleId="a8">
    <w:name w:val="annotation text"/>
    <w:basedOn w:val="a"/>
    <w:link w:val="a9"/>
    <w:uiPriority w:val="99"/>
    <w:semiHidden/>
    <w:unhideWhenUsed/>
    <w:rsid w:val="007F5585"/>
    <w:pPr>
      <w:spacing w:line="240" w:lineRule="auto"/>
    </w:pPr>
    <w:rPr>
      <w:sz w:val="20"/>
      <w:szCs w:val="20"/>
    </w:rPr>
  </w:style>
  <w:style w:type="character" w:customStyle="1" w:styleId="a9">
    <w:name w:val="Текст примечания Знак"/>
    <w:basedOn w:val="a0"/>
    <w:link w:val="a8"/>
    <w:uiPriority w:val="99"/>
    <w:semiHidden/>
    <w:rsid w:val="007F5585"/>
    <w:rPr>
      <w:sz w:val="20"/>
      <w:szCs w:val="20"/>
    </w:rPr>
  </w:style>
  <w:style w:type="paragraph" w:styleId="aa">
    <w:name w:val="annotation subject"/>
    <w:basedOn w:val="a8"/>
    <w:next w:val="a8"/>
    <w:link w:val="ab"/>
    <w:uiPriority w:val="99"/>
    <w:semiHidden/>
    <w:unhideWhenUsed/>
    <w:rsid w:val="007F5585"/>
    <w:rPr>
      <w:b/>
      <w:bCs/>
    </w:rPr>
  </w:style>
  <w:style w:type="character" w:customStyle="1" w:styleId="ab">
    <w:name w:val="Тема примечания Знак"/>
    <w:basedOn w:val="a9"/>
    <w:link w:val="aa"/>
    <w:uiPriority w:val="99"/>
    <w:semiHidden/>
    <w:rsid w:val="007F5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251">
      <w:bodyDiv w:val="1"/>
      <w:marLeft w:val="0"/>
      <w:marRight w:val="0"/>
      <w:marTop w:val="0"/>
      <w:marBottom w:val="0"/>
      <w:divBdr>
        <w:top w:val="none" w:sz="0" w:space="0" w:color="auto"/>
        <w:left w:val="none" w:sz="0" w:space="0" w:color="auto"/>
        <w:bottom w:val="none" w:sz="0" w:space="0" w:color="auto"/>
        <w:right w:val="none" w:sz="0" w:space="0" w:color="auto"/>
      </w:divBdr>
    </w:div>
    <w:div w:id="25065406">
      <w:bodyDiv w:val="1"/>
      <w:marLeft w:val="0"/>
      <w:marRight w:val="0"/>
      <w:marTop w:val="0"/>
      <w:marBottom w:val="0"/>
      <w:divBdr>
        <w:top w:val="none" w:sz="0" w:space="0" w:color="auto"/>
        <w:left w:val="none" w:sz="0" w:space="0" w:color="auto"/>
        <w:bottom w:val="none" w:sz="0" w:space="0" w:color="auto"/>
        <w:right w:val="none" w:sz="0" w:space="0" w:color="auto"/>
      </w:divBdr>
    </w:div>
    <w:div w:id="29033044">
      <w:bodyDiv w:val="1"/>
      <w:marLeft w:val="0"/>
      <w:marRight w:val="0"/>
      <w:marTop w:val="0"/>
      <w:marBottom w:val="0"/>
      <w:divBdr>
        <w:top w:val="none" w:sz="0" w:space="0" w:color="auto"/>
        <w:left w:val="none" w:sz="0" w:space="0" w:color="auto"/>
        <w:bottom w:val="none" w:sz="0" w:space="0" w:color="auto"/>
        <w:right w:val="none" w:sz="0" w:space="0" w:color="auto"/>
      </w:divBdr>
    </w:div>
    <w:div w:id="34821094">
      <w:bodyDiv w:val="1"/>
      <w:marLeft w:val="0"/>
      <w:marRight w:val="0"/>
      <w:marTop w:val="0"/>
      <w:marBottom w:val="0"/>
      <w:divBdr>
        <w:top w:val="none" w:sz="0" w:space="0" w:color="auto"/>
        <w:left w:val="none" w:sz="0" w:space="0" w:color="auto"/>
        <w:bottom w:val="none" w:sz="0" w:space="0" w:color="auto"/>
        <w:right w:val="none" w:sz="0" w:space="0" w:color="auto"/>
      </w:divBdr>
    </w:div>
    <w:div w:id="38629048">
      <w:bodyDiv w:val="1"/>
      <w:marLeft w:val="0"/>
      <w:marRight w:val="0"/>
      <w:marTop w:val="0"/>
      <w:marBottom w:val="0"/>
      <w:divBdr>
        <w:top w:val="none" w:sz="0" w:space="0" w:color="auto"/>
        <w:left w:val="none" w:sz="0" w:space="0" w:color="auto"/>
        <w:bottom w:val="none" w:sz="0" w:space="0" w:color="auto"/>
        <w:right w:val="none" w:sz="0" w:space="0" w:color="auto"/>
      </w:divBdr>
    </w:div>
    <w:div w:id="112481957">
      <w:bodyDiv w:val="1"/>
      <w:marLeft w:val="0"/>
      <w:marRight w:val="0"/>
      <w:marTop w:val="0"/>
      <w:marBottom w:val="0"/>
      <w:divBdr>
        <w:top w:val="none" w:sz="0" w:space="0" w:color="auto"/>
        <w:left w:val="none" w:sz="0" w:space="0" w:color="auto"/>
        <w:bottom w:val="none" w:sz="0" w:space="0" w:color="auto"/>
        <w:right w:val="none" w:sz="0" w:space="0" w:color="auto"/>
      </w:divBdr>
    </w:div>
    <w:div w:id="137380220">
      <w:bodyDiv w:val="1"/>
      <w:marLeft w:val="0"/>
      <w:marRight w:val="0"/>
      <w:marTop w:val="0"/>
      <w:marBottom w:val="0"/>
      <w:divBdr>
        <w:top w:val="none" w:sz="0" w:space="0" w:color="auto"/>
        <w:left w:val="none" w:sz="0" w:space="0" w:color="auto"/>
        <w:bottom w:val="none" w:sz="0" w:space="0" w:color="auto"/>
        <w:right w:val="none" w:sz="0" w:space="0" w:color="auto"/>
      </w:divBdr>
    </w:div>
    <w:div w:id="226184796">
      <w:bodyDiv w:val="1"/>
      <w:marLeft w:val="0"/>
      <w:marRight w:val="0"/>
      <w:marTop w:val="0"/>
      <w:marBottom w:val="0"/>
      <w:divBdr>
        <w:top w:val="none" w:sz="0" w:space="0" w:color="auto"/>
        <w:left w:val="none" w:sz="0" w:space="0" w:color="auto"/>
        <w:bottom w:val="none" w:sz="0" w:space="0" w:color="auto"/>
        <w:right w:val="none" w:sz="0" w:space="0" w:color="auto"/>
      </w:divBdr>
    </w:div>
    <w:div w:id="259724815">
      <w:bodyDiv w:val="1"/>
      <w:marLeft w:val="0"/>
      <w:marRight w:val="0"/>
      <w:marTop w:val="0"/>
      <w:marBottom w:val="0"/>
      <w:divBdr>
        <w:top w:val="none" w:sz="0" w:space="0" w:color="auto"/>
        <w:left w:val="none" w:sz="0" w:space="0" w:color="auto"/>
        <w:bottom w:val="none" w:sz="0" w:space="0" w:color="auto"/>
        <w:right w:val="none" w:sz="0" w:space="0" w:color="auto"/>
      </w:divBdr>
    </w:div>
    <w:div w:id="268391851">
      <w:bodyDiv w:val="1"/>
      <w:marLeft w:val="0"/>
      <w:marRight w:val="0"/>
      <w:marTop w:val="0"/>
      <w:marBottom w:val="0"/>
      <w:divBdr>
        <w:top w:val="none" w:sz="0" w:space="0" w:color="auto"/>
        <w:left w:val="none" w:sz="0" w:space="0" w:color="auto"/>
        <w:bottom w:val="none" w:sz="0" w:space="0" w:color="auto"/>
        <w:right w:val="none" w:sz="0" w:space="0" w:color="auto"/>
      </w:divBdr>
    </w:div>
    <w:div w:id="274480626">
      <w:bodyDiv w:val="1"/>
      <w:marLeft w:val="0"/>
      <w:marRight w:val="0"/>
      <w:marTop w:val="0"/>
      <w:marBottom w:val="0"/>
      <w:divBdr>
        <w:top w:val="none" w:sz="0" w:space="0" w:color="auto"/>
        <w:left w:val="none" w:sz="0" w:space="0" w:color="auto"/>
        <w:bottom w:val="none" w:sz="0" w:space="0" w:color="auto"/>
        <w:right w:val="none" w:sz="0" w:space="0" w:color="auto"/>
      </w:divBdr>
    </w:div>
    <w:div w:id="452755123">
      <w:bodyDiv w:val="1"/>
      <w:marLeft w:val="0"/>
      <w:marRight w:val="0"/>
      <w:marTop w:val="0"/>
      <w:marBottom w:val="0"/>
      <w:divBdr>
        <w:top w:val="none" w:sz="0" w:space="0" w:color="auto"/>
        <w:left w:val="none" w:sz="0" w:space="0" w:color="auto"/>
        <w:bottom w:val="none" w:sz="0" w:space="0" w:color="auto"/>
        <w:right w:val="none" w:sz="0" w:space="0" w:color="auto"/>
      </w:divBdr>
    </w:div>
    <w:div w:id="470247273">
      <w:bodyDiv w:val="1"/>
      <w:marLeft w:val="0"/>
      <w:marRight w:val="0"/>
      <w:marTop w:val="0"/>
      <w:marBottom w:val="0"/>
      <w:divBdr>
        <w:top w:val="none" w:sz="0" w:space="0" w:color="auto"/>
        <w:left w:val="none" w:sz="0" w:space="0" w:color="auto"/>
        <w:bottom w:val="none" w:sz="0" w:space="0" w:color="auto"/>
        <w:right w:val="none" w:sz="0" w:space="0" w:color="auto"/>
      </w:divBdr>
    </w:div>
    <w:div w:id="509104206">
      <w:bodyDiv w:val="1"/>
      <w:marLeft w:val="0"/>
      <w:marRight w:val="0"/>
      <w:marTop w:val="0"/>
      <w:marBottom w:val="0"/>
      <w:divBdr>
        <w:top w:val="none" w:sz="0" w:space="0" w:color="auto"/>
        <w:left w:val="none" w:sz="0" w:space="0" w:color="auto"/>
        <w:bottom w:val="none" w:sz="0" w:space="0" w:color="auto"/>
        <w:right w:val="none" w:sz="0" w:space="0" w:color="auto"/>
      </w:divBdr>
    </w:div>
    <w:div w:id="511116612">
      <w:bodyDiv w:val="1"/>
      <w:marLeft w:val="0"/>
      <w:marRight w:val="0"/>
      <w:marTop w:val="0"/>
      <w:marBottom w:val="0"/>
      <w:divBdr>
        <w:top w:val="none" w:sz="0" w:space="0" w:color="auto"/>
        <w:left w:val="none" w:sz="0" w:space="0" w:color="auto"/>
        <w:bottom w:val="none" w:sz="0" w:space="0" w:color="auto"/>
        <w:right w:val="none" w:sz="0" w:space="0" w:color="auto"/>
      </w:divBdr>
    </w:div>
    <w:div w:id="542445014">
      <w:bodyDiv w:val="1"/>
      <w:marLeft w:val="0"/>
      <w:marRight w:val="0"/>
      <w:marTop w:val="0"/>
      <w:marBottom w:val="0"/>
      <w:divBdr>
        <w:top w:val="none" w:sz="0" w:space="0" w:color="auto"/>
        <w:left w:val="none" w:sz="0" w:space="0" w:color="auto"/>
        <w:bottom w:val="none" w:sz="0" w:space="0" w:color="auto"/>
        <w:right w:val="none" w:sz="0" w:space="0" w:color="auto"/>
      </w:divBdr>
    </w:div>
    <w:div w:id="583875665">
      <w:bodyDiv w:val="1"/>
      <w:marLeft w:val="0"/>
      <w:marRight w:val="0"/>
      <w:marTop w:val="0"/>
      <w:marBottom w:val="0"/>
      <w:divBdr>
        <w:top w:val="none" w:sz="0" w:space="0" w:color="auto"/>
        <w:left w:val="none" w:sz="0" w:space="0" w:color="auto"/>
        <w:bottom w:val="none" w:sz="0" w:space="0" w:color="auto"/>
        <w:right w:val="none" w:sz="0" w:space="0" w:color="auto"/>
      </w:divBdr>
    </w:div>
    <w:div w:id="617879826">
      <w:bodyDiv w:val="1"/>
      <w:marLeft w:val="0"/>
      <w:marRight w:val="0"/>
      <w:marTop w:val="0"/>
      <w:marBottom w:val="0"/>
      <w:divBdr>
        <w:top w:val="none" w:sz="0" w:space="0" w:color="auto"/>
        <w:left w:val="none" w:sz="0" w:space="0" w:color="auto"/>
        <w:bottom w:val="none" w:sz="0" w:space="0" w:color="auto"/>
        <w:right w:val="none" w:sz="0" w:space="0" w:color="auto"/>
      </w:divBdr>
    </w:div>
    <w:div w:id="676687034">
      <w:bodyDiv w:val="1"/>
      <w:marLeft w:val="0"/>
      <w:marRight w:val="0"/>
      <w:marTop w:val="0"/>
      <w:marBottom w:val="0"/>
      <w:divBdr>
        <w:top w:val="none" w:sz="0" w:space="0" w:color="auto"/>
        <w:left w:val="none" w:sz="0" w:space="0" w:color="auto"/>
        <w:bottom w:val="none" w:sz="0" w:space="0" w:color="auto"/>
        <w:right w:val="none" w:sz="0" w:space="0" w:color="auto"/>
      </w:divBdr>
    </w:div>
    <w:div w:id="743185674">
      <w:bodyDiv w:val="1"/>
      <w:marLeft w:val="0"/>
      <w:marRight w:val="0"/>
      <w:marTop w:val="0"/>
      <w:marBottom w:val="0"/>
      <w:divBdr>
        <w:top w:val="none" w:sz="0" w:space="0" w:color="auto"/>
        <w:left w:val="none" w:sz="0" w:space="0" w:color="auto"/>
        <w:bottom w:val="none" w:sz="0" w:space="0" w:color="auto"/>
        <w:right w:val="none" w:sz="0" w:space="0" w:color="auto"/>
      </w:divBdr>
    </w:div>
    <w:div w:id="783689372">
      <w:bodyDiv w:val="1"/>
      <w:marLeft w:val="0"/>
      <w:marRight w:val="0"/>
      <w:marTop w:val="0"/>
      <w:marBottom w:val="0"/>
      <w:divBdr>
        <w:top w:val="none" w:sz="0" w:space="0" w:color="auto"/>
        <w:left w:val="none" w:sz="0" w:space="0" w:color="auto"/>
        <w:bottom w:val="none" w:sz="0" w:space="0" w:color="auto"/>
        <w:right w:val="none" w:sz="0" w:space="0" w:color="auto"/>
      </w:divBdr>
    </w:div>
    <w:div w:id="857426126">
      <w:bodyDiv w:val="1"/>
      <w:marLeft w:val="0"/>
      <w:marRight w:val="0"/>
      <w:marTop w:val="0"/>
      <w:marBottom w:val="0"/>
      <w:divBdr>
        <w:top w:val="none" w:sz="0" w:space="0" w:color="auto"/>
        <w:left w:val="none" w:sz="0" w:space="0" w:color="auto"/>
        <w:bottom w:val="none" w:sz="0" w:space="0" w:color="auto"/>
        <w:right w:val="none" w:sz="0" w:space="0" w:color="auto"/>
      </w:divBdr>
    </w:div>
    <w:div w:id="958535407">
      <w:bodyDiv w:val="1"/>
      <w:marLeft w:val="0"/>
      <w:marRight w:val="0"/>
      <w:marTop w:val="0"/>
      <w:marBottom w:val="0"/>
      <w:divBdr>
        <w:top w:val="none" w:sz="0" w:space="0" w:color="auto"/>
        <w:left w:val="none" w:sz="0" w:space="0" w:color="auto"/>
        <w:bottom w:val="none" w:sz="0" w:space="0" w:color="auto"/>
        <w:right w:val="none" w:sz="0" w:space="0" w:color="auto"/>
      </w:divBdr>
    </w:div>
    <w:div w:id="1080952090">
      <w:bodyDiv w:val="1"/>
      <w:marLeft w:val="0"/>
      <w:marRight w:val="0"/>
      <w:marTop w:val="0"/>
      <w:marBottom w:val="0"/>
      <w:divBdr>
        <w:top w:val="none" w:sz="0" w:space="0" w:color="auto"/>
        <w:left w:val="none" w:sz="0" w:space="0" w:color="auto"/>
        <w:bottom w:val="none" w:sz="0" w:space="0" w:color="auto"/>
        <w:right w:val="none" w:sz="0" w:space="0" w:color="auto"/>
      </w:divBdr>
    </w:div>
    <w:div w:id="1084037372">
      <w:bodyDiv w:val="1"/>
      <w:marLeft w:val="0"/>
      <w:marRight w:val="0"/>
      <w:marTop w:val="0"/>
      <w:marBottom w:val="0"/>
      <w:divBdr>
        <w:top w:val="none" w:sz="0" w:space="0" w:color="auto"/>
        <w:left w:val="none" w:sz="0" w:space="0" w:color="auto"/>
        <w:bottom w:val="none" w:sz="0" w:space="0" w:color="auto"/>
        <w:right w:val="none" w:sz="0" w:space="0" w:color="auto"/>
      </w:divBdr>
    </w:div>
    <w:div w:id="1123156822">
      <w:bodyDiv w:val="1"/>
      <w:marLeft w:val="0"/>
      <w:marRight w:val="0"/>
      <w:marTop w:val="0"/>
      <w:marBottom w:val="0"/>
      <w:divBdr>
        <w:top w:val="none" w:sz="0" w:space="0" w:color="auto"/>
        <w:left w:val="none" w:sz="0" w:space="0" w:color="auto"/>
        <w:bottom w:val="none" w:sz="0" w:space="0" w:color="auto"/>
        <w:right w:val="none" w:sz="0" w:space="0" w:color="auto"/>
      </w:divBdr>
    </w:div>
    <w:div w:id="1202400108">
      <w:bodyDiv w:val="1"/>
      <w:marLeft w:val="0"/>
      <w:marRight w:val="0"/>
      <w:marTop w:val="0"/>
      <w:marBottom w:val="0"/>
      <w:divBdr>
        <w:top w:val="none" w:sz="0" w:space="0" w:color="auto"/>
        <w:left w:val="none" w:sz="0" w:space="0" w:color="auto"/>
        <w:bottom w:val="none" w:sz="0" w:space="0" w:color="auto"/>
        <w:right w:val="none" w:sz="0" w:space="0" w:color="auto"/>
      </w:divBdr>
    </w:div>
    <w:div w:id="1255632565">
      <w:bodyDiv w:val="1"/>
      <w:marLeft w:val="0"/>
      <w:marRight w:val="0"/>
      <w:marTop w:val="0"/>
      <w:marBottom w:val="0"/>
      <w:divBdr>
        <w:top w:val="none" w:sz="0" w:space="0" w:color="auto"/>
        <w:left w:val="none" w:sz="0" w:space="0" w:color="auto"/>
        <w:bottom w:val="none" w:sz="0" w:space="0" w:color="auto"/>
        <w:right w:val="none" w:sz="0" w:space="0" w:color="auto"/>
      </w:divBdr>
    </w:div>
    <w:div w:id="1290090240">
      <w:bodyDiv w:val="1"/>
      <w:marLeft w:val="0"/>
      <w:marRight w:val="0"/>
      <w:marTop w:val="0"/>
      <w:marBottom w:val="0"/>
      <w:divBdr>
        <w:top w:val="none" w:sz="0" w:space="0" w:color="auto"/>
        <w:left w:val="none" w:sz="0" w:space="0" w:color="auto"/>
        <w:bottom w:val="none" w:sz="0" w:space="0" w:color="auto"/>
        <w:right w:val="none" w:sz="0" w:space="0" w:color="auto"/>
      </w:divBdr>
    </w:div>
    <w:div w:id="1372921055">
      <w:bodyDiv w:val="1"/>
      <w:marLeft w:val="0"/>
      <w:marRight w:val="0"/>
      <w:marTop w:val="0"/>
      <w:marBottom w:val="0"/>
      <w:divBdr>
        <w:top w:val="none" w:sz="0" w:space="0" w:color="auto"/>
        <w:left w:val="none" w:sz="0" w:space="0" w:color="auto"/>
        <w:bottom w:val="none" w:sz="0" w:space="0" w:color="auto"/>
        <w:right w:val="none" w:sz="0" w:space="0" w:color="auto"/>
      </w:divBdr>
    </w:div>
    <w:div w:id="1382555232">
      <w:bodyDiv w:val="1"/>
      <w:marLeft w:val="0"/>
      <w:marRight w:val="0"/>
      <w:marTop w:val="0"/>
      <w:marBottom w:val="0"/>
      <w:divBdr>
        <w:top w:val="none" w:sz="0" w:space="0" w:color="auto"/>
        <w:left w:val="none" w:sz="0" w:space="0" w:color="auto"/>
        <w:bottom w:val="none" w:sz="0" w:space="0" w:color="auto"/>
        <w:right w:val="none" w:sz="0" w:space="0" w:color="auto"/>
      </w:divBdr>
    </w:div>
    <w:div w:id="1401295566">
      <w:bodyDiv w:val="1"/>
      <w:marLeft w:val="0"/>
      <w:marRight w:val="0"/>
      <w:marTop w:val="0"/>
      <w:marBottom w:val="0"/>
      <w:divBdr>
        <w:top w:val="none" w:sz="0" w:space="0" w:color="auto"/>
        <w:left w:val="none" w:sz="0" w:space="0" w:color="auto"/>
        <w:bottom w:val="none" w:sz="0" w:space="0" w:color="auto"/>
        <w:right w:val="none" w:sz="0" w:space="0" w:color="auto"/>
      </w:divBdr>
    </w:div>
    <w:div w:id="1420758912">
      <w:bodyDiv w:val="1"/>
      <w:marLeft w:val="0"/>
      <w:marRight w:val="0"/>
      <w:marTop w:val="0"/>
      <w:marBottom w:val="0"/>
      <w:divBdr>
        <w:top w:val="none" w:sz="0" w:space="0" w:color="auto"/>
        <w:left w:val="none" w:sz="0" w:space="0" w:color="auto"/>
        <w:bottom w:val="none" w:sz="0" w:space="0" w:color="auto"/>
        <w:right w:val="none" w:sz="0" w:space="0" w:color="auto"/>
      </w:divBdr>
    </w:div>
    <w:div w:id="1521774034">
      <w:bodyDiv w:val="1"/>
      <w:marLeft w:val="0"/>
      <w:marRight w:val="0"/>
      <w:marTop w:val="0"/>
      <w:marBottom w:val="0"/>
      <w:divBdr>
        <w:top w:val="none" w:sz="0" w:space="0" w:color="auto"/>
        <w:left w:val="none" w:sz="0" w:space="0" w:color="auto"/>
        <w:bottom w:val="none" w:sz="0" w:space="0" w:color="auto"/>
        <w:right w:val="none" w:sz="0" w:space="0" w:color="auto"/>
      </w:divBdr>
    </w:div>
    <w:div w:id="1589120351">
      <w:bodyDiv w:val="1"/>
      <w:marLeft w:val="0"/>
      <w:marRight w:val="0"/>
      <w:marTop w:val="0"/>
      <w:marBottom w:val="0"/>
      <w:divBdr>
        <w:top w:val="none" w:sz="0" w:space="0" w:color="auto"/>
        <w:left w:val="none" w:sz="0" w:space="0" w:color="auto"/>
        <w:bottom w:val="none" w:sz="0" w:space="0" w:color="auto"/>
        <w:right w:val="none" w:sz="0" w:space="0" w:color="auto"/>
      </w:divBdr>
    </w:div>
    <w:div w:id="1614632715">
      <w:bodyDiv w:val="1"/>
      <w:marLeft w:val="0"/>
      <w:marRight w:val="0"/>
      <w:marTop w:val="0"/>
      <w:marBottom w:val="0"/>
      <w:divBdr>
        <w:top w:val="none" w:sz="0" w:space="0" w:color="auto"/>
        <w:left w:val="none" w:sz="0" w:space="0" w:color="auto"/>
        <w:bottom w:val="none" w:sz="0" w:space="0" w:color="auto"/>
        <w:right w:val="none" w:sz="0" w:space="0" w:color="auto"/>
      </w:divBdr>
    </w:div>
    <w:div w:id="1627539079">
      <w:bodyDiv w:val="1"/>
      <w:marLeft w:val="0"/>
      <w:marRight w:val="0"/>
      <w:marTop w:val="0"/>
      <w:marBottom w:val="0"/>
      <w:divBdr>
        <w:top w:val="none" w:sz="0" w:space="0" w:color="auto"/>
        <w:left w:val="none" w:sz="0" w:space="0" w:color="auto"/>
        <w:bottom w:val="none" w:sz="0" w:space="0" w:color="auto"/>
        <w:right w:val="none" w:sz="0" w:space="0" w:color="auto"/>
      </w:divBdr>
    </w:div>
    <w:div w:id="1685672348">
      <w:bodyDiv w:val="1"/>
      <w:marLeft w:val="0"/>
      <w:marRight w:val="0"/>
      <w:marTop w:val="0"/>
      <w:marBottom w:val="0"/>
      <w:divBdr>
        <w:top w:val="none" w:sz="0" w:space="0" w:color="auto"/>
        <w:left w:val="none" w:sz="0" w:space="0" w:color="auto"/>
        <w:bottom w:val="none" w:sz="0" w:space="0" w:color="auto"/>
        <w:right w:val="none" w:sz="0" w:space="0" w:color="auto"/>
      </w:divBdr>
    </w:div>
    <w:div w:id="1814520318">
      <w:bodyDiv w:val="1"/>
      <w:marLeft w:val="0"/>
      <w:marRight w:val="0"/>
      <w:marTop w:val="0"/>
      <w:marBottom w:val="0"/>
      <w:divBdr>
        <w:top w:val="none" w:sz="0" w:space="0" w:color="auto"/>
        <w:left w:val="none" w:sz="0" w:space="0" w:color="auto"/>
        <w:bottom w:val="none" w:sz="0" w:space="0" w:color="auto"/>
        <w:right w:val="none" w:sz="0" w:space="0" w:color="auto"/>
      </w:divBdr>
    </w:div>
    <w:div w:id="1911840210">
      <w:bodyDiv w:val="1"/>
      <w:marLeft w:val="0"/>
      <w:marRight w:val="0"/>
      <w:marTop w:val="0"/>
      <w:marBottom w:val="0"/>
      <w:divBdr>
        <w:top w:val="none" w:sz="0" w:space="0" w:color="auto"/>
        <w:left w:val="none" w:sz="0" w:space="0" w:color="auto"/>
        <w:bottom w:val="none" w:sz="0" w:space="0" w:color="auto"/>
        <w:right w:val="none" w:sz="0" w:space="0" w:color="auto"/>
      </w:divBdr>
    </w:div>
    <w:div w:id="1936818034">
      <w:bodyDiv w:val="1"/>
      <w:marLeft w:val="0"/>
      <w:marRight w:val="0"/>
      <w:marTop w:val="0"/>
      <w:marBottom w:val="0"/>
      <w:divBdr>
        <w:top w:val="none" w:sz="0" w:space="0" w:color="auto"/>
        <w:left w:val="none" w:sz="0" w:space="0" w:color="auto"/>
        <w:bottom w:val="none" w:sz="0" w:space="0" w:color="auto"/>
        <w:right w:val="none" w:sz="0" w:space="0" w:color="auto"/>
      </w:divBdr>
    </w:div>
    <w:div w:id="1981302522">
      <w:bodyDiv w:val="1"/>
      <w:marLeft w:val="0"/>
      <w:marRight w:val="0"/>
      <w:marTop w:val="0"/>
      <w:marBottom w:val="0"/>
      <w:divBdr>
        <w:top w:val="none" w:sz="0" w:space="0" w:color="auto"/>
        <w:left w:val="none" w:sz="0" w:space="0" w:color="auto"/>
        <w:bottom w:val="none" w:sz="0" w:space="0" w:color="auto"/>
        <w:right w:val="none" w:sz="0" w:space="0" w:color="auto"/>
      </w:divBdr>
    </w:div>
    <w:div w:id="2001152910">
      <w:bodyDiv w:val="1"/>
      <w:marLeft w:val="0"/>
      <w:marRight w:val="0"/>
      <w:marTop w:val="0"/>
      <w:marBottom w:val="0"/>
      <w:divBdr>
        <w:top w:val="none" w:sz="0" w:space="0" w:color="auto"/>
        <w:left w:val="none" w:sz="0" w:space="0" w:color="auto"/>
        <w:bottom w:val="none" w:sz="0" w:space="0" w:color="auto"/>
        <w:right w:val="none" w:sz="0" w:space="0" w:color="auto"/>
      </w:divBdr>
    </w:div>
    <w:div w:id="2004314283">
      <w:bodyDiv w:val="1"/>
      <w:marLeft w:val="0"/>
      <w:marRight w:val="0"/>
      <w:marTop w:val="0"/>
      <w:marBottom w:val="0"/>
      <w:divBdr>
        <w:top w:val="none" w:sz="0" w:space="0" w:color="auto"/>
        <w:left w:val="none" w:sz="0" w:space="0" w:color="auto"/>
        <w:bottom w:val="none" w:sz="0" w:space="0" w:color="auto"/>
        <w:right w:val="none" w:sz="0" w:space="0" w:color="auto"/>
      </w:divBdr>
    </w:div>
    <w:div w:id="2124498347">
      <w:bodyDiv w:val="1"/>
      <w:marLeft w:val="0"/>
      <w:marRight w:val="0"/>
      <w:marTop w:val="0"/>
      <w:marBottom w:val="0"/>
      <w:divBdr>
        <w:top w:val="none" w:sz="0" w:space="0" w:color="auto"/>
        <w:left w:val="none" w:sz="0" w:space="0" w:color="auto"/>
        <w:bottom w:val="none" w:sz="0" w:space="0" w:color="auto"/>
        <w:right w:val="none" w:sz="0" w:space="0" w:color="auto"/>
      </w:divBdr>
    </w:div>
    <w:div w:id="2128502673">
      <w:bodyDiv w:val="1"/>
      <w:marLeft w:val="0"/>
      <w:marRight w:val="0"/>
      <w:marTop w:val="0"/>
      <w:marBottom w:val="0"/>
      <w:divBdr>
        <w:top w:val="none" w:sz="0" w:space="0" w:color="auto"/>
        <w:left w:val="none" w:sz="0" w:space="0" w:color="auto"/>
        <w:bottom w:val="none" w:sz="0" w:space="0" w:color="auto"/>
        <w:right w:val="none" w:sz="0" w:space="0" w:color="auto"/>
      </w:divBdr>
    </w:div>
    <w:div w:id="21305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10CB-1426-4179-9108-8F99252C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4240</Words>
  <Characters>24169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Колокольцев</dc:creator>
  <cp:lastModifiedBy>Пользователь</cp:lastModifiedBy>
  <cp:revision>9</cp:revision>
  <dcterms:created xsi:type="dcterms:W3CDTF">2020-02-11T15:38:00Z</dcterms:created>
  <dcterms:modified xsi:type="dcterms:W3CDTF">2020-03-23T11:58:00Z</dcterms:modified>
</cp:coreProperties>
</file>