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7E" w:rsidRPr="00495D9B" w:rsidRDefault="0098187E" w:rsidP="0098187E">
      <w:pPr>
        <w:spacing w:after="0" w:line="360" w:lineRule="auto"/>
        <w:jc w:val="center"/>
        <w:rPr>
          <w:b/>
          <w:sz w:val="28"/>
          <w:szCs w:val="28"/>
          <w:lang w:val="en-US"/>
        </w:rPr>
      </w:pPr>
      <w:r w:rsidRPr="00495D9B">
        <w:rPr>
          <w:b/>
          <w:sz w:val="28"/>
          <w:szCs w:val="28"/>
          <w:lang w:val="en-US"/>
        </w:rPr>
        <w:t>Carbohydrate metabolism disorders in patients with chronic pancreatitis</w:t>
      </w:r>
    </w:p>
    <w:p w:rsidR="0098187E" w:rsidRPr="00495D9B" w:rsidRDefault="0098187E" w:rsidP="0098187E">
      <w:pPr>
        <w:spacing w:after="0" w:line="360" w:lineRule="auto"/>
        <w:jc w:val="center"/>
        <w:rPr>
          <w:sz w:val="28"/>
          <w:szCs w:val="28"/>
          <w:lang w:val="en-US"/>
        </w:rPr>
      </w:pPr>
      <w:r w:rsidRPr="00495D9B">
        <w:rPr>
          <w:sz w:val="28"/>
          <w:szCs w:val="28"/>
          <w:lang w:val="en-US"/>
        </w:rPr>
        <w:t>S. I. </w:t>
      </w:r>
      <w:proofErr w:type="spellStart"/>
      <w:r w:rsidRPr="00495D9B">
        <w:rPr>
          <w:sz w:val="28"/>
          <w:szCs w:val="28"/>
          <w:lang w:val="en-US"/>
        </w:rPr>
        <w:t>Ismaiiov</w:t>
      </w:r>
      <w:proofErr w:type="spellEnd"/>
      <w:r w:rsidRPr="00495D9B">
        <w:rPr>
          <w:sz w:val="28"/>
          <w:szCs w:val="28"/>
          <w:lang w:val="en-US"/>
        </w:rPr>
        <w:t>, F. G. </w:t>
      </w:r>
      <w:proofErr w:type="spellStart"/>
      <w:r w:rsidRPr="00495D9B">
        <w:rPr>
          <w:sz w:val="28"/>
          <w:szCs w:val="28"/>
          <w:lang w:val="en-US"/>
        </w:rPr>
        <w:t>Nazyrov</w:t>
      </w:r>
      <w:proofErr w:type="spellEnd"/>
      <w:r w:rsidRPr="00495D9B">
        <w:rPr>
          <w:sz w:val="28"/>
          <w:szCs w:val="28"/>
          <w:lang w:val="en-US"/>
        </w:rPr>
        <w:t>, B. A. </w:t>
      </w:r>
      <w:proofErr w:type="spellStart"/>
      <w:r w:rsidRPr="00495D9B">
        <w:rPr>
          <w:sz w:val="28"/>
          <w:szCs w:val="28"/>
          <w:lang w:val="en-US"/>
        </w:rPr>
        <w:t>Azizov</w:t>
      </w:r>
      <w:proofErr w:type="spellEnd"/>
    </w:p>
    <w:p w:rsidR="0098187E" w:rsidRPr="00495D9B" w:rsidRDefault="0098187E" w:rsidP="0098187E">
      <w:pPr>
        <w:spacing w:after="0" w:line="360" w:lineRule="auto"/>
        <w:jc w:val="center"/>
        <w:rPr>
          <w:i/>
          <w:sz w:val="28"/>
          <w:szCs w:val="28"/>
          <w:lang w:val="en-US" w:eastAsia="zh-CN"/>
        </w:rPr>
      </w:pPr>
      <w:r w:rsidRPr="00495D9B">
        <w:rPr>
          <w:i/>
          <w:sz w:val="28"/>
          <w:szCs w:val="28"/>
          <w:lang w:val="en-US"/>
        </w:rPr>
        <w:t>Republican Specialized Scientific and Practical Medical Centre of Endocrinology</w:t>
      </w:r>
      <w:r w:rsidRPr="00495D9B">
        <w:rPr>
          <w:i/>
          <w:sz w:val="28"/>
          <w:szCs w:val="28"/>
          <w:lang w:val="en-US" w:eastAsia="zh-CN"/>
        </w:rPr>
        <w:t xml:space="preserve">, </w:t>
      </w:r>
      <w:r w:rsidRPr="00495D9B">
        <w:rPr>
          <w:i/>
          <w:sz w:val="28"/>
          <w:szCs w:val="28"/>
          <w:lang w:val="en-US"/>
        </w:rPr>
        <w:t>Tashkent</w:t>
      </w:r>
      <w:r w:rsidRPr="00495D9B">
        <w:rPr>
          <w:i/>
          <w:sz w:val="28"/>
          <w:szCs w:val="28"/>
          <w:lang w:val="en-US" w:eastAsia="zh-CN"/>
        </w:rPr>
        <w:t xml:space="preserve">, </w:t>
      </w:r>
      <w:r w:rsidRPr="00495D9B">
        <w:rPr>
          <w:i/>
          <w:sz w:val="28"/>
          <w:szCs w:val="28"/>
          <w:lang w:val="en-US"/>
        </w:rPr>
        <w:t>Uzbekistan</w:t>
      </w:r>
    </w:p>
    <w:p w:rsidR="0098187E" w:rsidRPr="00495D9B" w:rsidRDefault="0098187E" w:rsidP="0098187E">
      <w:pPr>
        <w:spacing w:after="0" w:line="360" w:lineRule="auto"/>
        <w:jc w:val="center"/>
        <w:rPr>
          <w:i/>
          <w:sz w:val="28"/>
          <w:szCs w:val="28"/>
          <w:lang w:val="en-US" w:eastAsia="zh-CN"/>
        </w:rPr>
      </w:pPr>
      <w:r w:rsidRPr="00495D9B">
        <w:rPr>
          <w:i/>
          <w:sz w:val="28"/>
          <w:szCs w:val="28"/>
          <w:lang w:val="en-US"/>
        </w:rPr>
        <w:t xml:space="preserve">Republican Specialized Surgery Center </w:t>
      </w:r>
      <w:r w:rsidRPr="00495D9B">
        <w:rPr>
          <w:i/>
          <w:sz w:val="28"/>
          <w:szCs w:val="28"/>
          <w:lang w:val="en-US" w:eastAsia="zh-CN"/>
        </w:rPr>
        <w:t>n. a. </w:t>
      </w:r>
      <w:r w:rsidRPr="00495D9B">
        <w:rPr>
          <w:i/>
          <w:sz w:val="28"/>
          <w:szCs w:val="28"/>
          <w:lang w:val="en-US"/>
        </w:rPr>
        <w:t xml:space="preserve">acad. V. </w:t>
      </w:r>
      <w:proofErr w:type="spellStart"/>
      <w:r w:rsidRPr="00495D9B">
        <w:rPr>
          <w:i/>
          <w:sz w:val="28"/>
          <w:szCs w:val="28"/>
          <w:lang w:val="en-US"/>
        </w:rPr>
        <w:t>Vakhidov</w:t>
      </w:r>
      <w:proofErr w:type="spellEnd"/>
      <w:r w:rsidRPr="00495D9B">
        <w:rPr>
          <w:i/>
          <w:sz w:val="28"/>
          <w:szCs w:val="28"/>
          <w:lang w:val="en-US" w:eastAsia="zh-CN"/>
        </w:rPr>
        <w:t xml:space="preserve">, </w:t>
      </w:r>
      <w:r w:rsidRPr="00495D9B">
        <w:rPr>
          <w:i/>
          <w:sz w:val="28"/>
          <w:szCs w:val="28"/>
          <w:lang w:val="en-US"/>
        </w:rPr>
        <w:t>Tashkent</w:t>
      </w:r>
      <w:r w:rsidRPr="00495D9B">
        <w:rPr>
          <w:i/>
          <w:sz w:val="28"/>
          <w:szCs w:val="28"/>
          <w:lang w:val="en-US" w:eastAsia="zh-CN"/>
        </w:rPr>
        <w:t xml:space="preserve">, </w:t>
      </w:r>
      <w:r w:rsidRPr="00495D9B">
        <w:rPr>
          <w:i/>
          <w:sz w:val="28"/>
          <w:szCs w:val="28"/>
          <w:lang w:val="en-US"/>
        </w:rPr>
        <w:t>Uzbekistan</w:t>
      </w:r>
    </w:p>
    <w:p w:rsidR="0098187E" w:rsidRPr="00495D9B" w:rsidRDefault="0098187E" w:rsidP="0098187E">
      <w:pPr>
        <w:spacing w:after="0" w:line="360" w:lineRule="auto"/>
        <w:ind w:firstLine="709"/>
        <w:jc w:val="both"/>
        <w:rPr>
          <w:sz w:val="28"/>
          <w:szCs w:val="28"/>
          <w:lang w:val="en-US"/>
        </w:rPr>
      </w:pPr>
    </w:p>
    <w:p w:rsidR="00393ABB" w:rsidRPr="00495D9B" w:rsidRDefault="0098187E" w:rsidP="0098187E">
      <w:pPr>
        <w:spacing w:after="0" w:line="360" w:lineRule="auto"/>
        <w:ind w:firstLine="709"/>
        <w:jc w:val="both"/>
        <w:rPr>
          <w:sz w:val="28"/>
          <w:szCs w:val="28"/>
          <w:lang w:val="en-US"/>
        </w:rPr>
      </w:pPr>
      <w:r w:rsidRPr="00495D9B">
        <w:rPr>
          <w:b/>
          <w:sz w:val="28"/>
          <w:szCs w:val="28"/>
          <w:lang w:val="en-US"/>
        </w:rPr>
        <w:t>Key words:</w:t>
      </w:r>
      <w:r w:rsidRPr="00495D9B">
        <w:rPr>
          <w:sz w:val="28"/>
          <w:szCs w:val="28"/>
          <w:lang w:val="en-US"/>
        </w:rPr>
        <w:t xml:space="preserve"> chronic pancreatitis, impaired fasting glucose, impaired glucose tolerance, diabetes mellitus</w:t>
      </w:r>
      <w:r w:rsidRPr="00495D9B">
        <w:rPr>
          <w:sz w:val="28"/>
          <w:szCs w:val="28"/>
          <w:lang w:val="en-US" w:eastAsia="zh-CN"/>
        </w:rPr>
        <w:t>, pathogenesis</w:t>
      </w:r>
    </w:p>
    <w:p w:rsidR="00CB6931" w:rsidRPr="00495D9B" w:rsidRDefault="0098187E" w:rsidP="00A42876">
      <w:pPr>
        <w:spacing w:after="0" w:line="360" w:lineRule="auto"/>
        <w:ind w:firstLine="709"/>
        <w:jc w:val="both"/>
        <w:rPr>
          <w:b/>
          <w:sz w:val="28"/>
          <w:szCs w:val="28"/>
          <w:lang w:val="en-US"/>
        </w:rPr>
      </w:pPr>
      <w:r w:rsidRPr="00495D9B">
        <w:rPr>
          <w:b/>
          <w:sz w:val="28"/>
          <w:szCs w:val="28"/>
          <w:lang w:val="en-US"/>
        </w:rPr>
        <w:t>Introduction</w:t>
      </w:r>
    </w:p>
    <w:p w:rsidR="009F4294" w:rsidRPr="00495D9B" w:rsidRDefault="009F4294" w:rsidP="00CB6931">
      <w:pPr>
        <w:spacing w:after="0" w:line="360" w:lineRule="auto"/>
        <w:ind w:firstLine="709"/>
        <w:jc w:val="both"/>
        <w:rPr>
          <w:sz w:val="28"/>
          <w:szCs w:val="28"/>
          <w:lang w:val="en-US"/>
        </w:rPr>
      </w:pPr>
      <w:r w:rsidRPr="00495D9B">
        <w:rPr>
          <w:sz w:val="28"/>
          <w:szCs w:val="28"/>
          <w:lang w:val="en-US"/>
        </w:rPr>
        <w:t>Chronic pancreatitis (CP) is a chronic inflammatory-dystrophic disease of the pancreas, causing on the progression of the pathological process violation of its cross-duct sclerosis parenchyma.</w:t>
      </w:r>
    </w:p>
    <w:p w:rsidR="009F4294" w:rsidRPr="00495D9B" w:rsidRDefault="009F4294" w:rsidP="00CB6931">
      <w:pPr>
        <w:spacing w:after="0" w:line="360" w:lineRule="auto"/>
        <w:ind w:firstLine="709"/>
        <w:jc w:val="both"/>
        <w:rPr>
          <w:sz w:val="28"/>
          <w:szCs w:val="28"/>
          <w:lang w:val="en-US"/>
        </w:rPr>
      </w:pPr>
      <w:r w:rsidRPr="00495D9B">
        <w:rPr>
          <w:sz w:val="28"/>
          <w:szCs w:val="28"/>
          <w:lang w:val="en-US"/>
        </w:rPr>
        <w:t>In industrialized countries, the incidence of CP ranges from 49.5 to 73.4 cases per 100 thousand per year. At the same time</w:t>
      </w:r>
      <w:r w:rsidR="004164BA" w:rsidRPr="00495D9B">
        <w:rPr>
          <w:sz w:val="28"/>
          <w:szCs w:val="28"/>
          <w:lang w:val="en-US"/>
        </w:rPr>
        <w:t>,</w:t>
      </w:r>
      <w:r w:rsidRPr="00495D9B">
        <w:rPr>
          <w:sz w:val="28"/>
          <w:szCs w:val="28"/>
          <w:lang w:val="en-US"/>
        </w:rPr>
        <w:t xml:space="preserve"> over the past 40 years there has been approximately double incidence of </w:t>
      </w:r>
      <w:r w:rsidR="004164BA" w:rsidRPr="00495D9B">
        <w:rPr>
          <w:sz w:val="28"/>
          <w:szCs w:val="28"/>
          <w:lang w:val="en-US"/>
        </w:rPr>
        <w:t>morbidity</w:t>
      </w:r>
      <w:r w:rsidRPr="00495D9B">
        <w:rPr>
          <w:sz w:val="28"/>
          <w:szCs w:val="28"/>
          <w:lang w:val="en-US"/>
        </w:rPr>
        <w:t>. According to the world statistics, CP in the structure of the digestive system disease ranges from 5.1 to 9%, and in the structure of the general clinical practice</w:t>
      </w:r>
      <w:r w:rsidR="00240827" w:rsidRPr="00495D9B">
        <w:rPr>
          <w:sz w:val="28"/>
          <w:szCs w:val="28"/>
          <w:lang w:val="en-US"/>
        </w:rPr>
        <w:t xml:space="preserve"> — </w:t>
      </w:r>
      <w:r w:rsidRPr="00495D9B">
        <w:rPr>
          <w:sz w:val="28"/>
          <w:szCs w:val="28"/>
          <w:lang w:val="en-US"/>
        </w:rPr>
        <w:t>from 0.2 to 0.6% [3, 4]. This is due not only to the improvement of methods of diagnosis of the disease, but also with an increase in alcohol consumption in some countries, increased exposure to adverse environmental factors.</w:t>
      </w:r>
    </w:p>
    <w:p w:rsidR="009F4294" w:rsidRPr="00495D9B" w:rsidRDefault="009F4294" w:rsidP="00CB6931">
      <w:pPr>
        <w:spacing w:after="0" w:line="360" w:lineRule="auto"/>
        <w:ind w:firstLine="709"/>
        <w:jc w:val="both"/>
        <w:rPr>
          <w:sz w:val="28"/>
          <w:szCs w:val="28"/>
          <w:lang w:val="en-US"/>
        </w:rPr>
      </w:pPr>
      <w:r w:rsidRPr="00495D9B">
        <w:rPr>
          <w:sz w:val="28"/>
          <w:szCs w:val="28"/>
          <w:lang w:val="en-US"/>
        </w:rPr>
        <w:t xml:space="preserve">It is well known that one of the complications of CP is a violation of both exocrine and endocrine pancreatic function. Transient hyperglycemia develops also an exacerbation of </w:t>
      </w:r>
      <w:r w:rsidR="004164BA" w:rsidRPr="00495D9B">
        <w:rPr>
          <w:sz w:val="28"/>
          <w:szCs w:val="28"/>
          <w:lang w:val="en-US"/>
        </w:rPr>
        <w:t>C</w:t>
      </w:r>
      <w:r w:rsidRPr="00495D9B">
        <w:rPr>
          <w:sz w:val="28"/>
          <w:szCs w:val="28"/>
          <w:lang w:val="en-US"/>
        </w:rPr>
        <w:t xml:space="preserve">P, which is associated with swelling of the pancreas and </w:t>
      </w:r>
      <w:proofErr w:type="spellStart"/>
      <w:r w:rsidRPr="00495D9B">
        <w:rPr>
          <w:sz w:val="28"/>
          <w:szCs w:val="28"/>
          <w:lang w:val="en-US"/>
        </w:rPr>
        <w:t>trypsin</w:t>
      </w:r>
      <w:proofErr w:type="spellEnd"/>
      <w:r w:rsidRPr="00495D9B">
        <w:rPr>
          <w:sz w:val="28"/>
          <w:szCs w:val="28"/>
          <w:lang w:val="en-US"/>
        </w:rPr>
        <w:t xml:space="preserve"> inhibitory effect (its content in the blood during acute pancreatitis and CP exacerbation increases) on insulin production. As pancreatic </w:t>
      </w:r>
      <w:r w:rsidR="004164BA" w:rsidRPr="00495D9B">
        <w:rPr>
          <w:sz w:val="28"/>
          <w:szCs w:val="28"/>
          <w:lang w:val="en-US"/>
        </w:rPr>
        <w:t xml:space="preserve">attack stops, </w:t>
      </w:r>
      <w:r w:rsidRPr="00495D9B">
        <w:rPr>
          <w:sz w:val="28"/>
          <w:szCs w:val="28"/>
          <w:lang w:val="en-US"/>
        </w:rPr>
        <w:t xml:space="preserve">blood glucose level </w:t>
      </w:r>
      <w:r w:rsidR="004164BA" w:rsidRPr="00495D9B">
        <w:rPr>
          <w:sz w:val="28"/>
          <w:szCs w:val="28"/>
          <w:lang w:val="en-US"/>
        </w:rPr>
        <w:t>becomes</w:t>
      </w:r>
      <w:r w:rsidRPr="00495D9B">
        <w:rPr>
          <w:sz w:val="28"/>
          <w:szCs w:val="28"/>
          <w:lang w:val="en-US"/>
        </w:rPr>
        <w:t xml:space="preserve"> normal [2]. According to various authors, diabetes mellitus (DM) occurs in 10-90% of patients with CP, and in half the cases</w:t>
      </w:r>
      <w:r w:rsidR="00240827" w:rsidRPr="00495D9B">
        <w:rPr>
          <w:sz w:val="28"/>
          <w:szCs w:val="28"/>
          <w:lang w:val="en-US"/>
        </w:rPr>
        <w:t xml:space="preserve"> — </w:t>
      </w:r>
      <w:r w:rsidRPr="00495D9B">
        <w:rPr>
          <w:sz w:val="28"/>
          <w:szCs w:val="28"/>
          <w:lang w:val="en-US"/>
        </w:rPr>
        <w:t>DM type 1 [5, 6].</w:t>
      </w:r>
    </w:p>
    <w:p w:rsidR="00CB6931" w:rsidRPr="00495D9B" w:rsidRDefault="004164BA" w:rsidP="00CB6931">
      <w:pPr>
        <w:spacing w:after="0" w:line="360" w:lineRule="auto"/>
        <w:ind w:firstLine="709"/>
        <w:jc w:val="both"/>
        <w:rPr>
          <w:sz w:val="28"/>
          <w:szCs w:val="28"/>
          <w:lang w:val="en-US"/>
        </w:rPr>
      </w:pPr>
      <w:r w:rsidRPr="00495D9B">
        <w:rPr>
          <w:b/>
          <w:bCs/>
          <w:sz w:val="28"/>
          <w:szCs w:val="28"/>
          <w:lang w:val="en-US"/>
        </w:rPr>
        <w:lastRenderedPageBreak/>
        <w:t>The aim of research</w:t>
      </w:r>
      <w:r w:rsidR="00CB6931" w:rsidRPr="00495D9B">
        <w:rPr>
          <w:sz w:val="28"/>
          <w:szCs w:val="28"/>
          <w:lang w:val="en-US"/>
        </w:rPr>
        <w:t xml:space="preserve"> </w:t>
      </w:r>
      <w:r w:rsidRPr="00495D9B">
        <w:rPr>
          <w:sz w:val="28"/>
          <w:szCs w:val="28"/>
          <w:lang w:val="en-US"/>
        </w:rPr>
        <w:t>is to study frequency of disorders of carbohydrate metabolism (CHM) in patients with chronic pancreatitis, depending on the duration of the disease.</w:t>
      </w:r>
    </w:p>
    <w:p w:rsidR="00CB6931" w:rsidRPr="00495D9B" w:rsidRDefault="004164BA" w:rsidP="00CB6931">
      <w:pPr>
        <w:spacing w:after="0" w:line="360" w:lineRule="auto"/>
        <w:ind w:firstLine="709"/>
        <w:jc w:val="both"/>
        <w:rPr>
          <w:b/>
          <w:sz w:val="28"/>
          <w:szCs w:val="28"/>
          <w:lang w:val="en-US"/>
        </w:rPr>
      </w:pPr>
      <w:r w:rsidRPr="00495D9B">
        <w:rPr>
          <w:b/>
          <w:sz w:val="28"/>
          <w:szCs w:val="28"/>
          <w:lang w:val="en-US"/>
        </w:rPr>
        <w:t>Materials and methods</w:t>
      </w:r>
    </w:p>
    <w:p w:rsidR="004164BA" w:rsidRPr="00495D9B" w:rsidRDefault="004164BA" w:rsidP="00CB6931">
      <w:pPr>
        <w:spacing w:after="0" w:line="360" w:lineRule="auto"/>
        <w:ind w:firstLine="709"/>
        <w:jc w:val="both"/>
        <w:rPr>
          <w:sz w:val="28"/>
          <w:szCs w:val="28"/>
          <w:lang w:val="en-US"/>
        </w:rPr>
      </w:pPr>
      <w:r w:rsidRPr="00495D9B">
        <w:rPr>
          <w:sz w:val="28"/>
          <w:szCs w:val="28"/>
          <w:lang w:val="en-US"/>
        </w:rPr>
        <w:t xml:space="preserve">The work is based on the analysis of the results of monitoring 59 patients in outpatient and inpatient treatment in the Republican Specialized Science &amp; Research Centre and Republican Specialized Centre of Surgery n. a. acad. V. </w:t>
      </w:r>
      <w:proofErr w:type="spellStart"/>
      <w:r w:rsidRPr="00495D9B">
        <w:rPr>
          <w:sz w:val="28"/>
          <w:szCs w:val="28"/>
          <w:lang w:val="en-US"/>
        </w:rPr>
        <w:t>Vakhidov</w:t>
      </w:r>
      <w:proofErr w:type="spellEnd"/>
      <w:r w:rsidRPr="00495D9B">
        <w:rPr>
          <w:sz w:val="28"/>
          <w:szCs w:val="28"/>
          <w:lang w:val="en-US"/>
        </w:rPr>
        <w:t>.</w:t>
      </w:r>
    </w:p>
    <w:p w:rsidR="004164BA" w:rsidRPr="00495D9B" w:rsidRDefault="004164BA" w:rsidP="00CB6931">
      <w:pPr>
        <w:spacing w:after="0" w:line="360" w:lineRule="auto"/>
        <w:ind w:firstLine="709"/>
        <w:jc w:val="both"/>
        <w:rPr>
          <w:sz w:val="28"/>
          <w:szCs w:val="28"/>
          <w:lang w:val="en-US"/>
        </w:rPr>
      </w:pPr>
      <w:r w:rsidRPr="00495D9B">
        <w:rPr>
          <w:sz w:val="28"/>
          <w:szCs w:val="28"/>
          <w:lang w:val="en-US"/>
        </w:rPr>
        <w:t>Inclusion criteria: patients receiving conservative treatment for chronic pancreatitis attacks, without a history of diabetes.</w:t>
      </w:r>
    </w:p>
    <w:p w:rsidR="004164BA" w:rsidRPr="00495D9B" w:rsidRDefault="004164BA" w:rsidP="00CB6931">
      <w:pPr>
        <w:spacing w:after="0" w:line="360" w:lineRule="auto"/>
        <w:ind w:firstLine="709"/>
        <w:jc w:val="both"/>
        <w:rPr>
          <w:sz w:val="28"/>
          <w:szCs w:val="28"/>
          <w:lang w:val="en-US"/>
        </w:rPr>
      </w:pPr>
      <w:r w:rsidRPr="00495D9B">
        <w:rPr>
          <w:sz w:val="28"/>
          <w:szCs w:val="28"/>
          <w:lang w:val="en-US"/>
        </w:rPr>
        <w:t>Most of the patients were men</w:t>
      </w:r>
      <w:r w:rsidR="00240827" w:rsidRPr="00495D9B">
        <w:rPr>
          <w:sz w:val="28"/>
          <w:szCs w:val="28"/>
          <w:lang w:val="en-US"/>
        </w:rPr>
        <w:t xml:space="preserve"> — </w:t>
      </w:r>
      <w:r w:rsidRPr="00495D9B">
        <w:rPr>
          <w:sz w:val="28"/>
          <w:szCs w:val="28"/>
          <w:lang w:val="en-US"/>
        </w:rPr>
        <w:t>32 (54.2%), women were 27 (45.8%). Patients’ age ranged from 16 to 70 (mean age 43</w:t>
      </w:r>
      <w:proofErr w:type="gramStart"/>
      <w:r w:rsidRPr="00495D9B">
        <w:rPr>
          <w:sz w:val="28"/>
          <w:szCs w:val="28"/>
          <w:lang w:val="en-US"/>
        </w:rPr>
        <w:t>,30</w:t>
      </w:r>
      <w:proofErr w:type="gramEnd"/>
      <w:r w:rsidRPr="00495D9B">
        <w:rPr>
          <w:sz w:val="28"/>
          <w:szCs w:val="28"/>
          <w:lang w:val="en-US"/>
        </w:rPr>
        <w:t xml:space="preserve"> ± 1,83 years). Body mass index (BMI) in patients averaged 25</w:t>
      </w:r>
      <w:proofErr w:type="gramStart"/>
      <w:r w:rsidRPr="00495D9B">
        <w:rPr>
          <w:sz w:val="28"/>
          <w:szCs w:val="28"/>
          <w:lang w:val="en-US"/>
        </w:rPr>
        <w:t>,70</w:t>
      </w:r>
      <w:proofErr w:type="gramEnd"/>
      <w:r w:rsidRPr="00495D9B">
        <w:rPr>
          <w:sz w:val="28"/>
          <w:szCs w:val="28"/>
          <w:lang w:val="en-US"/>
        </w:rPr>
        <w:t xml:space="preserve"> ± 0,64 kg/m</w:t>
      </w:r>
      <w:r w:rsidRPr="00495D9B">
        <w:rPr>
          <w:sz w:val="28"/>
          <w:szCs w:val="28"/>
          <w:vertAlign w:val="superscript"/>
          <w:lang w:val="en-US"/>
        </w:rPr>
        <w:t>2</w:t>
      </w:r>
      <w:r w:rsidRPr="00495D9B">
        <w:rPr>
          <w:sz w:val="28"/>
          <w:szCs w:val="28"/>
          <w:lang w:val="en-US"/>
        </w:rPr>
        <w:t>. Excess body weight is registered in 17 (28.8%) patients, obesity</w:t>
      </w:r>
      <w:r w:rsidR="00240827" w:rsidRPr="00495D9B">
        <w:rPr>
          <w:sz w:val="28"/>
          <w:szCs w:val="28"/>
          <w:lang w:val="en-US"/>
        </w:rPr>
        <w:t xml:space="preserve"> — </w:t>
      </w:r>
      <w:r w:rsidRPr="00495D9B">
        <w:rPr>
          <w:sz w:val="28"/>
          <w:szCs w:val="28"/>
          <w:lang w:val="en-US"/>
        </w:rPr>
        <w:t xml:space="preserve">in 13 (22.0%) patients. The main causative effect on the development of CP was the pathology of the </w:t>
      </w:r>
      <w:proofErr w:type="spellStart"/>
      <w:r w:rsidRPr="00495D9B">
        <w:rPr>
          <w:sz w:val="28"/>
          <w:szCs w:val="28"/>
          <w:lang w:val="en-US"/>
        </w:rPr>
        <w:t>biliary</w:t>
      </w:r>
      <w:proofErr w:type="spellEnd"/>
      <w:r w:rsidRPr="00495D9B">
        <w:rPr>
          <w:sz w:val="28"/>
          <w:szCs w:val="28"/>
          <w:lang w:val="en-US"/>
        </w:rPr>
        <w:t xml:space="preserve"> system in 27 (45.7%), alcoholic factor</w:t>
      </w:r>
      <w:r w:rsidR="00240827" w:rsidRPr="00495D9B">
        <w:rPr>
          <w:sz w:val="28"/>
          <w:szCs w:val="28"/>
          <w:lang w:val="en-US"/>
        </w:rPr>
        <w:t xml:space="preserve"> — </w:t>
      </w:r>
      <w:r w:rsidRPr="00495D9B">
        <w:rPr>
          <w:sz w:val="28"/>
          <w:szCs w:val="28"/>
          <w:lang w:val="en-US"/>
        </w:rPr>
        <w:t>in 21 (35.6%), violation of the diet</w:t>
      </w:r>
      <w:r w:rsidR="00240827" w:rsidRPr="00495D9B">
        <w:rPr>
          <w:sz w:val="28"/>
          <w:szCs w:val="28"/>
          <w:lang w:val="en-US"/>
        </w:rPr>
        <w:t xml:space="preserve"> — </w:t>
      </w:r>
      <w:r w:rsidRPr="00495D9B">
        <w:rPr>
          <w:sz w:val="28"/>
          <w:szCs w:val="28"/>
          <w:lang w:val="en-US"/>
        </w:rPr>
        <w:t>in 11 (18.6%).</w:t>
      </w:r>
      <w:r w:rsidRPr="00495D9B">
        <w:rPr>
          <w:sz w:val="28"/>
          <w:szCs w:val="28"/>
          <w:lang w:val="en-US"/>
        </w:rPr>
        <w:br/>
        <w:t>All patients were divided into 3 groups depending on the timing of chronic pancreatitis. The first group included 19 patients with pancreatitis over three years, the second group</w:t>
      </w:r>
      <w:r w:rsidR="00240827" w:rsidRPr="00495D9B">
        <w:rPr>
          <w:sz w:val="28"/>
          <w:szCs w:val="28"/>
          <w:lang w:val="en-US"/>
        </w:rPr>
        <w:t xml:space="preserve"> — </w:t>
      </w:r>
      <w:r w:rsidRPr="00495D9B">
        <w:rPr>
          <w:sz w:val="28"/>
          <w:szCs w:val="28"/>
          <w:lang w:val="en-US"/>
        </w:rPr>
        <w:t>26 patients with disease duration from 3 to 5 years. The third group consisted of 14 patients with pancreatitis over 5 years or more. The control group consisted of 10 people, matched by sex and age, without disrupting glucose metabolism and pancreatic diseases (Table 1).</w:t>
      </w:r>
    </w:p>
    <w:p w:rsidR="004164BA" w:rsidRPr="00495D9B" w:rsidRDefault="004164BA" w:rsidP="00CB6931">
      <w:pPr>
        <w:spacing w:after="0" w:line="360" w:lineRule="auto"/>
        <w:ind w:firstLine="709"/>
        <w:jc w:val="both"/>
        <w:rPr>
          <w:sz w:val="28"/>
          <w:szCs w:val="28"/>
          <w:lang w:val="en-US"/>
        </w:rPr>
      </w:pPr>
      <w:r w:rsidRPr="00495D9B">
        <w:rPr>
          <w:sz w:val="28"/>
          <w:szCs w:val="28"/>
          <w:lang w:val="en-US"/>
        </w:rPr>
        <w:t xml:space="preserve">All patients were determined the level of </w:t>
      </w:r>
      <w:proofErr w:type="spellStart"/>
      <w:r w:rsidRPr="00495D9B">
        <w:rPr>
          <w:sz w:val="28"/>
          <w:szCs w:val="28"/>
          <w:lang w:val="en-US"/>
        </w:rPr>
        <w:t>immunoreactive</w:t>
      </w:r>
      <w:proofErr w:type="spellEnd"/>
      <w:r w:rsidRPr="00495D9B">
        <w:rPr>
          <w:sz w:val="28"/>
          <w:szCs w:val="28"/>
          <w:lang w:val="en-US"/>
        </w:rPr>
        <w:t xml:space="preserve"> insulin (IRI) using a radioimmunoassay method using standard kits of </w:t>
      </w:r>
      <w:proofErr w:type="spellStart"/>
      <w:r w:rsidRPr="00495D9B">
        <w:rPr>
          <w:sz w:val="28"/>
          <w:szCs w:val="28"/>
          <w:lang w:val="en-US"/>
        </w:rPr>
        <w:t>Immunotech</w:t>
      </w:r>
      <w:proofErr w:type="spellEnd"/>
      <w:r w:rsidRPr="00495D9B">
        <w:rPr>
          <w:sz w:val="28"/>
          <w:szCs w:val="28"/>
          <w:lang w:val="en-US"/>
        </w:rPr>
        <w:t xml:space="preserve"> (Czech Republic).</w:t>
      </w:r>
      <w:r w:rsidRPr="00495D9B">
        <w:rPr>
          <w:sz w:val="28"/>
          <w:szCs w:val="28"/>
          <w:lang w:val="en-US"/>
        </w:rPr>
        <w:br/>
        <w:t>Examination also included: measurement of growth, body weight and body mass index calculated by the formula:</w:t>
      </w:r>
    </w:p>
    <w:p w:rsidR="00D42524" w:rsidRPr="00495D9B" w:rsidRDefault="00A76504" w:rsidP="00CB6931">
      <w:pPr>
        <w:spacing w:after="0" w:line="360" w:lineRule="auto"/>
        <w:ind w:firstLine="709"/>
        <w:jc w:val="both"/>
        <w:rPr>
          <w:b/>
          <w:bCs/>
          <w:i/>
          <w:iCs/>
          <w:sz w:val="28"/>
          <w:szCs w:val="28"/>
          <w:lang w:val="en-US"/>
        </w:rPr>
      </w:pPr>
      <w:r w:rsidRPr="00495D9B">
        <w:rPr>
          <w:b/>
          <w:bCs/>
          <w:i/>
          <w:iCs/>
          <w:sz w:val="28"/>
          <w:szCs w:val="28"/>
          <w:lang w:val="en-US"/>
        </w:rPr>
        <w:t>BMI</w:t>
      </w:r>
      <w:r w:rsidR="00D42524" w:rsidRPr="00495D9B">
        <w:rPr>
          <w:b/>
          <w:bCs/>
          <w:i/>
          <w:iCs/>
          <w:sz w:val="28"/>
          <w:szCs w:val="28"/>
          <w:lang w:val="en-US"/>
        </w:rPr>
        <w:t>=</w:t>
      </w:r>
      <w:proofErr w:type="gramStart"/>
      <w:r w:rsidRPr="00495D9B">
        <w:rPr>
          <w:b/>
          <w:bCs/>
          <w:i/>
          <w:iCs/>
          <w:sz w:val="28"/>
          <w:szCs w:val="28"/>
          <w:lang w:val="en-US"/>
        </w:rPr>
        <w:t>BM(</w:t>
      </w:r>
      <w:proofErr w:type="gramEnd"/>
      <w:r w:rsidRPr="00495D9B">
        <w:rPr>
          <w:b/>
          <w:bCs/>
          <w:i/>
          <w:iCs/>
          <w:sz w:val="28"/>
          <w:szCs w:val="28"/>
          <w:lang w:val="en-US"/>
        </w:rPr>
        <w:t>kg</w:t>
      </w:r>
      <w:r w:rsidR="00CB6931" w:rsidRPr="00495D9B">
        <w:rPr>
          <w:b/>
          <w:bCs/>
          <w:i/>
          <w:iCs/>
          <w:sz w:val="28"/>
          <w:szCs w:val="28"/>
          <w:lang w:val="en-US"/>
        </w:rPr>
        <w:t>)/</w:t>
      </w:r>
      <w:r w:rsidRPr="00495D9B">
        <w:rPr>
          <w:b/>
          <w:bCs/>
          <w:i/>
          <w:iCs/>
          <w:sz w:val="28"/>
          <w:szCs w:val="28"/>
          <w:lang w:val="en-US"/>
        </w:rPr>
        <w:t>H</w:t>
      </w:r>
      <w:r w:rsidR="00CB6931" w:rsidRPr="00495D9B">
        <w:rPr>
          <w:b/>
          <w:bCs/>
          <w:i/>
          <w:iCs/>
          <w:sz w:val="28"/>
          <w:szCs w:val="28"/>
          <w:lang w:val="en-US"/>
        </w:rPr>
        <w:t xml:space="preserve"> (</w:t>
      </w:r>
      <w:r w:rsidRPr="00495D9B">
        <w:rPr>
          <w:b/>
          <w:bCs/>
          <w:i/>
          <w:iCs/>
          <w:sz w:val="28"/>
          <w:szCs w:val="28"/>
          <w:lang w:val="en-US"/>
        </w:rPr>
        <w:t>m</w:t>
      </w:r>
      <w:r w:rsidR="00CB6931" w:rsidRPr="00495D9B">
        <w:rPr>
          <w:b/>
          <w:bCs/>
          <w:i/>
          <w:iCs/>
          <w:sz w:val="28"/>
          <w:szCs w:val="28"/>
          <w:lang w:val="en-US"/>
        </w:rPr>
        <w:t>)</w:t>
      </w:r>
      <w:r w:rsidR="00CB6931" w:rsidRPr="00495D9B">
        <w:rPr>
          <w:b/>
          <w:bCs/>
          <w:i/>
          <w:iCs/>
          <w:sz w:val="28"/>
          <w:szCs w:val="28"/>
          <w:vertAlign w:val="superscript"/>
          <w:lang w:val="en-US"/>
        </w:rPr>
        <w:t>2</w:t>
      </w:r>
      <w:r w:rsidR="00CB6931" w:rsidRPr="00495D9B">
        <w:rPr>
          <w:b/>
          <w:bCs/>
          <w:i/>
          <w:iCs/>
          <w:sz w:val="28"/>
          <w:szCs w:val="28"/>
          <w:lang w:val="en-US"/>
        </w:rPr>
        <w:t>,</w:t>
      </w:r>
    </w:p>
    <w:p w:rsidR="00CB6931" w:rsidRPr="00495D9B" w:rsidRDefault="00A76504" w:rsidP="00CB6931">
      <w:pPr>
        <w:spacing w:after="0" w:line="360" w:lineRule="auto"/>
        <w:ind w:firstLine="709"/>
        <w:jc w:val="both"/>
        <w:rPr>
          <w:sz w:val="28"/>
          <w:szCs w:val="28"/>
          <w:lang w:val="en-US"/>
        </w:rPr>
      </w:pPr>
      <w:proofErr w:type="gramStart"/>
      <w:r w:rsidRPr="00495D9B">
        <w:rPr>
          <w:sz w:val="28"/>
          <w:szCs w:val="28"/>
          <w:lang w:val="en-US"/>
        </w:rPr>
        <w:t>where</w:t>
      </w:r>
      <w:proofErr w:type="gramEnd"/>
      <w:r w:rsidR="00CB6931" w:rsidRPr="00495D9B">
        <w:rPr>
          <w:sz w:val="28"/>
          <w:szCs w:val="28"/>
          <w:lang w:val="en-US"/>
        </w:rPr>
        <w:t xml:space="preserve"> </w:t>
      </w:r>
      <w:r w:rsidRPr="00495D9B">
        <w:rPr>
          <w:sz w:val="28"/>
          <w:szCs w:val="28"/>
          <w:lang w:val="en-US"/>
        </w:rPr>
        <w:t>BM</w:t>
      </w:r>
      <w:r w:rsidR="00CB6931" w:rsidRPr="00495D9B">
        <w:rPr>
          <w:sz w:val="28"/>
          <w:szCs w:val="28"/>
          <w:lang w:val="en-US"/>
        </w:rPr>
        <w:t xml:space="preserve"> — </w:t>
      </w:r>
      <w:r w:rsidRPr="00495D9B">
        <w:rPr>
          <w:sz w:val="28"/>
          <w:szCs w:val="28"/>
          <w:lang w:val="en-US"/>
        </w:rPr>
        <w:t>body mass</w:t>
      </w:r>
      <w:r w:rsidR="00CB6931" w:rsidRPr="00495D9B">
        <w:rPr>
          <w:sz w:val="28"/>
          <w:szCs w:val="28"/>
          <w:lang w:val="en-US"/>
        </w:rPr>
        <w:t xml:space="preserve">, </w:t>
      </w:r>
      <w:r w:rsidRPr="00495D9B">
        <w:rPr>
          <w:sz w:val="28"/>
          <w:szCs w:val="28"/>
          <w:lang w:val="en-US"/>
        </w:rPr>
        <w:t>H</w:t>
      </w:r>
      <w:r w:rsidR="00CB6931" w:rsidRPr="00495D9B">
        <w:rPr>
          <w:sz w:val="28"/>
          <w:szCs w:val="28"/>
          <w:lang w:val="en-US"/>
        </w:rPr>
        <w:t xml:space="preserve"> — </w:t>
      </w:r>
      <w:r w:rsidRPr="00495D9B">
        <w:rPr>
          <w:sz w:val="28"/>
          <w:szCs w:val="28"/>
          <w:lang w:val="en-US"/>
        </w:rPr>
        <w:t>height</w:t>
      </w:r>
      <w:r w:rsidR="00CB6931" w:rsidRPr="00495D9B">
        <w:rPr>
          <w:sz w:val="28"/>
          <w:szCs w:val="28"/>
          <w:lang w:val="en-US"/>
        </w:rPr>
        <w:t>.</w:t>
      </w:r>
    </w:p>
    <w:p w:rsidR="00A76504" w:rsidRPr="00495D9B" w:rsidRDefault="00A76504" w:rsidP="00CB6931">
      <w:pPr>
        <w:spacing w:after="0" w:line="360" w:lineRule="auto"/>
        <w:ind w:firstLine="709"/>
        <w:jc w:val="both"/>
        <w:rPr>
          <w:sz w:val="28"/>
          <w:szCs w:val="28"/>
          <w:lang w:val="en-US"/>
        </w:rPr>
      </w:pPr>
      <w:r w:rsidRPr="00495D9B">
        <w:rPr>
          <w:sz w:val="28"/>
          <w:szCs w:val="28"/>
          <w:lang w:val="en-US"/>
        </w:rPr>
        <w:t xml:space="preserve">The concentration of glucose in capillary blood was determined by glucose </w:t>
      </w:r>
      <w:proofErr w:type="spellStart"/>
      <w:r w:rsidRPr="00495D9B">
        <w:rPr>
          <w:sz w:val="28"/>
          <w:szCs w:val="28"/>
          <w:lang w:val="en-US"/>
        </w:rPr>
        <w:t>oxidase</w:t>
      </w:r>
      <w:proofErr w:type="spellEnd"/>
      <w:r w:rsidRPr="00495D9B">
        <w:rPr>
          <w:sz w:val="28"/>
          <w:szCs w:val="28"/>
          <w:lang w:val="en-US"/>
        </w:rPr>
        <w:t xml:space="preserve"> method fasting and 2 hours after the meal. The level of </w:t>
      </w:r>
      <w:proofErr w:type="spellStart"/>
      <w:r w:rsidRPr="00495D9B">
        <w:rPr>
          <w:sz w:val="28"/>
          <w:szCs w:val="28"/>
          <w:lang w:val="en-US"/>
        </w:rPr>
        <w:t>glycosylated</w:t>
      </w:r>
      <w:proofErr w:type="spellEnd"/>
      <w:r w:rsidRPr="00495D9B">
        <w:rPr>
          <w:sz w:val="28"/>
          <w:szCs w:val="28"/>
          <w:lang w:val="en-US"/>
        </w:rPr>
        <w:t xml:space="preserve"> hemoglobin (</w:t>
      </w:r>
      <w:proofErr w:type="spellStart"/>
      <w:r w:rsidRPr="00495D9B">
        <w:rPr>
          <w:sz w:val="28"/>
          <w:szCs w:val="28"/>
          <w:lang w:val="en-US"/>
        </w:rPr>
        <w:t>HbAlc</w:t>
      </w:r>
      <w:proofErr w:type="spellEnd"/>
      <w:r w:rsidRPr="00495D9B">
        <w:rPr>
          <w:sz w:val="28"/>
          <w:szCs w:val="28"/>
          <w:lang w:val="en-US"/>
        </w:rPr>
        <w:t xml:space="preserve">) was determined by the colorimetric method of R. </w:t>
      </w:r>
      <w:proofErr w:type="spellStart"/>
      <w:r w:rsidRPr="00495D9B">
        <w:rPr>
          <w:sz w:val="28"/>
          <w:szCs w:val="28"/>
          <w:lang w:val="en-US"/>
        </w:rPr>
        <w:t>Flutchiger</w:t>
      </w:r>
      <w:proofErr w:type="spellEnd"/>
      <w:r w:rsidRPr="00495D9B">
        <w:rPr>
          <w:sz w:val="28"/>
          <w:szCs w:val="28"/>
          <w:lang w:val="en-US"/>
        </w:rPr>
        <w:t xml:space="preserve">, </w:t>
      </w:r>
      <w:r w:rsidRPr="00495D9B">
        <w:rPr>
          <w:sz w:val="28"/>
          <w:szCs w:val="28"/>
          <w:lang w:val="en-US"/>
        </w:rPr>
        <w:lastRenderedPageBreak/>
        <w:t xml:space="preserve">K.N. </w:t>
      </w:r>
      <w:proofErr w:type="spellStart"/>
      <w:r w:rsidRPr="00495D9B">
        <w:rPr>
          <w:sz w:val="28"/>
          <w:szCs w:val="28"/>
          <w:lang w:val="en-US"/>
        </w:rPr>
        <w:t>Winterhalter</w:t>
      </w:r>
      <w:proofErr w:type="spellEnd"/>
      <w:r w:rsidRPr="00495D9B">
        <w:rPr>
          <w:sz w:val="28"/>
          <w:szCs w:val="28"/>
          <w:lang w:val="en-US"/>
        </w:rPr>
        <w:t xml:space="preserve"> (1976), modified by E.S. Abraham et al. (1978). Changes in carbohydrate metabolism were evaluated based on the diagnostic criteria for diabetes and other disorders of carbohydrate metabolism (WHO, 1999). Glucose tolerance test was performed with 75 g glucose. Insulin resistance and functional activity of the pancreatic b-cells were assessed using HOMA-IR index and HOMA-FB, proposed by Matthews et al.</w:t>
      </w:r>
    </w:p>
    <w:p w:rsidR="00A76504" w:rsidRPr="00495D9B" w:rsidRDefault="00A76504" w:rsidP="00CB6931">
      <w:pPr>
        <w:spacing w:after="0" w:line="360" w:lineRule="auto"/>
        <w:ind w:firstLine="709"/>
        <w:jc w:val="both"/>
        <w:rPr>
          <w:sz w:val="28"/>
          <w:szCs w:val="28"/>
          <w:lang w:val="en-US"/>
        </w:rPr>
      </w:pPr>
      <w:r w:rsidRPr="00495D9B">
        <w:rPr>
          <w:sz w:val="28"/>
          <w:szCs w:val="28"/>
          <w:lang w:val="en-US"/>
        </w:rPr>
        <w:t>The calculation was performed using the following formulas:</w:t>
      </w:r>
    </w:p>
    <w:p w:rsidR="00D42524" w:rsidRPr="00495D9B" w:rsidRDefault="00CB6931" w:rsidP="00CB6931">
      <w:pPr>
        <w:spacing w:after="0" w:line="360" w:lineRule="auto"/>
        <w:ind w:firstLine="709"/>
        <w:jc w:val="both"/>
        <w:rPr>
          <w:rFonts w:eastAsia="Arial Unicode MS"/>
          <w:b/>
          <w:bCs/>
          <w:i/>
          <w:iCs/>
          <w:sz w:val="17"/>
          <w:szCs w:val="17"/>
          <w:lang w:val="en-US" w:eastAsia="ru-RU"/>
        </w:rPr>
      </w:pPr>
      <w:r w:rsidRPr="00495D9B">
        <w:rPr>
          <w:b/>
          <w:i/>
          <w:sz w:val="28"/>
          <w:szCs w:val="28"/>
          <w:lang w:val="en-US"/>
        </w:rPr>
        <w:t>HOMA-IR</w:t>
      </w:r>
      <w:r w:rsidR="00D42524" w:rsidRPr="00495D9B">
        <w:rPr>
          <w:b/>
          <w:i/>
          <w:sz w:val="28"/>
          <w:szCs w:val="28"/>
          <w:lang w:val="en-US"/>
        </w:rPr>
        <w:t>=</w:t>
      </w:r>
      <w:r w:rsidR="006E3716" w:rsidRPr="00495D9B">
        <w:rPr>
          <w:b/>
          <w:i/>
          <w:sz w:val="28"/>
          <w:szCs w:val="28"/>
          <w:lang w:val="en-US"/>
        </w:rPr>
        <w:t>insulin of blood serum fasting</w:t>
      </w:r>
      <w:r w:rsidRPr="00495D9B">
        <w:rPr>
          <w:b/>
          <w:i/>
          <w:sz w:val="28"/>
          <w:szCs w:val="28"/>
          <w:lang w:val="en-US"/>
        </w:rPr>
        <w:t xml:space="preserve"> (</w:t>
      </w:r>
      <w:proofErr w:type="spellStart"/>
      <w:r w:rsidR="006E3716" w:rsidRPr="00495D9B">
        <w:rPr>
          <w:b/>
          <w:i/>
          <w:sz w:val="28"/>
          <w:szCs w:val="28"/>
          <w:lang w:val="en-US"/>
        </w:rPr>
        <w:t>mcU</w:t>
      </w:r>
      <w:proofErr w:type="spellEnd"/>
      <w:r w:rsidRPr="00495D9B">
        <w:rPr>
          <w:b/>
          <w:i/>
          <w:sz w:val="28"/>
          <w:szCs w:val="28"/>
          <w:lang w:val="en-US"/>
        </w:rPr>
        <w:t>/</w:t>
      </w:r>
      <w:r w:rsidR="006E3716" w:rsidRPr="00495D9B">
        <w:rPr>
          <w:b/>
          <w:i/>
          <w:sz w:val="28"/>
          <w:szCs w:val="28"/>
          <w:lang w:val="en-US"/>
        </w:rPr>
        <w:t>ml</w:t>
      </w:r>
      <w:r w:rsidRPr="00495D9B">
        <w:rPr>
          <w:b/>
          <w:i/>
          <w:sz w:val="28"/>
          <w:szCs w:val="28"/>
          <w:lang w:val="en-US"/>
        </w:rPr>
        <w:t xml:space="preserve">) х </w:t>
      </w:r>
      <w:r w:rsidR="006E3716" w:rsidRPr="00495D9B">
        <w:rPr>
          <w:b/>
          <w:i/>
          <w:sz w:val="28"/>
          <w:szCs w:val="28"/>
          <w:lang w:val="en-US"/>
        </w:rPr>
        <w:t>glucose of blood serum fasting</w:t>
      </w:r>
      <w:r w:rsidRPr="00495D9B">
        <w:rPr>
          <w:b/>
          <w:i/>
          <w:sz w:val="28"/>
          <w:szCs w:val="28"/>
          <w:lang w:val="en-US"/>
        </w:rPr>
        <w:t xml:space="preserve"> (</w:t>
      </w:r>
      <w:proofErr w:type="spellStart"/>
      <w:r w:rsidR="006E3716" w:rsidRPr="00495D9B">
        <w:rPr>
          <w:b/>
          <w:bCs/>
          <w:i/>
          <w:iCs/>
          <w:sz w:val="28"/>
          <w:szCs w:val="28"/>
          <w:lang w:val="en-US"/>
        </w:rPr>
        <w:t>mmol</w:t>
      </w:r>
      <w:proofErr w:type="spellEnd"/>
      <w:r w:rsidR="006E3716" w:rsidRPr="00495D9B">
        <w:rPr>
          <w:b/>
          <w:i/>
          <w:sz w:val="28"/>
          <w:szCs w:val="28"/>
          <w:lang w:val="en-US"/>
        </w:rPr>
        <w:t xml:space="preserve"> </w:t>
      </w:r>
      <w:r w:rsidRPr="00495D9B">
        <w:rPr>
          <w:b/>
          <w:i/>
          <w:sz w:val="28"/>
          <w:szCs w:val="28"/>
          <w:lang w:val="en-US"/>
        </w:rPr>
        <w:t>/</w:t>
      </w:r>
      <w:r w:rsidR="006E3716" w:rsidRPr="00495D9B">
        <w:rPr>
          <w:b/>
          <w:i/>
          <w:sz w:val="28"/>
          <w:szCs w:val="28"/>
          <w:lang w:val="en-US"/>
        </w:rPr>
        <w:t>l</w:t>
      </w:r>
      <w:r w:rsidRPr="00495D9B">
        <w:rPr>
          <w:b/>
          <w:i/>
          <w:sz w:val="28"/>
          <w:szCs w:val="28"/>
          <w:lang w:val="en-US"/>
        </w:rPr>
        <w:t>)/22</w:t>
      </w:r>
      <w:proofErr w:type="gramStart"/>
      <w:r w:rsidRPr="00495D9B">
        <w:rPr>
          <w:b/>
          <w:i/>
          <w:sz w:val="28"/>
          <w:szCs w:val="28"/>
          <w:lang w:val="en-US"/>
        </w:rPr>
        <w:t>,5</w:t>
      </w:r>
      <w:proofErr w:type="gramEnd"/>
    </w:p>
    <w:p w:rsidR="00CB6931" w:rsidRPr="00495D9B" w:rsidRDefault="00CB6931" w:rsidP="00CB6931">
      <w:pPr>
        <w:spacing w:after="0" w:line="360" w:lineRule="auto"/>
        <w:ind w:firstLine="709"/>
        <w:jc w:val="both"/>
        <w:rPr>
          <w:b/>
          <w:bCs/>
          <w:i/>
          <w:iCs/>
          <w:sz w:val="28"/>
          <w:szCs w:val="28"/>
          <w:lang w:val="en-US"/>
        </w:rPr>
      </w:pPr>
      <w:r w:rsidRPr="00495D9B">
        <w:rPr>
          <w:b/>
          <w:bCs/>
          <w:i/>
          <w:iCs/>
          <w:sz w:val="28"/>
          <w:szCs w:val="28"/>
          <w:lang w:val="en-US"/>
        </w:rPr>
        <w:t>НОМА-FВ</w:t>
      </w:r>
      <w:proofErr w:type="gramStart"/>
      <w:r w:rsidR="00D42524" w:rsidRPr="00495D9B">
        <w:rPr>
          <w:b/>
          <w:bCs/>
          <w:i/>
          <w:iCs/>
          <w:sz w:val="28"/>
          <w:szCs w:val="28"/>
          <w:lang w:val="en-US"/>
        </w:rPr>
        <w:t>=</w:t>
      </w:r>
      <w:r w:rsidRPr="00495D9B">
        <w:rPr>
          <w:b/>
          <w:bCs/>
          <w:i/>
          <w:iCs/>
          <w:sz w:val="28"/>
          <w:szCs w:val="28"/>
          <w:lang w:val="en-US"/>
        </w:rPr>
        <w:t>(</w:t>
      </w:r>
      <w:proofErr w:type="gramEnd"/>
      <w:r w:rsidRPr="00495D9B">
        <w:rPr>
          <w:b/>
          <w:bCs/>
          <w:i/>
          <w:iCs/>
          <w:sz w:val="28"/>
          <w:szCs w:val="28"/>
          <w:lang w:val="en-US"/>
        </w:rPr>
        <w:t xml:space="preserve">20 х </w:t>
      </w:r>
      <w:r w:rsidR="006E3716" w:rsidRPr="00495D9B">
        <w:rPr>
          <w:b/>
          <w:bCs/>
          <w:i/>
          <w:iCs/>
          <w:sz w:val="28"/>
          <w:szCs w:val="28"/>
          <w:lang w:val="en-US"/>
        </w:rPr>
        <w:t>IRI</w:t>
      </w:r>
      <w:r w:rsidRPr="00495D9B">
        <w:rPr>
          <w:b/>
          <w:bCs/>
          <w:i/>
          <w:iCs/>
          <w:sz w:val="28"/>
          <w:szCs w:val="28"/>
          <w:lang w:val="en-US"/>
        </w:rPr>
        <w:t xml:space="preserve"> (</w:t>
      </w:r>
      <w:proofErr w:type="spellStart"/>
      <w:r w:rsidR="006E3716" w:rsidRPr="00495D9B">
        <w:rPr>
          <w:b/>
          <w:bCs/>
          <w:i/>
          <w:iCs/>
          <w:sz w:val="28"/>
          <w:szCs w:val="28"/>
          <w:lang w:val="en-US"/>
        </w:rPr>
        <w:t>mcU</w:t>
      </w:r>
      <w:proofErr w:type="spellEnd"/>
      <w:r w:rsidR="006E3716" w:rsidRPr="00495D9B">
        <w:rPr>
          <w:b/>
          <w:bCs/>
          <w:i/>
          <w:iCs/>
          <w:sz w:val="28"/>
          <w:szCs w:val="28"/>
          <w:lang w:val="en-US"/>
        </w:rPr>
        <w:t>/ml</w:t>
      </w:r>
      <w:r w:rsidRPr="00495D9B">
        <w:rPr>
          <w:b/>
          <w:bCs/>
          <w:i/>
          <w:iCs/>
          <w:sz w:val="28"/>
          <w:szCs w:val="28"/>
          <w:lang w:val="en-US"/>
        </w:rPr>
        <w:t>))/(</w:t>
      </w:r>
      <w:proofErr w:type="spellStart"/>
      <w:r w:rsidR="006E3716" w:rsidRPr="00495D9B">
        <w:rPr>
          <w:b/>
          <w:bCs/>
          <w:i/>
          <w:iCs/>
          <w:sz w:val="28"/>
          <w:szCs w:val="28"/>
          <w:lang w:val="en-US"/>
        </w:rPr>
        <w:t>glycemia</w:t>
      </w:r>
      <w:proofErr w:type="spellEnd"/>
      <w:r w:rsidRPr="00495D9B">
        <w:rPr>
          <w:b/>
          <w:bCs/>
          <w:i/>
          <w:iCs/>
          <w:sz w:val="28"/>
          <w:szCs w:val="28"/>
          <w:lang w:val="en-US"/>
        </w:rPr>
        <w:t xml:space="preserve"> </w:t>
      </w:r>
      <w:r w:rsidR="006E3716" w:rsidRPr="00495D9B">
        <w:rPr>
          <w:b/>
          <w:bCs/>
          <w:i/>
          <w:iCs/>
          <w:sz w:val="28"/>
          <w:szCs w:val="28"/>
          <w:lang w:val="en-US"/>
        </w:rPr>
        <w:t>fasting</w:t>
      </w:r>
      <w:r w:rsidRPr="00495D9B">
        <w:rPr>
          <w:b/>
          <w:bCs/>
          <w:i/>
          <w:iCs/>
          <w:sz w:val="28"/>
          <w:szCs w:val="28"/>
          <w:lang w:val="en-US"/>
        </w:rPr>
        <w:t xml:space="preserve"> (</w:t>
      </w:r>
      <w:proofErr w:type="spellStart"/>
      <w:r w:rsidR="006E3716" w:rsidRPr="00495D9B">
        <w:rPr>
          <w:b/>
          <w:bCs/>
          <w:i/>
          <w:iCs/>
          <w:sz w:val="28"/>
          <w:szCs w:val="28"/>
          <w:lang w:val="en-US"/>
        </w:rPr>
        <w:t>mmol</w:t>
      </w:r>
      <w:proofErr w:type="spellEnd"/>
      <w:r w:rsidRPr="00495D9B">
        <w:rPr>
          <w:b/>
          <w:bCs/>
          <w:i/>
          <w:iCs/>
          <w:sz w:val="28"/>
          <w:szCs w:val="28"/>
          <w:lang w:val="en-US"/>
        </w:rPr>
        <w:t>/</w:t>
      </w:r>
      <w:r w:rsidR="006E3716" w:rsidRPr="00495D9B">
        <w:rPr>
          <w:b/>
          <w:bCs/>
          <w:i/>
          <w:iCs/>
          <w:sz w:val="28"/>
          <w:szCs w:val="28"/>
          <w:lang w:val="en-US"/>
        </w:rPr>
        <w:t>l</w:t>
      </w:r>
      <w:r w:rsidRPr="00495D9B">
        <w:rPr>
          <w:b/>
          <w:bCs/>
          <w:i/>
          <w:iCs/>
          <w:sz w:val="28"/>
          <w:szCs w:val="28"/>
          <w:lang w:val="en-US"/>
        </w:rPr>
        <w:t>) — 3,5).</w:t>
      </w:r>
    </w:p>
    <w:p w:rsidR="006E3716" w:rsidRPr="00495D9B" w:rsidRDefault="006E3716" w:rsidP="00CB6931">
      <w:pPr>
        <w:spacing w:after="0" w:line="360" w:lineRule="auto"/>
        <w:ind w:firstLine="709"/>
        <w:jc w:val="both"/>
        <w:rPr>
          <w:sz w:val="28"/>
          <w:szCs w:val="28"/>
          <w:lang w:val="en-US"/>
        </w:rPr>
      </w:pPr>
      <w:r w:rsidRPr="00495D9B">
        <w:rPr>
          <w:sz w:val="28"/>
          <w:szCs w:val="28"/>
          <w:lang w:val="en-US"/>
        </w:rPr>
        <w:t xml:space="preserve">Statistical processing of the results of study was carried out using STATISTICA (version 6.0). Data are given as mean values and the arithmetic mean error (M ± SD), as well as </w:t>
      </w:r>
      <w:proofErr w:type="gramStart"/>
      <w:r w:rsidRPr="00495D9B">
        <w:rPr>
          <w:sz w:val="28"/>
          <w:szCs w:val="28"/>
          <w:lang w:val="en-US"/>
        </w:rPr>
        <w:t>Me</w:t>
      </w:r>
      <w:proofErr w:type="gramEnd"/>
      <w:r w:rsidRPr="00495D9B">
        <w:rPr>
          <w:sz w:val="28"/>
          <w:szCs w:val="28"/>
          <w:lang w:val="en-US"/>
        </w:rPr>
        <w:t xml:space="preserve"> [25; 75] (Me</w:t>
      </w:r>
      <w:r w:rsidR="00240827" w:rsidRPr="00495D9B">
        <w:rPr>
          <w:sz w:val="28"/>
          <w:szCs w:val="28"/>
          <w:lang w:val="en-US"/>
        </w:rPr>
        <w:t xml:space="preserve"> — </w:t>
      </w:r>
      <w:r w:rsidRPr="00495D9B">
        <w:rPr>
          <w:sz w:val="28"/>
          <w:szCs w:val="28"/>
          <w:lang w:val="en-US"/>
        </w:rPr>
        <w:t xml:space="preserve">median, </w:t>
      </w:r>
      <w:proofErr w:type="spellStart"/>
      <w:r w:rsidRPr="00495D9B">
        <w:rPr>
          <w:sz w:val="28"/>
          <w:szCs w:val="28"/>
          <w:lang w:val="en-US"/>
        </w:rPr>
        <w:t>interquartile</w:t>
      </w:r>
      <w:proofErr w:type="spellEnd"/>
      <w:r w:rsidRPr="00495D9B">
        <w:rPr>
          <w:sz w:val="28"/>
          <w:szCs w:val="28"/>
          <w:lang w:val="en-US"/>
        </w:rPr>
        <w:t xml:space="preserve"> values: 25 and 75</w:t>
      </w:r>
      <w:r w:rsidR="00240827" w:rsidRPr="00495D9B">
        <w:rPr>
          <w:sz w:val="28"/>
          <w:szCs w:val="28"/>
          <w:lang w:val="en-US"/>
        </w:rPr>
        <w:t xml:space="preserve"> — </w:t>
      </w:r>
      <w:r w:rsidRPr="00495D9B">
        <w:rPr>
          <w:sz w:val="28"/>
          <w:szCs w:val="28"/>
          <w:lang w:val="en-US"/>
        </w:rPr>
        <w:t>percentile).</w:t>
      </w:r>
    </w:p>
    <w:p w:rsidR="00CB6931" w:rsidRPr="00495D9B" w:rsidRDefault="006E3716" w:rsidP="00CB6931">
      <w:pPr>
        <w:spacing w:after="0" w:line="360" w:lineRule="auto"/>
        <w:ind w:firstLine="709"/>
        <w:jc w:val="both"/>
        <w:rPr>
          <w:b/>
          <w:bCs/>
          <w:sz w:val="28"/>
          <w:szCs w:val="28"/>
          <w:lang w:val="en-US"/>
        </w:rPr>
      </w:pPr>
      <w:r w:rsidRPr="00495D9B">
        <w:rPr>
          <w:b/>
          <w:bCs/>
          <w:sz w:val="28"/>
          <w:szCs w:val="28"/>
          <w:lang w:val="en-US"/>
        </w:rPr>
        <w:t>Results and discussion</w:t>
      </w:r>
    </w:p>
    <w:p w:rsidR="001D07D4" w:rsidRPr="00495D9B" w:rsidRDefault="00642715" w:rsidP="000130CE">
      <w:pPr>
        <w:spacing w:after="0" w:line="360" w:lineRule="auto"/>
        <w:ind w:firstLine="709"/>
        <w:jc w:val="both"/>
        <w:rPr>
          <w:rFonts w:eastAsiaTheme="minorHAnsi"/>
          <w:sz w:val="28"/>
          <w:szCs w:val="28"/>
          <w:lang w:val="en-US"/>
        </w:rPr>
      </w:pPr>
      <w:r w:rsidRPr="00495D9B">
        <w:rPr>
          <w:rFonts w:eastAsiaTheme="minorHAnsi"/>
          <w:sz w:val="28"/>
          <w:szCs w:val="28"/>
          <w:lang w:val="en-US"/>
        </w:rPr>
        <w:t xml:space="preserve">Studies have shown </w:t>
      </w:r>
      <w:r w:rsidR="001D07D4" w:rsidRPr="00495D9B">
        <w:rPr>
          <w:rFonts w:eastAsiaTheme="minorHAnsi"/>
          <w:sz w:val="28"/>
          <w:szCs w:val="28"/>
          <w:lang w:val="en-US"/>
        </w:rPr>
        <w:t>that upon</w:t>
      </w:r>
      <w:r w:rsidRPr="00495D9B">
        <w:rPr>
          <w:rFonts w:eastAsiaTheme="minorHAnsi"/>
          <w:sz w:val="28"/>
          <w:szCs w:val="28"/>
          <w:lang w:val="en-US"/>
        </w:rPr>
        <w:t xml:space="preserve"> comparing the HOMA-IR index in the general group (i.e. generally those with disorders of </w:t>
      </w:r>
      <w:r w:rsidR="00D22DB5" w:rsidRPr="00495D9B">
        <w:rPr>
          <w:rFonts w:eastAsiaTheme="minorHAnsi"/>
          <w:sz w:val="28"/>
          <w:szCs w:val="28"/>
          <w:lang w:val="en-US"/>
        </w:rPr>
        <w:t>CHM</w:t>
      </w:r>
      <w:r w:rsidRPr="00495D9B">
        <w:rPr>
          <w:rFonts w:eastAsiaTheme="minorHAnsi"/>
          <w:sz w:val="28"/>
          <w:szCs w:val="28"/>
          <w:lang w:val="en-US"/>
        </w:rPr>
        <w:t xml:space="preserve">, and without it) was significantly higher in all groups </w:t>
      </w:r>
      <w:r w:rsidR="001D07D4" w:rsidRPr="00495D9B">
        <w:rPr>
          <w:rFonts w:eastAsiaTheme="minorHAnsi"/>
          <w:sz w:val="28"/>
          <w:szCs w:val="28"/>
          <w:lang w:val="en-US"/>
        </w:rPr>
        <w:t>as comparing</w:t>
      </w:r>
      <w:r w:rsidRPr="00495D9B">
        <w:rPr>
          <w:rFonts w:eastAsiaTheme="minorHAnsi"/>
          <w:sz w:val="28"/>
          <w:szCs w:val="28"/>
          <w:lang w:val="en-US"/>
        </w:rPr>
        <w:t xml:space="preserve"> to the control. HOMA</w:t>
      </w:r>
      <w:r w:rsidR="001D07D4" w:rsidRPr="00495D9B">
        <w:rPr>
          <w:rFonts w:eastAsiaTheme="minorHAnsi"/>
          <w:sz w:val="28"/>
          <w:szCs w:val="28"/>
          <w:lang w:val="en-US"/>
        </w:rPr>
        <w:t>-FB</w:t>
      </w:r>
      <w:r w:rsidRPr="00495D9B">
        <w:rPr>
          <w:rFonts w:eastAsiaTheme="minorHAnsi"/>
          <w:sz w:val="28"/>
          <w:szCs w:val="28"/>
          <w:lang w:val="en-US"/>
        </w:rPr>
        <w:t xml:space="preserve"> is lower than in the control group, but not significant</w:t>
      </w:r>
      <w:r w:rsidR="001D07D4" w:rsidRPr="00495D9B">
        <w:rPr>
          <w:rFonts w:eastAsiaTheme="minorHAnsi"/>
          <w:sz w:val="28"/>
          <w:szCs w:val="28"/>
          <w:lang w:val="en-US"/>
        </w:rPr>
        <w:t>ly (Table 2).</w:t>
      </w:r>
    </w:p>
    <w:p w:rsidR="001D07D4" w:rsidRPr="00495D9B" w:rsidRDefault="00642715" w:rsidP="000130CE">
      <w:pPr>
        <w:spacing w:after="0" w:line="360" w:lineRule="auto"/>
        <w:ind w:firstLine="709"/>
        <w:jc w:val="both"/>
        <w:rPr>
          <w:rFonts w:eastAsiaTheme="minorHAnsi"/>
          <w:sz w:val="28"/>
          <w:szCs w:val="28"/>
          <w:lang w:val="en-US"/>
        </w:rPr>
      </w:pPr>
      <w:r w:rsidRPr="00495D9B">
        <w:rPr>
          <w:rFonts w:eastAsiaTheme="minorHAnsi"/>
          <w:sz w:val="28"/>
          <w:szCs w:val="28"/>
          <w:lang w:val="en-US"/>
        </w:rPr>
        <w:t xml:space="preserve">For a more detailed study, we divided all three groups into sub-groups: those with and without violation of </w:t>
      </w:r>
      <w:r w:rsidR="00D22DB5" w:rsidRPr="00495D9B">
        <w:rPr>
          <w:rFonts w:eastAsiaTheme="minorHAnsi"/>
          <w:sz w:val="28"/>
          <w:szCs w:val="28"/>
          <w:lang w:val="en-US"/>
        </w:rPr>
        <w:t>CHM</w:t>
      </w:r>
      <w:r w:rsidR="001D07D4" w:rsidRPr="00495D9B">
        <w:rPr>
          <w:rFonts w:eastAsiaTheme="minorHAnsi"/>
          <w:sz w:val="28"/>
          <w:szCs w:val="28"/>
          <w:lang w:val="en-US"/>
        </w:rPr>
        <w:t xml:space="preserve"> disorders (Table 3).</w:t>
      </w:r>
    </w:p>
    <w:p w:rsidR="00D22DB5" w:rsidRPr="00495D9B" w:rsidRDefault="00642715" w:rsidP="000130CE">
      <w:pPr>
        <w:spacing w:after="0" w:line="360" w:lineRule="auto"/>
        <w:ind w:firstLine="709"/>
        <w:jc w:val="both"/>
        <w:rPr>
          <w:rFonts w:eastAsiaTheme="minorHAnsi"/>
          <w:sz w:val="28"/>
          <w:szCs w:val="28"/>
          <w:lang w:val="en-US"/>
        </w:rPr>
      </w:pPr>
      <w:r w:rsidRPr="00495D9B">
        <w:rPr>
          <w:rFonts w:eastAsiaTheme="minorHAnsi"/>
          <w:sz w:val="28"/>
          <w:szCs w:val="28"/>
          <w:lang w:val="en-US"/>
        </w:rPr>
        <w:t>We found that patients with CP duration</w:t>
      </w:r>
      <w:r w:rsidR="001D07D4" w:rsidRPr="00495D9B">
        <w:rPr>
          <w:rFonts w:eastAsiaTheme="minorHAnsi"/>
          <w:sz w:val="28"/>
          <w:szCs w:val="28"/>
          <w:lang w:val="en-US"/>
        </w:rPr>
        <w:t xml:space="preserve"> &gt;</w:t>
      </w:r>
      <w:r w:rsidRPr="00495D9B">
        <w:rPr>
          <w:rFonts w:eastAsiaTheme="minorHAnsi"/>
          <w:sz w:val="28"/>
          <w:szCs w:val="28"/>
          <w:lang w:val="en-US"/>
        </w:rPr>
        <w:t xml:space="preserve">5 years with impaired </w:t>
      </w:r>
      <w:r w:rsidR="00D22DB5" w:rsidRPr="00495D9B">
        <w:rPr>
          <w:rFonts w:eastAsiaTheme="minorHAnsi"/>
          <w:sz w:val="28"/>
          <w:szCs w:val="28"/>
          <w:lang w:val="en-US"/>
        </w:rPr>
        <w:t>CHM</w:t>
      </w:r>
      <w:r w:rsidR="001D07D4" w:rsidRPr="00495D9B">
        <w:rPr>
          <w:rFonts w:eastAsiaTheme="minorHAnsi"/>
          <w:sz w:val="28"/>
          <w:szCs w:val="28"/>
          <w:lang w:val="en-US"/>
        </w:rPr>
        <w:t>,</w:t>
      </w:r>
      <w:r w:rsidRPr="00495D9B">
        <w:rPr>
          <w:rFonts w:eastAsiaTheme="minorHAnsi"/>
          <w:sz w:val="28"/>
          <w:szCs w:val="28"/>
          <w:lang w:val="en-US"/>
        </w:rPr>
        <w:t xml:space="preserve"> IRI contents and HOMA-IR </w:t>
      </w:r>
      <w:r w:rsidR="001D07D4" w:rsidRPr="00495D9B">
        <w:rPr>
          <w:rFonts w:eastAsiaTheme="minorHAnsi"/>
          <w:sz w:val="28"/>
          <w:szCs w:val="28"/>
          <w:lang w:val="en-US"/>
        </w:rPr>
        <w:t>index were</w:t>
      </w:r>
      <w:r w:rsidRPr="00495D9B">
        <w:rPr>
          <w:rFonts w:eastAsiaTheme="minorHAnsi"/>
          <w:sz w:val="28"/>
          <w:szCs w:val="28"/>
          <w:lang w:val="en-US"/>
        </w:rPr>
        <w:t xml:space="preserve"> significantly higher, while the functional activity of b-cell</w:t>
      </w:r>
      <w:r w:rsidR="00D22DB5" w:rsidRPr="00495D9B">
        <w:rPr>
          <w:rFonts w:eastAsiaTheme="minorHAnsi"/>
          <w:sz w:val="28"/>
          <w:szCs w:val="28"/>
          <w:lang w:val="en-US"/>
        </w:rPr>
        <w:t>s</w:t>
      </w:r>
      <w:r w:rsidRPr="00495D9B">
        <w:rPr>
          <w:rFonts w:eastAsiaTheme="minorHAnsi"/>
          <w:sz w:val="28"/>
          <w:szCs w:val="28"/>
          <w:lang w:val="en-US"/>
        </w:rPr>
        <w:t xml:space="preserve"> (HOMA-FB) </w:t>
      </w:r>
      <w:r w:rsidR="001D07D4" w:rsidRPr="00495D9B">
        <w:rPr>
          <w:rFonts w:eastAsiaTheme="minorHAnsi"/>
          <w:sz w:val="28"/>
          <w:szCs w:val="28"/>
          <w:lang w:val="en-US"/>
        </w:rPr>
        <w:t>was</w:t>
      </w:r>
      <w:r w:rsidRPr="00495D9B">
        <w:rPr>
          <w:rFonts w:eastAsiaTheme="minorHAnsi"/>
          <w:sz w:val="28"/>
          <w:szCs w:val="28"/>
          <w:lang w:val="en-US"/>
        </w:rPr>
        <w:t xml:space="preserve"> uncertain, but lower than in patients without disor</w:t>
      </w:r>
      <w:r w:rsidR="00D22DB5" w:rsidRPr="00495D9B">
        <w:rPr>
          <w:rFonts w:eastAsiaTheme="minorHAnsi"/>
          <w:sz w:val="28"/>
          <w:szCs w:val="28"/>
          <w:lang w:val="en-US"/>
        </w:rPr>
        <w:t>ders of carbohydrate metabolism.</w:t>
      </w:r>
    </w:p>
    <w:p w:rsidR="00642715" w:rsidRPr="00495D9B" w:rsidRDefault="00642715" w:rsidP="000130CE">
      <w:pPr>
        <w:spacing w:after="0" w:line="360" w:lineRule="auto"/>
        <w:ind w:firstLine="709"/>
        <w:jc w:val="both"/>
        <w:rPr>
          <w:rFonts w:eastAsiaTheme="minorHAnsi"/>
          <w:sz w:val="28"/>
          <w:szCs w:val="28"/>
          <w:lang w:val="en-US"/>
        </w:rPr>
      </w:pPr>
      <w:r w:rsidRPr="00495D9B">
        <w:rPr>
          <w:rFonts w:eastAsiaTheme="minorHAnsi"/>
          <w:sz w:val="28"/>
          <w:szCs w:val="28"/>
          <w:lang w:val="en-US"/>
        </w:rPr>
        <w:t xml:space="preserve">According to the </w:t>
      </w:r>
      <w:r w:rsidR="00D22DB5" w:rsidRPr="00495D9B">
        <w:rPr>
          <w:rFonts w:eastAsiaTheme="minorHAnsi"/>
          <w:sz w:val="28"/>
          <w:szCs w:val="28"/>
          <w:lang w:val="en-US"/>
        </w:rPr>
        <w:t>world data</w:t>
      </w:r>
      <w:r w:rsidRPr="00495D9B">
        <w:rPr>
          <w:rFonts w:eastAsiaTheme="minorHAnsi"/>
          <w:sz w:val="28"/>
          <w:szCs w:val="28"/>
          <w:lang w:val="en-US"/>
        </w:rPr>
        <w:t xml:space="preserve">, impaired carbohydrate tolerance usually develops at an early stage of CP. Sustainable glucose </w:t>
      </w:r>
      <w:proofErr w:type="spellStart"/>
      <w:r w:rsidRPr="00495D9B">
        <w:rPr>
          <w:rFonts w:eastAsiaTheme="minorHAnsi"/>
          <w:sz w:val="28"/>
          <w:szCs w:val="28"/>
          <w:lang w:val="en-US"/>
        </w:rPr>
        <w:t>dysregulation</w:t>
      </w:r>
      <w:proofErr w:type="spellEnd"/>
      <w:r w:rsidRPr="00495D9B">
        <w:rPr>
          <w:rFonts w:eastAsiaTheme="minorHAnsi"/>
          <w:sz w:val="28"/>
          <w:szCs w:val="28"/>
          <w:lang w:val="en-US"/>
        </w:rPr>
        <w:t xml:space="preserve"> occurs in an average </w:t>
      </w:r>
      <w:r w:rsidR="00D22DB5" w:rsidRPr="00495D9B">
        <w:rPr>
          <w:rFonts w:eastAsiaTheme="minorHAnsi"/>
          <w:sz w:val="28"/>
          <w:szCs w:val="28"/>
          <w:lang w:val="en-US"/>
        </w:rPr>
        <w:t>in</w:t>
      </w:r>
      <w:r w:rsidRPr="00495D9B">
        <w:rPr>
          <w:rFonts w:eastAsiaTheme="minorHAnsi"/>
          <w:sz w:val="28"/>
          <w:szCs w:val="28"/>
          <w:lang w:val="en-US"/>
        </w:rPr>
        <w:t xml:space="preserve"> 5 years after the onset of the underlying disease, but diabetes can also be formed in the early clinical manifestations of CP. Further, the incidence of diabetes in CP assumes a linear dependence on time [1].</w:t>
      </w:r>
    </w:p>
    <w:p w:rsidR="00CB6931" w:rsidRPr="00495D9B" w:rsidRDefault="00642715" w:rsidP="000130CE">
      <w:pPr>
        <w:spacing w:after="0" w:line="360" w:lineRule="auto"/>
        <w:jc w:val="right"/>
        <w:rPr>
          <w:bCs/>
          <w:iCs/>
          <w:sz w:val="28"/>
          <w:szCs w:val="28"/>
          <w:lang w:val="en-US"/>
        </w:rPr>
      </w:pPr>
      <w:r w:rsidRPr="00495D9B">
        <w:rPr>
          <w:bCs/>
          <w:iCs/>
          <w:sz w:val="28"/>
          <w:szCs w:val="28"/>
          <w:lang w:val="en-US"/>
        </w:rPr>
        <w:lastRenderedPageBreak/>
        <w:t>Table 1</w:t>
      </w:r>
    </w:p>
    <w:p w:rsidR="00642715" w:rsidRPr="00495D9B" w:rsidRDefault="00642715" w:rsidP="00642715">
      <w:pPr>
        <w:spacing w:after="0" w:line="360" w:lineRule="auto"/>
        <w:jc w:val="center"/>
        <w:rPr>
          <w:b/>
          <w:bCs/>
          <w:iCs/>
          <w:sz w:val="28"/>
          <w:szCs w:val="28"/>
          <w:lang w:val="en-US"/>
        </w:rPr>
      </w:pPr>
      <w:r w:rsidRPr="00495D9B">
        <w:rPr>
          <w:b/>
          <w:bCs/>
          <w:iCs/>
          <w:sz w:val="28"/>
          <w:szCs w:val="28"/>
          <w:lang w:val="en-US"/>
        </w:rPr>
        <w:t>Distribution of patients with CP</w:t>
      </w:r>
    </w:p>
    <w:p w:rsidR="00CB6931" w:rsidRPr="00495D9B" w:rsidRDefault="00642715" w:rsidP="00642715">
      <w:pPr>
        <w:spacing w:after="0" w:line="360" w:lineRule="auto"/>
        <w:jc w:val="center"/>
        <w:rPr>
          <w:b/>
          <w:bCs/>
          <w:iCs/>
          <w:sz w:val="28"/>
          <w:szCs w:val="28"/>
          <w:lang w:val="en-US"/>
        </w:rPr>
      </w:pPr>
      <w:r w:rsidRPr="00495D9B">
        <w:rPr>
          <w:b/>
          <w:bCs/>
          <w:iCs/>
          <w:sz w:val="28"/>
          <w:szCs w:val="28"/>
          <w:lang w:val="en-US"/>
        </w:rPr>
        <w:t xml:space="preserve"> </w:t>
      </w:r>
      <w:proofErr w:type="gramStart"/>
      <w:r w:rsidRPr="00495D9B">
        <w:rPr>
          <w:b/>
          <w:bCs/>
          <w:iCs/>
          <w:sz w:val="28"/>
          <w:szCs w:val="28"/>
          <w:lang w:val="en-US"/>
        </w:rPr>
        <w:t>depending</w:t>
      </w:r>
      <w:proofErr w:type="gramEnd"/>
      <w:r w:rsidRPr="00495D9B">
        <w:rPr>
          <w:b/>
          <w:bCs/>
          <w:iCs/>
          <w:sz w:val="28"/>
          <w:szCs w:val="28"/>
          <w:lang w:val="en-US"/>
        </w:rPr>
        <w:t xml:space="preserve"> on age</w:t>
      </w:r>
      <w:r w:rsidR="00CB6931" w:rsidRPr="00495D9B">
        <w:rPr>
          <w:b/>
          <w:bCs/>
          <w:iCs/>
          <w:sz w:val="28"/>
          <w:szCs w:val="28"/>
          <w:lang w:val="en-US"/>
        </w:rPr>
        <w:t xml:space="preserve">, </w:t>
      </w:r>
      <w:r w:rsidRPr="00495D9B">
        <w:rPr>
          <w:b/>
          <w:bCs/>
          <w:iCs/>
          <w:sz w:val="28"/>
          <w:szCs w:val="28"/>
          <w:lang w:val="en-US"/>
        </w:rPr>
        <w:t>sex, BMI and duration of disease</w:t>
      </w:r>
    </w:p>
    <w:tbl>
      <w:tblPr>
        <w:tblW w:w="0" w:type="auto"/>
        <w:jc w:val="center"/>
        <w:tblLayout w:type="fixed"/>
        <w:tblCellMar>
          <w:left w:w="0" w:type="dxa"/>
          <w:right w:w="0" w:type="dxa"/>
        </w:tblCellMar>
        <w:tblLook w:val="0000"/>
      </w:tblPr>
      <w:tblGrid>
        <w:gridCol w:w="3235"/>
        <w:gridCol w:w="1522"/>
        <w:gridCol w:w="998"/>
        <w:gridCol w:w="888"/>
        <w:gridCol w:w="830"/>
        <w:gridCol w:w="960"/>
        <w:gridCol w:w="1224"/>
      </w:tblGrid>
      <w:tr w:rsidR="00CB6931" w:rsidRPr="00495D9B" w:rsidTr="00D42524">
        <w:trPr>
          <w:trHeight w:val="350"/>
          <w:jc w:val="center"/>
        </w:trPr>
        <w:tc>
          <w:tcPr>
            <w:tcW w:w="3235" w:type="dxa"/>
            <w:vMerge w:val="restart"/>
            <w:tcBorders>
              <w:top w:val="single" w:sz="4" w:space="0" w:color="auto"/>
              <w:left w:val="single" w:sz="4" w:space="0" w:color="auto"/>
              <w:bottom w:val="nil"/>
              <w:right w:val="single" w:sz="4" w:space="0" w:color="auto"/>
            </w:tcBorders>
            <w:shd w:val="clear" w:color="auto" w:fill="FFFFFF"/>
            <w:vAlign w:val="center"/>
          </w:tcPr>
          <w:p w:rsidR="00CB6931" w:rsidRPr="00495D9B" w:rsidRDefault="00642715" w:rsidP="00642715">
            <w:pPr>
              <w:spacing w:after="0" w:line="360" w:lineRule="auto"/>
              <w:jc w:val="center"/>
              <w:rPr>
                <w:b/>
                <w:bCs/>
                <w:sz w:val="20"/>
                <w:szCs w:val="20"/>
                <w:lang w:val="en-US"/>
              </w:rPr>
            </w:pPr>
            <w:r w:rsidRPr="00495D9B">
              <w:rPr>
                <w:b/>
                <w:bCs/>
                <w:sz w:val="20"/>
                <w:szCs w:val="20"/>
                <w:lang w:val="en-US"/>
              </w:rPr>
              <w:t>Groups (CP duration)</w:t>
            </w:r>
          </w:p>
        </w:tc>
        <w:tc>
          <w:tcPr>
            <w:tcW w:w="1522" w:type="dxa"/>
            <w:vMerge w:val="restart"/>
            <w:tcBorders>
              <w:top w:val="single" w:sz="4" w:space="0" w:color="auto"/>
              <w:left w:val="single" w:sz="4" w:space="0" w:color="auto"/>
              <w:bottom w:val="nil"/>
              <w:right w:val="single" w:sz="4" w:space="0" w:color="auto"/>
            </w:tcBorders>
            <w:shd w:val="clear" w:color="auto" w:fill="FFFFFF"/>
            <w:vAlign w:val="center"/>
          </w:tcPr>
          <w:p w:rsidR="00CB6931" w:rsidRPr="00495D9B" w:rsidRDefault="00642715" w:rsidP="00642715">
            <w:pPr>
              <w:spacing w:after="0" w:line="360" w:lineRule="auto"/>
              <w:jc w:val="center"/>
              <w:rPr>
                <w:b/>
                <w:bCs/>
                <w:sz w:val="20"/>
                <w:szCs w:val="20"/>
                <w:lang w:val="en-US"/>
              </w:rPr>
            </w:pPr>
            <w:r w:rsidRPr="00495D9B">
              <w:rPr>
                <w:b/>
                <w:bCs/>
                <w:sz w:val="20"/>
                <w:szCs w:val="20"/>
                <w:lang w:val="en-US"/>
              </w:rPr>
              <w:t>BMI</w:t>
            </w:r>
            <w:r w:rsidR="00CB6931" w:rsidRPr="00495D9B">
              <w:rPr>
                <w:b/>
                <w:bCs/>
                <w:sz w:val="20"/>
                <w:szCs w:val="20"/>
                <w:lang w:val="en-US"/>
              </w:rPr>
              <w:t xml:space="preserve">, </w:t>
            </w:r>
            <w:r w:rsidRPr="00495D9B">
              <w:rPr>
                <w:b/>
                <w:bCs/>
                <w:sz w:val="20"/>
                <w:szCs w:val="20"/>
                <w:lang w:val="en-US"/>
              </w:rPr>
              <w:t>kg</w:t>
            </w:r>
            <w:r w:rsidR="00CB6931" w:rsidRPr="00495D9B">
              <w:rPr>
                <w:b/>
                <w:bCs/>
                <w:sz w:val="20"/>
                <w:szCs w:val="20"/>
                <w:lang w:val="en-US"/>
              </w:rPr>
              <w:t>/</w:t>
            </w:r>
            <w:r w:rsidRPr="00495D9B">
              <w:rPr>
                <w:b/>
                <w:bCs/>
                <w:sz w:val="20"/>
                <w:szCs w:val="20"/>
                <w:lang w:val="en-US"/>
              </w:rPr>
              <w:t>m</w:t>
            </w:r>
            <w:r w:rsidR="00CB6931" w:rsidRPr="00495D9B">
              <w:rPr>
                <w:b/>
                <w:bCs/>
                <w:sz w:val="20"/>
                <w:szCs w:val="20"/>
                <w:vertAlign w:val="superscript"/>
                <w:lang w:val="en-US"/>
              </w:rPr>
              <w:t>2</w:t>
            </w:r>
          </w:p>
        </w:tc>
        <w:tc>
          <w:tcPr>
            <w:tcW w:w="18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642715" w:rsidP="00D42524">
            <w:pPr>
              <w:spacing w:after="0" w:line="360" w:lineRule="auto"/>
              <w:jc w:val="center"/>
              <w:rPr>
                <w:b/>
                <w:bCs/>
                <w:sz w:val="20"/>
                <w:szCs w:val="20"/>
                <w:lang w:val="en-US"/>
              </w:rPr>
            </w:pPr>
            <w:r w:rsidRPr="00495D9B">
              <w:rPr>
                <w:b/>
                <w:bCs/>
                <w:sz w:val="20"/>
                <w:szCs w:val="20"/>
                <w:lang w:val="en-US"/>
              </w:rPr>
              <w:t>Male</w:t>
            </w:r>
            <w:r w:rsidR="00CB6931" w:rsidRPr="00495D9B">
              <w:rPr>
                <w:b/>
                <w:bCs/>
                <w:sz w:val="20"/>
                <w:szCs w:val="20"/>
                <w:lang w:val="en-US"/>
              </w:rPr>
              <w:t xml:space="preserve">, </w:t>
            </w:r>
            <w:r w:rsidR="00D42524" w:rsidRPr="00495D9B">
              <w:rPr>
                <w:b/>
                <w:bCs/>
                <w:sz w:val="20"/>
                <w:szCs w:val="20"/>
                <w:lang w:val="en-US"/>
              </w:rPr>
              <w:t>n=</w:t>
            </w:r>
            <w:r w:rsidR="00CB6931" w:rsidRPr="00495D9B">
              <w:rPr>
                <w:b/>
                <w:bCs/>
                <w:sz w:val="20"/>
                <w:szCs w:val="20"/>
                <w:lang w:val="en-US"/>
              </w:rPr>
              <w:t>32</w:t>
            </w:r>
          </w:p>
        </w:tc>
        <w:tc>
          <w:tcPr>
            <w:tcW w:w="1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642715" w:rsidP="00D42524">
            <w:pPr>
              <w:spacing w:after="0" w:line="360" w:lineRule="auto"/>
              <w:jc w:val="center"/>
              <w:rPr>
                <w:b/>
                <w:bCs/>
                <w:sz w:val="20"/>
                <w:szCs w:val="20"/>
                <w:lang w:val="en-US"/>
              </w:rPr>
            </w:pPr>
            <w:r w:rsidRPr="00495D9B">
              <w:rPr>
                <w:b/>
                <w:bCs/>
                <w:sz w:val="20"/>
                <w:szCs w:val="20"/>
                <w:lang w:val="en-US"/>
              </w:rPr>
              <w:t>Female</w:t>
            </w:r>
            <w:r w:rsidR="00CB6931" w:rsidRPr="00495D9B">
              <w:rPr>
                <w:b/>
                <w:bCs/>
                <w:sz w:val="20"/>
                <w:szCs w:val="20"/>
                <w:lang w:val="en-US"/>
              </w:rPr>
              <w:t xml:space="preserve">, </w:t>
            </w:r>
            <w:r w:rsidR="00D42524" w:rsidRPr="00495D9B">
              <w:rPr>
                <w:b/>
                <w:bCs/>
                <w:sz w:val="20"/>
                <w:szCs w:val="20"/>
                <w:lang w:val="en-US"/>
              </w:rPr>
              <w:t>n=</w:t>
            </w:r>
            <w:r w:rsidR="00CB6931" w:rsidRPr="00495D9B">
              <w:rPr>
                <w:b/>
                <w:bCs/>
                <w:sz w:val="20"/>
                <w:szCs w:val="20"/>
                <w:lang w:val="en-US"/>
              </w:rPr>
              <w:t>27</w:t>
            </w:r>
          </w:p>
        </w:tc>
        <w:tc>
          <w:tcPr>
            <w:tcW w:w="1224" w:type="dxa"/>
            <w:vMerge w:val="restart"/>
            <w:tcBorders>
              <w:top w:val="single" w:sz="4" w:space="0" w:color="auto"/>
              <w:left w:val="single" w:sz="4" w:space="0" w:color="auto"/>
              <w:bottom w:val="nil"/>
              <w:right w:val="single" w:sz="4" w:space="0" w:color="auto"/>
            </w:tcBorders>
            <w:shd w:val="clear" w:color="auto" w:fill="FFFFFF"/>
            <w:vAlign w:val="center"/>
          </w:tcPr>
          <w:p w:rsidR="00CB6931" w:rsidRPr="00495D9B" w:rsidRDefault="00642715" w:rsidP="00642715">
            <w:pPr>
              <w:spacing w:after="0" w:line="360" w:lineRule="auto"/>
              <w:jc w:val="center"/>
              <w:rPr>
                <w:b/>
                <w:bCs/>
                <w:sz w:val="20"/>
                <w:szCs w:val="20"/>
                <w:lang w:val="en-US"/>
              </w:rPr>
            </w:pPr>
            <w:r w:rsidRPr="00495D9B">
              <w:rPr>
                <w:b/>
                <w:bCs/>
                <w:sz w:val="20"/>
                <w:szCs w:val="20"/>
                <w:lang w:val="en-US"/>
              </w:rPr>
              <w:t>Age</w:t>
            </w:r>
            <w:r w:rsidR="00CB6931" w:rsidRPr="00495D9B">
              <w:rPr>
                <w:b/>
                <w:bCs/>
                <w:sz w:val="20"/>
                <w:szCs w:val="20"/>
                <w:lang w:val="en-US"/>
              </w:rPr>
              <w:t xml:space="preserve">, </w:t>
            </w:r>
            <w:r w:rsidRPr="00495D9B">
              <w:rPr>
                <w:b/>
                <w:bCs/>
                <w:sz w:val="20"/>
                <w:szCs w:val="20"/>
                <w:lang w:val="en-US"/>
              </w:rPr>
              <w:t>years</w:t>
            </w:r>
          </w:p>
        </w:tc>
      </w:tr>
      <w:tr w:rsidR="00CB6931" w:rsidRPr="00495D9B" w:rsidTr="00D42524">
        <w:trPr>
          <w:trHeight w:val="298"/>
          <w:jc w:val="center"/>
        </w:trPr>
        <w:tc>
          <w:tcPr>
            <w:tcW w:w="3235" w:type="dxa"/>
            <w:vMerge/>
            <w:tcBorders>
              <w:top w:val="nil"/>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ind w:firstLine="709"/>
              <w:jc w:val="center"/>
              <w:rPr>
                <w:b/>
                <w:bCs/>
                <w:sz w:val="20"/>
                <w:szCs w:val="20"/>
                <w:lang w:val="en-US"/>
              </w:rPr>
            </w:pPr>
          </w:p>
        </w:tc>
        <w:tc>
          <w:tcPr>
            <w:tcW w:w="1522" w:type="dxa"/>
            <w:vMerge/>
            <w:tcBorders>
              <w:top w:val="nil"/>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ind w:firstLine="709"/>
              <w:jc w:val="center"/>
              <w:rPr>
                <w:b/>
                <w:bCs/>
                <w:sz w:val="20"/>
                <w:szCs w:val="20"/>
                <w:lang w:val="en-US"/>
              </w:rPr>
            </w:pP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642715" w:rsidP="00D42524">
            <w:pPr>
              <w:spacing w:after="0" w:line="360" w:lineRule="auto"/>
              <w:jc w:val="center"/>
              <w:rPr>
                <w:b/>
                <w:bCs/>
                <w:sz w:val="20"/>
                <w:szCs w:val="20"/>
                <w:lang w:val="en-US"/>
              </w:rPr>
            </w:pPr>
            <w:r w:rsidRPr="00495D9B">
              <w:rPr>
                <w:b/>
                <w:bCs/>
                <w:sz w:val="20"/>
                <w:szCs w:val="20"/>
                <w:lang w:val="en-US"/>
              </w:rPr>
              <w:t>Abs</w:t>
            </w:r>
            <w:r w:rsidR="00CB6931" w:rsidRPr="00495D9B">
              <w:rPr>
                <w:b/>
                <w:bCs/>
                <w:sz w:val="20"/>
                <w:szCs w:val="20"/>
                <w:lang w:val="en-US"/>
              </w:rPr>
              <w:t>.</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642715" w:rsidP="00D42524">
            <w:pPr>
              <w:spacing w:after="0" w:line="360" w:lineRule="auto"/>
              <w:jc w:val="center"/>
              <w:rPr>
                <w:b/>
                <w:bCs/>
                <w:sz w:val="20"/>
                <w:szCs w:val="20"/>
                <w:lang w:val="en-US"/>
              </w:rPr>
            </w:pPr>
            <w:r w:rsidRPr="00495D9B">
              <w:rPr>
                <w:b/>
                <w:bCs/>
                <w:sz w:val="20"/>
                <w:szCs w:val="20"/>
                <w:lang w:val="en-US"/>
              </w:rPr>
              <w:t>Abs</w:t>
            </w:r>
            <w:r w:rsidR="00CB6931" w:rsidRPr="00495D9B">
              <w:rPr>
                <w:b/>
                <w:bCs/>
                <w:sz w:val="20"/>
                <w:szCs w:val="20"/>
                <w:lang w:val="en-US"/>
              </w:rPr>
              <w:t>.</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w:t>
            </w:r>
          </w:p>
        </w:tc>
        <w:tc>
          <w:tcPr>
            <w:tcW w:w="1224" w:type="dxa"/>
            <w:vMerge/>
            <w:tcBorders>
              <w:top w:val="nil"/>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ind w:firstLine="709"/>
              <w:jc w:val="center"/>
              <w:rPr>
                <w:sz w:val="20"/>
                <w:szCs w:val="20"/>
                <w:lang w:val="en-US"/>
              </w:rPr>
            </w:pPr>
          </w:p>
        </w:tc>
      </w:tr>
      <w:tr w:rsidR="00CB6931" w:rsidRPr="00495D9B" w:rsidTr="00D42524">
        <w:trPr>
          <w:trHeight w:val="30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642715">
            <w:pPr>
              <w:spacing w:after="0" w:line="360" w:lineRule="auto"/>
              <w:jc w:val="center"/>
              <w:rPr>
                <w:sz w:val="20"/>
                <w:szCs w:val="20"/>
                <w:lang w:val="en-US"/>
              </w:rPr>
            </w:pPr>
            <w:r w:rsidRPr="00495D9B">
              <w:rPr>
                <w:sz w:val="20"/>
                <w:szCs w:val="20"/>
                <w:lang w:val="en-US"/>
              </w:rPr>
              <w:t>1</w:t>
            </w:r>
            <w:r w:rsidR="00D42524" w:rsidRPr="00495D9B">
              <w:rPr>
                <w:sz w:val="20"/>
                <w:szCs w:val="20"/>
                <w:lang w:val="en-US"/>
              </w:rPr>
              <w:t>–</w:t>
            </w:r>
            <w:r w:rsidRPr="00495D9B">
              <w:rPr>
                <w:sz w:val="20"/>
                <w:szCs w:val="20"/>
                <w:lang w:val="en-US"/>
              </w:rPr>
              <w:t xml:space="preserve">3 </w:t>
            </w:r>
            <w:r w:rsidR="00642715" w:rsidRPr="00495D9B">
              <w:rPr>
                <w:sz w:val="20"/>
                <w:szCs w:val="20"/>
                <w:lang w:val="en-US"/>
              </w:rPr>
              <w:t>years</w:t>
            </w:r>
            <w:r w:rsidRPr="00495D9B">
              <w:rPr>
                <w:sz w:val="20"/>
                <w:szCs w:val="20"/>
                <w:lang w:val="en-US"/>
              </w:rPr>
              <w:t xml:space="preserve">, </w:t>
            </w:r>
            <w:r w:rsidR="00D42524" w:rsidRPr="00495D9B">
              <w:rPr>
                <w:sz w:val="20"/>
                <w:szCs w:val="20"/>
                <w:lang w:val="en-US"/>
              </w:rPr>
              <w:t>n=</w:t>
            </w:r>
            <w:r w:rsidRPr="00495D9B">
              <w:rPr>
                <w:sz w:val="20"/>
                <w:szCs w:val="20"/>
                <w:lang w:val="en-US"/>
              </w:rPr>
              <w:t>19</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24,90</w:t>
            </w:r>
            <w:r w:rsidR="00D42524" w:rsidRPr="00495D9B">
              <w:rPr>
                <w:sz w:val="20"/>
                <w:szCs w:val="20"/>
                <w:lang w:val="en-US"/>
              </w:rPr>
              <w:t>±</w:t>
            </w:r>
            <w:r w:rsidRPr="00495D9B">
              <w:rPr>
                <w:sz w:val="20"/>
                <w:szCs w:val="20"/>
                <w:lang w:val="en-US"/>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14</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73,7</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5</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26,3</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44,60</w:t>
            </w:r>
            <w:r w:rsidR="00D42524" w:rsidRPr="00495D9B">
              <w:rPr>
                <w:sz w:val="20"/>
                <w:szCs w:val="20"/>
                <w:lang w:val="en-US"/>
              </w:rPr>
              <w:t>±</w:t>
            </w:r>
            <w:r w:rsidRPr="00495D9B">
              <w:rPr>
                <w:sz w:val="20"/>
                <w:szCs w:val="20"/>
                <w:lang w:val="en-US"/>
              </w:rPr>
              <w:t>3,38</w:t>
            </w:r>
          </w:p>
        </w:tc>
      </w:tr>
      <w:tr w:rsidR="00CB6931" w:rsidRPr="00495D9B" w:rsidTr="00D42524">
        <w:trPr>
          <w:trHeight w:val="298"/>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642715">
            <w:pPr>
              <w:spacing w:after="0" w:line="360" w:lineRule="auto"/>
              <w:jc w:val="center"/>
              <w:rPr>
                <w:sz w:val="20"/>
                <w:szCs w:val="20"/>
                <w:lang w:val="en-US"/>
              </w:rPr>
            </w:pPr>
            <w:r w:rsidRPr="00495D9B">
              <w:rPr>
                <w:sz w:val="20"/>
                <w:szCs w:val="20"/>
                <w:lang w:val="en-US"/>
              </w:rPr>
              <w:t>3</w:t>
            </w:r>
            <w:r w:rsidR="00D42524" w:rsidRPr="00495D9B">
              <w:rPr>
                <w:sz w:val="20"/>
                <w:szCs w:val="20"/>
                <w:lang w:val="en-US"/>
              </w:rPr>
              <w:t>–</w:t>
            </w:r>
            <w:r w:rsidRPr="00495D9B">
              <w:rPr>
                <w:sz w:val="20"/>
                <w:szCs w:val="20"/>
                <w:lang w:val="en-US"/>
              </w:rPr>
              <w:t xml:space="preserve">5 </w:t>
            </w:r>
            <w:r w:rsidR="00642715" w:rsidRPr="00495D9B">
              <w:rPr>
                <w:sz w:val="20"/>
                <w:szCs w:val="20"/>
                <w:lang w:val="en-US"/>
              </w:rPr>
              <w:t>years</w:t>
            </w:r>
            <w:r w:rsidRPr="00495D9B">
              <w:rPr>
                <w:sz w:val="20"/>
                <w:szCs w:val="20"/>
                <w:lang w:val="en-US"/>
              </w:rPr>
              <w:t xml:space="preserve">, </w:t>
            </w:r>
            <w:r w:rsidR="00D42524" w:rsidRPr="00495D9B">
              <w:rPr>
                <w:sz w:val="20"/>
                <w:szCs w:val="20"/>
                <w:lang w:val="en-US"/>
              </w:rPr>
              <w:t>n=</w:t>
            </w:r>
            <w:r w:rsidRPr="00495D9B">
              <w:rPr>
                <w:sz w:val="20"/>
                <w:szCs w:val="20"/>
                <w:lang w:val="en-US"/>
              </w:rPr>
              <w:t>26</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26,60</w:t>
            </w:r>
            <w:r w:rsidR="00D42524" w:rsidRPr="00495D9B">
              <w:rPr>
                <w:sz w:val="20"/>
                <w:szCs w:val="20"/>
                <w:lang w:val="en-US"/>
              </w:rPr>
              <w:t>±</w:t>
            </w:r>
            <w:r w:rsidRPr="00495D9B">
              <w:rPr>
                <w:sz w:val="20"/>
                <w:szCs w:val="20"/>
                <w:lang w:val="en-US"/>
              </w:rPr>
              <w:t>0,88</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8</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30,8</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18</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69,2</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45,00</w:t>
            </w:r>
            <w:r w:rsidR="00D42524" w:rsidRPr="00495D9B">
              <w:rPr>
                <w:sz w:val="20"/>
                <w:szCs w:val="20"/>
                <w:lang w:val="en-US"/>
              </w:rPr>
              <w:t>±</w:t>
            </w:r>
            <w:r w:rsidRPr="00495D9B">
              <w:rPr>
                <w:sz w:val="20"/>
                <w:szCs w:val="20"/>
                <w:lang w:val="en-US"/>
              </w:rPr>
              <w:t>2,56</w:t>
            </w:r>
          </w:p>
        </w:tc>
      </w:tr>
      <w:tr w:rsidR="00CB6931" w:rsidRPr="00495D9B" w:rsidTr="00D42524">
        <w:trPr>
          <w:trHeight w:val="302"/>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642715">
            <w:pPr>
              <w:spacing w:after="0" w:line="360" w:lineRule="auto"/>
              <w:jc w:val="center"/>
              <w:rPr>
                <w:sz w:val="20"/>
                <w:szCs w:val="20"/>
                <w:lang w:val="en-US"/>
              </w:rPr>
            </w:pPr>
            <w:r w:rsidRPr="00495D9B">
              <w:rPr>
                <w:sz w:val="20"/>
                <w:szCs w:val="20"/>
                <w:lang w:val="en-US"/>
              </w:rPr>
              <w:t xml:space="preserve">5 </w:t>
            </w:r>
            <w:r w:rsidR="00642715" w:rsidRPr="00495D9B">
              <w:rPr>
                <w:sz w:val="20"/>
                <w:szCs w:val="20"/>
                <w:lang w:val="en-US"/>
              </w:rPr>
              <w:t>years and more</w:t>
            </w:r>
            <w:r w:rsidRPr="00495D9B">
              <w:rPr>
                <w:sz w:val="20"/>
                <w:szCs w:val="20"/>
                <w:lang w:val="en-US"/>
              </w:rPr>
              <w:t xml:space="preserve">, </w:t>
            </w:r>
            <w:r w:rsidR="00D42524" w:rsidRPr="00495D9B">
              <w:rPr>
                <w:sz w:val="20"/>
                <w:szCs w:val="20"/>
                <w:lang w:val="en-US"/>
              </w:rPr>
              <w:t>n=</w:t>
            </w:r>
            <w:r w:rsidRPr="00495D9B">
              <w:rPr>
                <w:sz w:val="20"/>
                <w:szCs w:val="20"/>
                <w:lang w:val="en-US"/>
              </w:rPr>
              <w:t>14</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25,00</w:t>
            </w:r>
            <w:r w:rsidR="00D42524" w:rsidRPr="00495D9B">
              <w:rPr>
                <w:sz w:val="20"/>
                <w:szCs w:val="20"/>
                <w:lang w:val="en-US"/>
              </w:rPr>
              <w:t>±</w:t>
            </w:r>
            <w:r w:rsidRPr="00495D9B">
              <w:rPr>
                <w:sz w:val="20"/>
                <w:szCs w:val="20"/>
                <w:lang w:val="en-US"/>
              </w:rPr>
              <w:t>1,47</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10</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71,4</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4</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28,6</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38,50</w:t>
            </w:r>
            <w:r w:rsidR="00D42524" w:rsidRPr="00495D9B">
              <w:rPr>
                <w:sz w:val="20"/>
                <w:szCs w:val="20"/>
                <w:lang w:val="en-US"/>
              </w:rPr>
              <w:t>±</w:t>
            </w:r>
            <w:r w:rsidRPr="00495D9B">
              <w:rPr>
                <w:sz w:val="20"/>
                <w:szCs w:val="20"/>
                <w:lang w:val="en-US"/>
              </w:rPr>
              <w:t>3,96</w:t>
            </w:r>
          </w:p>
        </w:tc>
      </w:tr>
      <w:tr w:rsidR="00CB6931" w:rsidRPr="00495D9B" w:rsidTr="00D42524">
        <w:trPr>
          <w:trHeight w:val="307"/>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642715" w:rsidP="00D42524">
            <w:pPr>
              <w:spacing w:after="0" w:line="360" w:lineRule="auto"/>
              <w:jc w:val="center"/>
              <w:rPr>
                <w:sz w:val="20"/>
                <w:szCs w:val="20"/>
                <w:lang w:val="en-US"/>
              </w:rPr>
            </w:pPr>
            <w:r w:rsidRPr="00495D9B">
              <w:rPr>
                <w:sz w:val="20"/>
                <w:szCs w:val="20"/>
                <w:lang w:val="en-US"/>
              </w:rPr>
              <w:t>Control</w:t>
            </w:r>
            <w:r w:rsidR="00CB6931" w:rsidRPr="00495D9B">
              <w:rPr>
                <w:sz w:val="20"/>
                <w:szCs w:val="20"/>
                <w:lang w:val="en-US"/>
              </w:rPr>
              <w:t xml:space="preserve">, </w:t>
            </w:r>
            <w:r w:rsidR="00D42524" w:rsidRPr="00495D9B">
              <w:rPr>
                <w:sz w:val="20"/>
                <w:szCs w:val="20"/>
                <w:lang w:val="en-US"/>
              </w:rPr>
              <w:t>n=</w:t>
            </w:r>
            <w:r w:rsidR="00CB6931" w:rsidRPr="00495D9B">
              <w:rPr>
                <w:sz w:val="20"/>
                <w:szCs w:val="20"/>
                <w:lang w:val="en-US"/>
              </w:rPr>
              <w:t>10</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23,20</w:t>
            </w:r>
            <w:r w:rsidR="00D42524" w:rsidRPr="00495D9B">
              <w:rPr>
                <w:sz w:val="20"/>
                <w:szCs w:val="20"/>
                <w:lang w:val="en-US"/>
              </w:rPr>
              <w:t>±</w:t>
            </w:r>
            <w:r w:rsidRPr="00495D9B">
              <w:rPr>
                <w:sz w:val="20"/>
                <w:szCs w:val="20"/>
                <w:lang w:val="en-US"/>
              </w:rPr>
              <w:t>1,01</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6</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60,0</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4</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40,0</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39,70</w:t>
            </w:r>
            <w:r w:rsidR="00D42524" w:rsidRPr="00495D9B">
              <w:rPr>
                <w:sz w:val="20"/>
                <w:szCs w:val="20"/>
                <w:lang w:val="en-US"/>
              </w:rPr>
              <w:t>±</w:t>
            </w:r>
            <w:r w:rsidRPr="00495D9B">
              <w:rPr>
                <w:sz w:val="20"/>
                <w:szCs w:val="20"/>
                <w:lang w:val="en-US"/>
              </w:rPr>
              <w:t>3,55</w:t>
            </w:r>
          </w:p>
        </w:tc>
      </w:tr>
    </w:tbl>
    <w:p w:rsidR="000130CE" w:rsidRPr="00495D9B" w:rsidRDefault="000130CE" w:rsidP="000130CE">
      <w:pPr>
        <w:spacing w:after="0" w:line="360" w:lineRule="auto"/>
        <w:jc w:val="right"/>
        <w:rPr>
          <w:bCs/>
          <w:iCs/>
          <w:sz w:val="28"/>
          <w:szCs w:val="28"/>
          <w:lang w:val="en-US"/>
        </w:rPr>
      </w:pPr>
    </w:p>
    <w:p w:rsidR="000130CE" w:rsidRPr="00495D9B" w:rsidRDefault="00642715" w:rsidP="000130CE">
      <w:pPr>
        <w:spacing w:after="0" w:line="360" w:lineRule="auto"/>
        <w:jc w:val="right"/>
        <w:rPr>
          <w:bCs/>
          <w:iCs/>
          <w:sz w:val="28"/>
          <w:szCs w:val="28"/>
          <w:lang w:val="en-US"/>
        </w:rPr>
      </w:pPr>
      <w:r w:rsidRPr="00495D9B">
        <w:rPr>
          <w:bCs/>
          <w:iCs/>
          <w:sz w:val="28"/>
          <w:szCs w:val="28"/>
          <w:lang w:val="en-US"/>
        </w:rPr>
        <w:t>Table 2</w:t>
      </w:r>
    </w:p>
    <w:p w:rsidR="00D22DB5" w:rsidRPr="00495D9B" w:rsidRDefault="00D22DB5" w:rsidP="000130CE">
      <w:pPr>
        <w:spacing w:after="0" w:line="360" w:lineRule="auto"/>
        <w:jc w:val="center"/>
        <w:rPr>
          <w:b/>
          <w:bCs/>
          <w:iCs/>
          <w:sz w:val="28"/>
          <w:szCs w:val="28"/>
          <w:lang w:val="en-US"/>
        </w:rPr>
      </w:pPr>
      <w:r w:rsidRPr="00495D9B">
        <w:rPr>
          <w:b/>
          <w:bCs/>
          <w:iCs/>
          <w:sz w:val="28"/>
          <w:szCs w:val="28"/>
          <w:lang w:val="en-US"/>
        </w:rPr>
        <w:t>CHM indices depending on CP duration in the common group</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16"/>
        <w:gridCol w:w="1637"/>
        <w:gridCol w:w="1603"/>
        <w:gridCol w:w="1613"/>
        <w:gridCol w:w="1598"/>
      </w:tblGrid>
      <w:tr w:rsidR="00CB6931" w:rsidRPr="00495D9B" w:rsidTr="00D22DB5">
        <w:trPr>
          <w:trHeight w:val="499"/>
          <w:jc w:val="center"/>
        </w:trPr>
        <w:tc>
          <w:tcPr>
            <w:tcW w:w="3216" w:type="dxa"/>
            <w:shd w:val="clear" w:color="auto" w:fill="FFFFFF"/>
            <w:vAlign w:val="center"/>
          </w:tcPr>
          <w:p w:rsidR="00CB6931" w:rsidRPr="00495D9B" w:rsidRDefault="00642715" w:rsidP="00D42524">
            <w:pPr>
              <w:spacing w:after="0" w:line="360" w:lineRule="auto"/>
              <w:jc w:val="center"/>
              <w:rPr>
                <w:b/>
                <w:bCs/>
                <w:sz w:val="20"/>
                <w:szCs w:val="20"/>
                <w:lang w:val="en-US"/>
              </w:rPr>
            </w:pPr>
            <w:r w:rsidRPr="00495D9B">
              <w:rPr>
                <w:b/>
                <w:bCs/>
                <w:sz w:val="20"/>
                <w:szCs w:val="20"/>
                <w:lang w:val="en-US"/>
              </w:rPr>
              <w:t>Indices</w:t>
            </w:r>
          </w:p>
        </w:tc>
        <w:tc>
          <w:tcPr>
            <w:tcW w:w="1637" w:type="dxa"/>
            <w:shd w:val="clear" w:color="auto" w:fill="FFFFFF"/>
            <w:vAlign w:val="center"/>
          </w:tcPr>
          <w:p w:rsidR="000130CE" w:rsidRPr="00495D9B" w:rsidRDefault="00642715" w:rsidP="00D42524">
            <w:pPr>
              <w:spacing w:after="0" w:line="360" w:lineRule="auto"/>
              <w:jc w:val="center"/>
              <w:rPr>
                <w:b/>
                <w:bCs/>
                <w:sz w:val="20"/>
                <w:szCs w:val="20"/>
                <w:lang w:val="en-US"/>
              </w:rPr>
            </w:pPr>
            <w:r w:rsidRPr="00495D9B">
              <w:rPr>
                <w:b/>
                <w:bCs/>
                <w:sz w:val="20"/>
                <w:szCs w:val="20"/>
                <w:lang w:val="en-US"/>
              </w:rPr>
              <w:t>Group 1</w:t>
            </w:r>
          </w:p>
          <w:p w:rsidR="00CB6931" w:rsidRPr="00495D9B" w:rsidRDefault="00D42524" w:rsidP="00D42524">
            <w:pPr>
              <w:spacing w:after="0" w:line="360" w:lineRule="auto"/>
              <w:jc w:val="center"/>
              <w:rPr>
                <w:b/>
                <w:bCs/>
                <w:sz w:val="20"/>
                <w:szCs w:val="20"/>
                <w:lang w:val="en-US"/>
              </w:rPr>
            </w:pPr>
            <w:r w:rsidRPr="00495D9B">
              <w:rPr>
                <w:b/>
                <w:bCs/>
                <w:sz w:val="20"/>
                <w:szCs w:val="20"/>
                <w:lang w:val="en-US"/>
              </w:rPr>
              <w:t>n=</w:t>
            </w:r>
            <w:r w:rsidR="00CB6931" w:rsidRPr="00495D9B">
              <w:rPr>
                <w:b/>
                <w:bCs/>
                <w:sz w:val="20"/>
                <w:szCs w:val="20"/>
                <w:lang w:val="en-US"/>
              </w:rPr>
              <w:t>19</w:t>
            </w:r>
          </w:p>
        </w:tc>
        <w:tc>
          <w:tcPr>
            <w:tcW w:w="1603" w:type="dxa"/>
            <w:shd w:val="clear" w:color="auto" w:fill="FFFFFF"/>
            <w:vAlign w:val="center"/>
          </w:tcPr>
          <w:p w:rsidR="00642715" w:rsidRPr="00495D9B" w:rsidRDefault="00642715" w:rsidP="00642715">
            <w:pPr>
              <w:spacing w:after="0" w:line="360" w:lineRule="auto"/>
              <w:jc w:val="center"/>
              <w:rPr>
                <w:b/>
                <w:bCs/>
                <w:sz w:val="20"/>
                <w:szCs w:val="20"/>
                <w:lang w:val="en-US"/>
              </w:rPr>
            </w:pPr>
            <w:r w:rsidRPr="00495D9B">
              <w:rPr>
                <w:b/>
                <w:bCs/>
                <w:sz w:val="20"/>
                <w:szCs w:val="20"/>
                <w:lang w:val="en-US"/>
              </w:rPr>
              <w:t>Group 2</w:t>
            </w:r>
          </w:p>
          <w:p w:rsidR="00CB6931" w:rsidRPr="00495D9B" w:rsidRDefault="00D42524" w:rsidP="00D42524">
            <w:pPr>
              <w:spacing w:after="0" w:line="360" w:lineRule="auto"/>
              <w:jc w:val="center"/>
              <w:rPr>
                <w:b/>
                <w:bCs/>
                <w:sz w:val="20"/>
                <w:szCs w:val="20"/>
                <w:lang w:val="en-US"/>
              </w:rPr>
            </w:pPr>
            <w:r w:rsidRPr="00495D9B">
              <w:rPr>
                <w:b/>
                <w:bCs/>
                <w:sz w:val="20"/>
                <w:szCs w:val="20"/>
                <w:lang w:val="en-US"/>
              </w:rPr>
              <w:t>n=</w:t>
            </w:r>
            <w:r w:rsidR="00CB6931" w:rsidRPr="00495D9B">
              <w:rPr>
                <w:b/>
                <w:bCs/>
                <w:sz w:val="20"/>
                <w:szCs w:val="20"/>
                <w:lang w:val="en-US"/>
              </w:rPr>
              <w:t>26</w:t>
            </w:r>
          </w:p>
        </w:tc>
        <w:tc>
          <w:tcPr>
            <w:tcW w:w="1613" w:type="dxa"/>
            <w:shd w:val="clear" w:color="auto" w:fill="FFFFFF"/>
            <w:vAlign w:val="center"/>
          </w:tcPr>
          <w:p w:rsidR="00642715" w:rsidRPr="00495D9B" w:rsidRDefault="00642715" w:rsidP="00642715">
            <w:pPr>
              <w:spacing w:after="0" w:line="360" w:lineRule="auto"/>
              <w:jc w:val="center"/>
              <w:rPr>
                <w:b/>
                <w:bCs/>
                <w:sz w:val="20"/>
                <w:szCs w:val="20"/>
                <w:lang w:val="en-US"/>
              </w:rPr>
            </w:pPr>
            <w:r w:rsidRPr="00495D9B">
              <w:rPr>
                <w:b/>
                <w:bCs/>
                <w:sz w:val="20"/>
                <w:szCs w:val="20"/>
                <w:lang w:val="en-US"/>
              </w:rPr>
              <w:t>Group 3</w:t>
            </w:r>
          </w:p>
          <w:p w:rsidR="00CB6931" w:rsidRPr="00495D9B" w:rsidRDefault="00D42524" w:rsidP="00D42524">
            <w:pPr>
              <w:spacing w:after="0" w:line="360" w:lineRule="auto"/>
              <w:jc w:val="center"/>
              <w:rPr>
                <w:b/>
                <w:bCs/>
                <w:sz w:val="20"/>
                <w:szCs w:val="20"/>
                <w:lang w:val="en-US"/>
              </w:rPr>
            </w:pPr>
            <w:r w:rsidRPr="00495D9B">
              <w:rPr>
                <w:b/>
                <w:bCs/>
                <w:sz w:val="20"/>
                <w:szCs w:val="20"/>
                <w:lang w:val="en-US"/>
              </w:rPr>
              <w:t>n=</w:t>
            </w:r>
            <w:r w:rsidR="00CB6931" w:rsidRPr="00495D9B">
              <w:rPr>
                <w:b/>
                <w:bCs/>
                <w:sz w:val="20"/>
                <w:szCs w:val="20"/>
                <w:lang w:val="en-US"/>
              </w:rPr>
              <w:t>14</w:t>
            </w:r>
          </w:p>
        </w:tc>
        <w:tc>
          <w:tcPr>
            <w:tcW w:w="1598" w:type="dxa"/>
            <w:shd w:val="clear" w:color="auto" w:fill="FFFFFF"/>
            <w:vAlign w:val="center"/>
          </w:tcPr>
          <w:p w:rsidR="000130CE" w:rsidRPr="00495D9B" w:rsidRDefault="00642715" w:rsidP="00D42524">
            <w:pPr>
              <w:spacing w:after="0" w:line="360" w:lineRule="auto"/>
              <w:jc w:val="center"/>
              <w:rPr>
                <w:b/>
                <w:bCs/>
                <w:sz w:val="20"/>
                <w:szCs w:val="20"/>
                <w:lang w:val="en-US"/>
              </w:rPr>
            </w:pPr>
            <w:r w:rsidRPr="00495D9B">
              <w:rPr>
                <w:b/>
                <w:bCs/>
                <w:sz w:val="20"/>
                <w:szCs w:val="20"/>
                <w:lang w:val="en-US"/>
              </w:rPr>
              <w:t>Control</w:t>
            </w:r>
          </w:p>
          <w:p w:rsidR="00CB6931" w:rsidRPr="00495D9B" w:rsidRDefault="00D42524" w:rsidP="00D42524">
            <w:pPr>
              <w:spacing w:after="0" w:line="360" w:lineRule="auto"/>
              <w:jc w:val="center"/>
              <w:rPr>
                <w:b/>
                <w:bCs/>
                <w:sz w:val="20"/>
                <w:szCs w:val="20"/>
                <w:lang w:val="en-US"/>
              </w:rPr>
            </w:pPr>
            <w:r w:rsidRPr="00495D9B">
              <w:rPr>
                <w:b/>
                <w:bCs/>
                <w:sz w:val="20"/>
                <w:szCs w:val="20"/>
                <w:lang w:val="en-US"/>
              </w:rPr>
              <w:t>n=</w:t>
            </w:r>
            <w:r w:rsidR="00CB6931" w:rsidRPr="00495D9B">
              <w:rPr>
                <w:b/>
                <w:bCs/>
                <w:sz w:val="20"/>
                <w:szCs w:val="20"/>
                <w:lang w:val="en-US"/>
              </w:rPr>
              <w:t>10</w:t>
            </w:r>
          </w:p>
        </w:tc>
      </w:tr>
      <w:tr w:rsidR="00CB6931" w:rsidRPr="00495D9B" w:rsidTr="00D22DB5">
        <w:trPr>
          <w:trHeight w:val="490"/>
          <w:jc w:val="center"/>
        </w:trPr>
        <w:tc>
          <w:tcPr>
            <w:tcW w:w="3216" w:type="dxa"/>
            <w:shd w:val="clear" w:color="auto" w:fill="FFFFFF"/>
            <w:vAlign w:val="center"/>
          </w:tcPr>
          <w:p w:rsidR="00CB6931" w:rsidRPr="00495D9B" w:rsidRDefault="00D22DB5" w:rsidP="00D42524">
            <w:pPr>
              <w:spacing w:after="0" w:line="360" w:lineRule="auto"/>
              <w:jc w:val="center"/>
              <w:rPr>
                <w:sz w:val="20"/>
                <w:szCs w:val="20"/>
                <w:lang w:val="en-US"/>
              </w:rPr>
            </w:pPr>
            <w:proofErr w:type="spellStart"/>
            <w:r w:rsidRPr="00495D9B">
              <w:rPr>
                <w:sz w:val="20"/>
                <w:szCs w:val="20"/>
                <w:lang w:val="en-US"/>
              </w:rPr>
              <w:t>Glycemia</w:t>
            </w:r>
            <w:proofErr w:type="spellEnd"/>
            <w:r w:rsidRPr="00495D9B">
              <w:rPr>
                <w:sz w:val="20"/>
                <w:szCs w:val="20"/>
                <w:lang w:val="en-US"/>
              </w:rPr>
              <w:t xml:space="preserve"> fasting</w:t>
            </w:r>
            <w:r w:rsidR="00CB6931" w:rsidRPr="00495D9B">
              <w:rPr>
                <w:sz w:val="20"/>
                <w:szCs w:val="20"/>
                <w:lang w:val="en-US"/>
              </w:rPr>
              <w:t xml:space="preserve">, </w:t>
            </w:r>
            <w:proofErr w:type="spellStart"/>
            <w:r w:rsidRPr="00495D9B">
              <w:rPr>
                <w:sz w:val="20"/>
                <w:szCs w:val="20"/>
                <w:lang w:val="en-US"/>
              </w:rPr>
              <w:t>mmol</w:t>
            </w:r>
            <w:proofErr w:type="spellEnd"/>
            <w:r w:rsidRPr="00495D9B">
              <w:rPr>
                <w:sz w:val="20"/>
                <w:szCs w:val="20"/>
                <w:lang w:val="en-US"/>
              </w:rPr>
              <w:t>/l</w:t>
            </w:r>
          </w:p>
        </w:tc>
        <w:tc>
          <w:tcPr>
            <w:tcW w:w="1637"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5,15 + 0,14 5,1</w:t>
            </w:r>
          </w:p>
          <w:p w:rsidR="00CB6931" w:rsidRPr="00495D9B" w:rsidRDefault="00CB6931" w:rsidP="00D42524">
            <w:pPr>
              <w:spacing w:after="0" w:line="360" w:lineRule="auto"/>
              <w:jc w:val="center"/>
              <w:rPr>
                <w:sz w:val="20"/>
                <w:szCs w:val="20"/>
                <w:lang w:val="en-US"/>
              </w:rPr>
            </w:pPr>
            <w:r w:rsidRPr="00495D9B">
              <w:rPr>
                <w:sz w:val="20"/>
                <w:szCs w:val="20"/>
                <w:lang w:val="en-US"/>
              </w:rPr>
              <w:t>[4,8; 5,7]</w:t>
            </w:r>
          </w:p>
        </w:tc>
        <w:tc>
          <w:tcPr>
            <w:tcW w:w="1603"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5,31</w:t>
            </w:r>
            <w:r w:rsidR="00D42524" w:rsidRPr="00495D9B">
              <w:rPr>
                <w:sz w:val="20"/>
                <w:szCs w:val="20"/>
                <w:lang w:val="en-US"/>
              </w:rPr>
              <w:t>±</w:t>
            </w:r>
            <w:r w:rsidRPr="00495D9B">
              <w:rPr>
                <w:sz w:val="20"/>
                <w:szCs w:val="20"/>
                <w:lang w:val="en-US"/>
              </w:rPr>
              <w:t>0,23 5,2</w:t>
            </w:r>
          </w:p>
          <w:p w:rsidR="00CB6931" w:rsidRPr="00495D9B" w:rsidRDefault="00CB6931" w:rsidP="00D42524">
            <w:pPr>
              <w:spacing w:after="0" w:line="360" w:lineRule="auto"/>
              <w:jc w:val="center"/>
              <w:rPr>
                <w:sz w:val="20"/>
                <w:szCs w:val="20"/>
                <w:lang w:val="en-US"/>
              </w:rPr>
            </w:pPr>
            <w:r w:rsidRPr="00495D9B">
              <w:rPr>
                <w:sz w:val="20"/>
                <w:szCs w:val="20"/>
                <w:lang w:val="en-US"/>
              </w:rPr>
              <w:t>[4,7; 5,7]</w:t>
            </w:r>
          </w:p>
        </w:tc>
        <w:tc>
          <w:tcPr>
            <w:tcW w:w="1613"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5,78 + 0,46 5,1</w:t>
            </w:r>
          </w:p>
          <w:p w:rsidR="00CB6931" w:rsidRPr="00495D9B" w:rsidRDefault="00CB6931" w:rsidP="00D42524">
            <w:pPr>
              <w:spacing w:after="0" w:line="360" w:lineRule="auto"/>
              <w:jc w:val="center"/>
              <w:rPr>
                <w:sz w:val="20"/>
                <w:szCs w:val="20"/>
                <w:lang w:val="en-US"/>
              </w:rPr>
            </w:pPr>
            <w:r w:rsidRPr="00495D9B">
              <w:rPr>
                <w:sz w:val="20"/>
                <w:szCs w:val="20"/>
                <w:lang w:val="en-US"/>
              </w:rPr>
              <w:t>[4,7; 6,7]</w:t>
            </w:r>
          </w:p>
        </w:tc>
        <w:tc>
          <w:tcPr>
            <w:tcW w:w="1598"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4,76</w:t>
            </w:r>
            <w:r w:rsidR="00D42524" w:rsidRPr="00495D9B">
              <w:rPr>
                <w:sz w:val="20"/>
                <w:szCs w:val="20"/>
                <w:lang w:val="en-US"/>
              </w:rPr>
              <w:t>±</w:t>
            </w:r>
            <w:r w:rsidRPr="00495D9B">
              <w:rPr>
                <w:sz w:val="20"/>
                <w:szCs w:val="20"/>
                <w:lang w:val="en-US"/>
              </w:rPr>
              <w:t>0,14 4,6</w:t>
            </w:r>
          </w:p>
          <w:p w:rsidR="00CB6931" w:rsidRPr="00495D9B" w:rsidRDefault="00CB6931" w:rsidP="00D42524">
            <w:pPr>
              <w:spacing w:after="0" w:line="360" w:lineRule="auto"/>
              <w:jc w:val="center"/>
              <w:rPr>
                <w:sz w:val="20"/>
                <w:szCs w:val="20"/>
                <w:lang w:val="en-US"/>
              </w:rPr>
            </w:pPr>
            <w:r w:rsidRPr="00495D9B">
              <w:rPr>
                <w:sz w:val="20"/>
                <w:szCs w:val="20"/>
                <w:lang w:val="en-US"/>
              </w:rPr>
              <w:t>[4,5; 5,1]</w:t>
            </w:r>
          </w:p>
        </w:tc>
      </w:tr>
      <w:tr w:rsidR="00CB6931" w:rsidRPr="00495D9B" w:rsidTr="00D22DB5">
        <w:trPr>
          <w:trHeight w:val="490"/>
          <w:jc w:val="center"/>
        </w:trPr>
        <w:tc>
          <w:tcPr>
            <w:tcW w:w="3216" w:type="dxa"/>
            <w:shd w:val="clear" w:color="auto" w:fill="FFFFFF"/>
            <w:vAlign w:val="center"/>
          </w:tcPr>
          <w:p w:rsidR="00CB6931" w:rsidRPr="00495D9B" w:rsidRDefault="00D76B2D" w:rsidP="00D22DB5">
            <w:pPr>
              <w:spacing w:after="0" w:line="360" w:lineRule="auto"/>
              <w:jc w:val="center"/>
              <w:rPr>
                <w:sz w:val="20"/>
                <w:szCs w:val="20"/>
                <w:lang w:val="en-US"/>
              </w:rPr>
            </w:pPr>
            <w:proofErr w:type="spellStart"/>
            <w:r w:rsidRPr="00495D9B">
              <w:rPr>
                <w:sz w:val="20"/>
                <w:szCs w:val="20"/>
                <w:lang w:val="en-US"/>
              </w:rPr>
              <w:t>Glycemia</w:t>
            </w:r>
            <w:proofErr w:type="spellEnd"/>
            <w:r w:rsidRPr="00495D9B">
              <w:rPr>
                <w:sz w:val="20"/>
                <w:szCs w:val="20"/>
                <w:lang w:val="en-US"/>
              </w:rPr>
              <w:t xml:space="preserve"> in 2 hours after meal or GTT, </w:t>
            </w:r>
            <w:proofErr w:type="spellStart"/>
            <w:r w:rsidRPr="00495D9B">
              <w:rPr>
                <w:sz w:val="20"/>
                <w:szCs w:val="20"/>
                <w:lang w:val="en-US"/>
              </w:rPr>
              <w:t>mmol</w:t>
            </w:r>
            <w:proofErr w:type="spellEnd"/>
            <w:r w:rsidRPr="00495D9B">
              <w:rPr>
                <w:sz w:val="20"/>
                <w:szCs w:val="20"/>
                <w:lang w:val="en-US"/>
              </w:rPr>
              <w:t>/l</w:t>
            </w:r>
          </w:p>
        </w:tc>
        <w:tc>
          <w:tcPr>
            <w:tcW w:w="1637"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5,64 + 0,27 5,3</w:t>
            </w:r>
          </w:p>
          <w:p w:rsidR="00CB6931" w:rsidRPr="00495D9B" w:rsidRDefault="00CB6931" w:rsidP="00D42524">
            <w:pPr>
              <w:spacing w:after="0" w:line="360" w:lineRule="auto"/>
              <w:jc w:val="center"/>
              <w:rPr>
                <w:sz w:val="20"/>
                <w:szCs w:val="20"/>
                <w:lang w:val="en-US"/>
              </w:rPr>
            </w:pPr>
            <w:r w:rsidRPr="00495D9B">
              <w:rPr>
                <w:sz w:val="20"/>
                <w:szCs w:val="20"/>
                <w:lang w:val="en-US"/>
              </w:rPr>
              <w:t>[5,1; 5,9]</w:t>
            </w:r>
          </w:p>
        </w:tc>
        <w:tc>
          <w:tcPr>
            <w:tcW w:w="1603"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7,13</w:t>
            </w:r>
            <w:r w:rsidR="00D42524" w:rsidRPr="00495D9B">
              <w:rPr>
                <w:sz w:val="20"/>
                <w:szCs w:val="20"/>
                <w:lang w:val="en-US"/>
              </w:rPr>
              <w:t>±</w:t>
            </w:r>
            <w:r w:rsidRPr="00495D9B">
              <w:rPr>
                <w:sz w:val="20"/>
                <w:szCs w:val="20"/>
                <w:lang w:val="en-US"/>
              </w:rPr>
              <w:t>0,63 5,8</w:t>
            </w:r>
          </w:p>
          <w:p w:rsidR="00CB6931" w:rsidRPr="00495D9B" w:rsidRDefault="00CB6931" w:rsidP="00D42524">
            <w:pPr>
              <w:spacing w:after="0" w:line="360" w:lineRule="auto"/>
              <w:jc w:val="center"/>
              <w:rPr>
                <w:sz w:val="20"/>
                <w:szCs w:val="20"/>
                <w:lang w:val="en-US"/>
              </w:rPr>
            </w:pPr>
            <w:r w:rsidRPr="00495D9B">
              <w:rPr>
                <w:sz w:val="20"/>
                <w:szCs w:val="20"/>
                <w:lang w:val="en-US"/>
              </w:rPr>
              <w:t>[5,1; 7,8]</w:t>
            </w:r>
          </w:p>
        </w:tc>
        <w:tc>
          <w:tcPr>
            <w:tcW w:w="1613"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7,85</w:t>
            </w:r>
            <w:r w:rsidR="00D42524" w:rsidRPr="00495D9B">
              <w:rPr>
                <w:sz w:val="20"/>
                <w:szCs w:val="20"/>
                <w:lang w:val="en-US"/>
              </w:rPr>
              <w:t>±</w:t>
            </w:r>
            <w:r w:rsidR="000130CE" w:rsidRPr="00495D9B">
              <w:rPr>
                <w:sz w:val="20"/>
                <w:szCs w:val="20"/>
                <w:lang w:val="en-US"/>
              </w:rPr>
              <w:t>1,05* 5,8</w:t>
            </w:r>
          </w:p>
          <w:p w:rsidR="00CB6931" w:rsidRPr="00495D9B" w:rsidRDefault="00CB6931" w:rsidP="00D42524">
            <w:pPr>
              <w:spacing w:after="0" w:line="360" w:lineRule="auto"/>
              <w:jc w:val="center"/>
              <w:rPr>
                <w:sz w:val="20"/>
                <w:szCs w:val="20"/>
                <w:lang w:val="en-US"/>
              </w:rPr>
            </w:pPr>
            <w:r w:rsidRPr="00495D9B">
              <w:rPr>
                <w:sz w:val="20"/>
                <w:szCs w:val="20"/>
                <w:lang w:val="en-US"/>
              </w:rPr>
              <w:t>[5,0; 10,8]</w:t>
            </w:r>
          </w:p>
        </w:tc>
        <w:tc>
          <w:tcPr>
            <w:tcW w:w="1598"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5,05 + 0,12 4,</w:t>
            </w:r>
            <w:r w:rsidR="000130CE" w:rsidRPr="00495D9B">
              <w:rPr>
                <w:sz w:val="20"/>
                <w:szCs w:val="20"/>
                <w:lang w:val="en-US"/>
              </w:rPr>
              <w:t>9</w:t>
            </w:r>
          </w:p>
          <w:p w:rsidR="00CB6931" w:rsidRPr="00495D9B" w:rsidRDefault="00CB6931" w:rsidP="00D42524">
            <w:pPr>
              <w:spacing w:after="0" w:line="360" w:lineRule="auto"/>
              <w:jc w:val="center"/>
              <w:rPr>
                <w:sz w:val="20"/>
                <w:szCs w:val="20"/>
                <w:lang w:val="en-US"/>
              </w:rPr>
            </w:pPr>
            <w:r w:rsidRPr="00495D9B">
              <w:rPr>
                <w:sz w:val="20"/>
                <w:szCs w:val="20"/>
                <w:lang w:val="en-US"/>
              </w:rPr>
              <w:t>[4,7; 5,4]</w:t>
            </w:r>
          </w:p>
        </w:tc>
      </w:tr>
      <w:tr w:rsidR="00CB6931" w:rsidRPr="00495D9B" w:rsidTr="00D22DB5">
        <w:trPr>
          <w:trHeight w:val="490"/>
          <w:jc w:val="center"/>
        </w:trPr>
        <w:tc>
          <w:tcPr>
            <w:tcW w:w="3216" w:type="dxa"/>
            <w:shd w:val="clear" w:color="auto" w:fill="FFFFFF"/>
            <w:vAlign w:val="center"/>
          </w:tcPr>
          <w:p w:rsidR="00CB6931" w:rsidRPr="00495D9B" w:rsidRDefault="00495D9B" w:rsidP="00D22DB5">
            <w:pPr>
              <w:spacing w:after="0" w:line="360" w:lineRule="auto"/>
              <w:jc w:val="center"/>
              <w:rPr>
                <w:sz w:val="20"/>
                <w:szCs w:val="20"/>
                <w:lang w:val="en-US"/>
              </w:rPr>
            </w:pPr>
            <w:proofErr w:type="spellStart"/>
            <w:r w:rsidRPr="00495D9B">
              <w:rPr>
                <w:sz w:val="20"/>
                <w:szCs w:val="20"/>
                <w:lang w:val="en-US"/>
              </w:rPr>
              <w:t>HbAlc</w:t>
            </w:r>
            <w:proofErr w:type="spellEnd"/>
            <w:r w:rsidR="00CB6931" w:rsidRPr="00495D9B">
              <w:rPr>
                <w:sz w:val="20"/>
                <w:szCs w:val="20"/>
                <w:lang w:val="en-US"/>
              </w:rPr>
              <w:t>,</w:t>
            </w:r>
            <w:r w:rsidR="00D42524" w:rsidRPr="00495D9B">
              <w:rPr>
                <w:sz w:val="20"/>
                <w:szCs w:val="20"/>
                <w:lang w:val="en-US"/>
              </w:rPr>
              <w:t xml:space="preserve"> %</w:t>
            </w:r>
          </w:p>
        </w:tc>
        <w:tc>
          <w:tcPr>
            <w:tcW w:w="1637"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5,44</w:t>
            </w:r>
            <w:r w:rsidR="00D42524" w:rsidRPr="00495D9B">
              <w:rPr>
                <w:sz w:val="20"/>
                <w:szCs w:val="20"/>
                <w:lang w:val="en-US"/>
              </w:rPr>
              <w:t>±</w:t>
            </w:r>
            <w:r w:rsidRPr="00495D9B">
              <w:rPr>
                <w:sz w:val="20"/>
                <w:szCs w:val="20"/>
                <w:lang w:val="en-US"/>
              </w:rPr>
              <w:t>0,09 5,5</w:t>
            </w:r>
          </w:p>
          <w:p w:rsidR="00CB6931" w:rsidRPr="00495D9B" w:rsidRDefault="00CB6931" w:rsidP="00D42524">
            <w:pPr>
              <w:spacing w:after="0" w:line="360" w:lineRule="auto"/>
              <w:jc w:val="center"/>
              <w:rPr>
                <w:sz w:val="20"/>
                <w:szCs w:val="20"/>
                <w:lang w:val="en-US"/>
              </w:rPr>
            </w:pPr>
            <w:r w:rsidRPr="00495D9B">
              <w:rPr>
                <w:sz w:val="20"/>
                <w:szCs w:val="20"/>
                <w:lang w:val="en-US"/>
              </w:rPr>
              <w:t>[5,3; 5,7]</w:t>
            </w:r>
          </w:p>
        </w:tc>
        <w:tc>
          <w:tcPr>
            <w:tcW w:w="1603"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5,94</w:t>
            </w:r>
            <w:r w:rsidR="00D42524" w:rsidRPr="00495D9B">
              <w:rPr>
                <w:sz w:val="20"/>
                <w:szCs w:val="20"/>
                <w:lang w:val="en-US"/>
              </w:rPr>
              <w:t>±</w:t>
            </w:r>
            <w:r w:rsidR="000130CE" w:rsidRPr="00495D9B">
              <w:rPr>
                <w:sz w:val="20"/>
                <w:szCs w:val="20"/>
                <w:lang w:val="en-US"/>
              </w:rPr>
              <w:t>0,15* 5,8</w:t>
            </w:r>
          </w:p>
          <w:p w:rsidR="00CB6931" w:rsidRPr="00495D9B" w:rsidRDefault="00CB6931" w:rsidP="00D42524">
            <w:pPr>
              <w:spacing w:after="0" w:line="360" w:lineRule="auto"/>
              <w:jc w:val="center"/>
              <w:rPr>
                <w:sz w:val="20"/>
                <w:szCs w:val="20"/>
                <w:lang w:val="en-US"/>
              </w:rPr>
            </w:pPr>
            <w:r w:rsidRPr="00495D9B">
              <w:rPr>
                <w:sz w:val="20"/>
                <w:szCs w:val="20"/>
                <w:lang w:val="en-US"/>
              </w:rPr>
              <w:t>[5,3; 6,5]</w:t>
            </w:r>
          </w:p>
        </w:tc>
        <w:tc>
          <w:tcPr>
            <w:tcW w:w="1613"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6,14</w:t>
            </w:r>
            <w:r w:rsidR="00D42524" w:rsidRPr="00495D9B">
              <w:rPr>
                <w:sz w:val="20"/>
                <w:szCs w:val="20"/>
                <w:lang w:val="en-US"/>
              </w:rPr>
              <w:t>±</w:t>
            </w:r>
            <w:r w:rsidR="000130CE" w:rsidRPr="00495D9B">
              <w:rPr>
                <w:sz w:val="20"/>
                <w:szCs w:val="20"/>
                <w:lang w:val="en-US"/>
              </w:rPr>
              <w:t>0,28* 6,3</w:t>
            </w:r>
          </w:p>
          <w:p w:rsidR="00CB6931" w:rsidRPr="00495D9B" w:rsidRDefault="00CB6931" w:rsidP="00D42524">
            <w:pPr>
              <w:spacing w:after="0" w:line="360" w:lineRule="auto"/>
              <w:jc w:val="center"/>
              <w:rPr>
                <w:sz w:val="20"/>
                <w:szCs w:val="20"/>
                <w:lang w:val="en-US"/>
              </w:rPr>
            </w:pPr>
            <w:r w:rsidRPr="00495D9B">
              <w:rPr>
                <w:sz w:val="20"/>
                <w:szCs w:val="20"/>
                <w:lang w:val="en-US"/>
              </w:rPr>
              <w:t>[5,3; 6,8]</w:t>
            </w:r>
          </w:p>
        </w:tc>
        <w:tc>
          <w:tcPr>
            <w:tcW w:w="1598"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5,38 + 0,06 5,4</w:t>
            </w:r>
          </w:p>
          <w:p w:rsidR="00CB6931" w:rsidRPr="00495D9B" w:rsidRDefault="00CB6931" w:rsidP="00D42524">
            <w:pPr>
              <w:spacing w:after="0" w:line="360" w:lineRule="auto"/>
              <w:jc w:val="center"/>
              <w:rPr>
                <w:sz w:val="20"/>
                <w:szCs w:val="20"/>
                <w:lang w:val="en-US"/>
              </w:rPr>
            </w:pPr>
            <w:r w:rsidRPr="00495D9B">
              <w:rPr>
                <w:sz w:val="20"/>
                <w:szCs w:val="20"/>
                <w:lang w:val="en-US"/>
              </w:rPr>
              <w:t>[5,2; 5,5]</w:t>
            </w:r>
          </w:p>
        </w:tc>
      </w:tr>
      <w:tr w:rsidR="00CB6931" w:rsidRPr="00495D9B" w:rsidTr="00D22DB5">
        <w:trPr>
          <w:trHeight w:val="494"/>
          <w:jc w:val="center"/>
        </w:trPr>
        <w:tc>
          <w:tcPr>
            <w:tcW w:w="3216" w:type="dxa"/>
            <w:shd w:val="clear" w:color="auto" w:fill="FFFFFF"/>
            <w:vAlign w:val="center"/>
          </w:tcPr>
          <w:p w:rsidR="00CB6931" w:rsidRPr="00495D9B" w:rsidRDefault="00D22DB5" w:rsidP="00D22DB5">
            <w:pPr>
              <w:spacing w:after="0" w:line="360" w:lineRule="auto"/>
              <w:jc w:val="center"/>
              <w:rPr>
                <w:sz w:val="20"/>
                <w:szCs w:val="20"/>
                <w:lang w:val="en-US"/>
              </w:rPr>
            </w:pPr>
            <w:r w:rsidRPr="00495D9B">
              <w:rPr>
                <w:sz w:val="20"/>
                <w:szCs w:val="20"/>
                <w:lang w:val="en-US"/>
              </w:rPr>
              <w:t>IRI</w:t>
            </w:r>
            <w:r w:rsidR="00D42524" w:rsidRPr="00495D9B">
              <w:rPr>
                <w:sz w:val="20"/>
                <w:szCs w:val="20"/>
                <w:lang w:val="en-US"/>
              </w:rPr>
              <w:t xml:space="preserve">, </w:t>
            </w:r>
            <w:proofErr w:type="spellStart"/>
            <w:r w:rsidR="00D76B2D" w:rsidRPr="00495D9B">
              <w:rPr>
                <w:sz w:val="20"/>
                <w:szCs w:val="20"/>
                <w:lang w:val="en-US"/>
              </w:rPr>
              <w:t>m</w:t>
            </w:r>
            <w:r w:rsidRPr="00495D9B">
              <w:rPr>
                <w:sz w:val="20"/>
                <w:szCs w:val="20"/>
                <w:lang w:val="en-US"/>
              </w:rPr>
              <w:t>U</w:t>
            </w:r>
            <w:proofErr w:type="spellEnd"/>
            <w:r w:rsidR="00CB6931" w:rsidRPr="00495D9B">
              <w:rPr>
                <w:sz w:val="20"/>
                <w:szCs w:val="20"/>
                <w:lang w:val="en-US"/>
              </w:rPr>
              <w:t>/</w:t>
            </w:r>
            <w:r w:rsidRPr="00495D9B">
              <w:rPr>
                <w:sz w:val="20"/>
                <w:szCs w:val="20"/>
                <w:lang w:val="en-US"/>
              </w:rPr>
              <w:t>ml</w:t>
            </w:r>
          </w:p>
        </w:tc>
        <w:tc>
          <w:tcPr>
            <w:tcW w:w="1637"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15,50</w:t>
            </w:r>
            <w:r w:rsidR="00D42524" w:rsidRPr="00495D9B">
              <w:rPr>
                <w:sz w:val="20"/>
                <w:szCs w:val="20"/>
                <w:lang w:val="en-US"/>
              </w:rPr>
              <w:t>±</w:t>
            </w:r>
            <w:r w:rsidR="000130CE" w:rsidRPr="00495D9B">
              <w:rPr>
                <w:sz w:val="20"/>
                <w:szCs w:val="20"/>
                <w:lang w:val="en-US"/>
              </w:rPr>
              <w:t>1,40 10,6</w:t>
            </w:r>
          </w:p>
          <w:p w:rsidR="00CB6931" w:rsidRPr="00495D9B" w:rsidRDefault="00CB6931" w:rsidP="00D42524">
            <w:pPr>
              <w:spacing w:after="0" w:line="360" w:lineRule="auto"/>
              <w:jc w:val="center"/>
              <w:rPr>
                <w:sz w:val="20"/>
                <w:szCs w:val="20"/>
                <w:lang w:val="en-US"/>
              </w:rPr>
            </w:pPr>
            <w:r w:rsidRPr="00495D9B">
              <w:rPr>
                <w:sz w:val="20"/>
                <w:szCs w:val="20"/>
                <w:lang w:val="en-US"/>
              </w:rPr>
              <w:t>[9,0; 19,8]</w:t>
            </w:r>
          </w:p>
        </w:tc>
        <w:tc>
          <w:tcPr>
            <w:tcW w:w="1603"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16,80</w:t>
            </w:r>
            <w:r w:rsidR="00D42524" w:rsidRPr="00495D9B">
              <w:rPr>
                <w:sz w:val="20"/>
                <w:szCs w:val="20"/>
                <w:lang w:val="en-US"/>
              </w:rPr>
              <w:t>±</w:t>
            </w:r>
            <w:r w:rsidR="000130CE" w:rsidRPr="00495D9B">
              <w:rPr>
                <w:sz w:val="20"/>
                <w:szCs w:val="20"/>
                <w:lang w:val="en-US"/>
              </w:rPr>
              <w:t>1,52 13,2</w:t>
            </w:r>
          </w:p>
          <w:p w:rsidR="00CB6931" w:rsidRPr="00495D9B" w:rsidRDefault="00CB6931" w:rsidP="00D42524">
            <w:pPr>
              <w:spacing w:after="0" w:line="360" w:lineRule="auto"/>
              <w:jc w:val="center"/>
              <w:rPr>
                <w:sz w:val="20"/>
                <w:szCs w:val="20"/>
                <w:lang w:val="en-US"/>
              </w:rPr>
            </w:pPr>
            <w:r w:rsidRPr="00495D9B">
              <w:rPr>
                <w:sz w:val="20"/>
                <w:szCs w:val="20"/>
                <w:lang w:val="en-US"/>
              </w:rPr>
              <w:t>[9,8; 19,5]</w:t>
            </w:r>
          </w:p>
        </w:tc>
        <w:tc>
          <w:tcPr>
            <w:tcW w:w="1613"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12,70+1,40 10,2</w:t>
            </w:r>
          </w:p>
          <w:p w:rsidR="00CB6931" w:rsidRPr="00495D9B" w:rsidRDefault="00CB6931" w:rsidP="00D42524">
            <w:pPr>
              <w:spacing w:after="0" w:line="360" w:lineRule="auto"/>
              <w:jc w:val="center"/>
              <w:rPr>
                <w:sz w:val="20"/>
                <w:szCs w:val="20"/>
                <w:lang w:val="en-US"/>
              </w:rPr>
            </w:pPr>
            <w:r w:rsidRPr="00495D9B">
              <w:rPr>
                <w:sz w:val="20"/>
                <w:szCs w:val="20"/>
                <w:lang w:val="en-US"/>
              </w:rPr>
              <w:t>[4,5; 17,6]</w:t>
            </w:r>
          </w:p>
        </w:tc>
        <w:tc>
          <w:tcPr>
            <w:tcW w:w="1598"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8,85</w:t>
            </w:r>
            <w:r w:rsidR="00D42524" w:rsidRPr="00495D9B">
              <w:rPr>
                <w:sz w:val="20"/>
                <w:szCs w:val="20"/>
                <w:lang w:val="en-US"/>
              </w:rPr>
              <w:t>±</w:t>
            </w:r>
            <w:r w:rsidR="000130CE" w:rsidRPr="00495D9B">
              <w:rPr>
                <w:sz w:val="20"/>
                <w:szCs w:val="20"/>
                <w:lang w:val="en-US"/>
              </w:rPr>
              <w:t>1,14 9,9</w:t>
            </w:r>
          </w:p>
          <w:p w:rsidR="00CB6931" w:rsidRPr="00495D9B" w:rsidRDefault="00CB6931" w:rsidP="00D42524">
            <w:pPr>
              <w:spacing w:after="0" w:line="360" w:lineRule="auto"/>
              <w:jc w:val="center"/>
              <w:rPr>
                <w:sz w:val="20"/>
                <w:szCs w:val="20"/>
                <w:lang w:val="en-US"/>
              </w:rPr>
            </w:pPr>
            <w:r w:rsidRPr="00495D9B">
              <w:rPr>
                <w:sz w:val="20"/>
                <w:szCs w:val="20"/>
                <w:lang w:val="en-US"/>
              </w:rPr>
              <w:t>[5,5; 11,3]</w:t>
            </w:r>
          </w:p>
        </w:tc>
      </w:tr>
      <w:tr w:rsidR="00CB6931" w:rsidRPr="00495D9B" w:rsidTr="00D22DB5">
        <w:trPr>
          <w:trHeight w:val="490"/>
          <w:jc w:val="center"/>
        </w:trPr>
        <w:tc>
          <w:tcPr>
            <w:tcW w:w="3216" w:type="dxa"/>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НОМА-IR</w:t>
            </w:r>
          </w:p>
        </w:tc>
        <w:tc>
          <w:tcPr>
            <w:tcW w:w="1637"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3,57</w:t>
            </w:r>
            <w:r w:rsidR="00D42524" w:rsidRPr="00495D9B">
              <w:rPr>
                <w:sz w:val="20"/>
                <w:szCs w:val="20"/>
                <w:lang w:val="en-US"/>
              </w:rPr>
              <w:t>±</w:t>
            </w:r>
            <w:r w:rsidRPr="00495D9B">
              <w:rPr>
                <w:sz w:val="20"/>
                <w:szCs w:val="20"/>
                <w:lang w:val="en-US"/>
              </w:rPr>
              <w:t>0,59* 1,87</w:t>
            </w:r>
          </w:p>
          <w:p w:rsidR="00CB6931" w:rsidRPr="00495D9B" w:rsidRDefault="00CB6931" w:rsidP="00D42524">
            <w:pPr>
              <w:spacing w:after="0" w:line="360" w:lineRule="auto"/>
              <w:jc w:val="center"/>
              <w:rPr>
                <w:sz w:val="20"/>
                <w:szCs w:val="20"/>
                <w:lang w:val="en-US"/>
              </w:rPr>
            </w:pPr>
            <w:r w:rsidRPr="00495D9B">
              <w:rPr>
                <w:sz w:val="20"/>
                <w:szCs w:val="20"/>
                <w:lang w:val="en-US"/>
              </w:rPr>
              <w:t>[2,5; 4,3]</w:t>
            </w:r>
          </w:p>
        </w:tc>
        <w:tc>
          <w:tcPr>
            <w:tcW w:w="1603"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3,96</w:t>
            </w:r>
            <w:r w:rsidR="00D42524" w:rsidRPr="00495D9B">
              <w:rPr>
                <w:sz w:val="20"/>
                <w:szCs w:val="20"/>
                <w:lang w:val="en-US"/>
              </w:rPr>
              <w:t>±</w:t>
            </w:r>
            <w:r w:rsidRPr="00495D9B">
              <w:rPr>
                <w:sz w:val="20"/>
                <w:szCs w:val="20"/>
                <w:lang w:val="en-US"/>
              </w:rPr>
              <w:t>0,55* 2,97</w:t>
            </w:r>
          </w:p>
          <w:p w:rsidR="00CB6931" w:rsidRPr="00495D9B" w:rsidRDefault="00CB6931" w:rsidP="00D42524">
            <w:pPr>
              <w:spacing w:after="0" w:line="360" w:lineRule="auto"/>
              <w:jc w:val="center"/>
              <w:rPr>
                <w:sz w:val="20"/>
                <w:szCs w:val="20"/>
                <w:lang w:val="en-US"/>
              </w:rPr>
            </w:pPr>
            <w:r w:rsidRPr="00495D9B">
              <w:rPr>
                <w:sz w:val="20"/>
                <w:szCs w:val="20"/>
                <w:lang w:val="en-US"/>
              </w:rPr>
              <w:t>[2,1; 4,4]</w:t>
            </w:r>
          </w:p>
        </w:tc>
        <w:tc>
          <w:tcPr>
            <w:tcW w:w="1613" w:type="dxa"/>
            <w:shd w:val="clear" w:color="auto" w:fill="FFFFFF"/>
            <w:vAlign w:val="center"/>
          </w:tcPr>
          <w:p w:rsidR="000130CE" w:rsidRPr="00495D9B" w:rsidRDefault="00CB6931" w:rsidP="00D42524">
            <w:pPr>
              <w:spacing w:after="0" w:line="360" w:lineRule="auto"/>
              <w:jc w:val="center"/>
              <w:rPr>
                <w:sz w:val="20"/>
                <w:szCs w:val="20"/>
                <w:lang w:val="en-US"/>
              </w:rPr>
            </w:pPr>
            <w:r w:rsidRPr="00495D9B">
              <w:rPr>
                <w:sz w:val="20"/>
                <w:szCs w:val="20"/>
                <w:lang w:val="en-US"/>
              </w:rPr>
              <w:t>4,43</w:t>
            </w:r>
            <w:r w:rsidR="00D42524" w:rsidRPr="00495D9B">
              <w:rPr>
                <w:sz w:val="20"/>
                <w:szCs w:val="20"/>
                <w:lang w:val="en-US"/>
              </w:rPr>
              <w:t>±</w:t>
            </w:r>
            <w:r w:rsidR="000130CE" w:rsidRPr="00495D9B">
              <w:rPr>
                <w:sz w:val="20"/>
                <w:szCs w:val="20"/>
                <w:lang w:val="en-US"/>
              </w:rPr>
              <w:t>1,04* 2,76</w:t>
            </w:r>
          </w:p>
          <w:p w:rsidR="00CB6931" w:rsidRPr="00495D9B" w:rsidRDefault="00CB6931" w:rsidP="00D42524">
            <w:pPr>
              <w:spacing w:after="0" w:line="360" w:lineRule="auto"/>
              <w:jc w:val="center"/>
              <w:rPr>
                <w:sz w:val="20"/>
                <w:szCs w:val="20"/>
                <w:lang w:val="en-US"/>
              </w:rPr>
            </w:pPr>
            <w:r w:rsidRPr="00495D9B">
              <w:rPr>
                <w:sz w:val="20"/>
                <w:szCs w:val="20"/>
                <w:lang w:val="en-US"/>
              </w:rPr>
              <w:t>[1,6; 4,0]</w:t>
            </w:r>
          </w:p>
        </w:tc>
        <w:tc>
          <w:tcPr>
            <w:tcW w:w="1598"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1,84</w:t>
            </w:r>
            <w:r w:rsidR="00D42524" w:rsidRPr="00495D9B">
              <w:rPr>
                <w:sz w:val="20"/>
                <w:szCs w:val="20"/>
                <w:lang w:val="en-US"/>
              </w:rPr>
              <w:t>±</w:t>
            </w:r>
            <w:r w:rsidRPr="00495D9B">
              <w:rPr>
                <w:sz w:val="20"/>
                <w:szCs w:val="20"/>
                <w:lang w:val="en-US"/>
              </w:rPr>
              <w:t>0,22 2,1</w:t>
            </w:r>
          </w:p>
          <w:p w:rsidR="00CB6931" w:rsidRPr="00495D9B" w:rsidRDefault="00CB6931" w:rsidP="00D42524">
            <w:pPr>
              <w:spacing w:after="0" w:line="360" w:lineRule="auto"/>
              <w:jc w:val="center"/>
              <w:rPr>
                <w:sz w:val="20"/>
                <w:szCs w:val="20"/>
                <w:lang w:val="en-US"/>
              </w:rPr>
            </w:pPr>
            <w:r w:rsidRPr="00495D9B">
              <w:rPr>
                <w:sz w:val="20"/>
                <w:szCs w:val="20"/>
                <w:lang w:val="en-US"/>
              </w:rPr>
              <w:t>[1,1; 2,3]</w:t>
            </w:r>
          </w:p>
        </w:tc>
      </w:tr>
      <w:tr w:rsidR="00CB6931" w:rsidRPr="00495D9B" w:rsidTr="00D22DB5">
        <w:trPr>
          <w:trHeight w:val="494"/>
          <w:jc w:val="center"/>
        </w:trPr>
        <w:tc>
          <w:tcPr>
            <w:tcW w:w="3216" w:type="dxa"/>
            <w:shd w:val="clear" w:color="auto" w:fill="FFFFFF"/>
            <w:vAlign w:val="center"/>
          </w:tcPr>
          <w:p w:rsidR="00CB6931" w:rsidRPr="00495D9B" w:rsidRDefault="00CB6931" w:rsidP="00D42524">
            <w:pPr>
              <w:spacing w:after="0" w:line="360" w:lineRule="auto"/>
              <w:jc w:val="center"/>
              <w:rPr>
                <w:sz w:val="20"/>
                <w:szCs w:val="20"/>
                <w:lang w:val="en-US"/>
              </w:rPr>
            </w:pPr>
            <w:r w:rsidRPr="00495D9B">
              <w:rPr>
                <w:sz w:val="20"/>
                <w:szCs w:val="20"/>
                <w:lang w:val="en-US"/>
              </w:rPr>
              <w:t>НОМА-FB</w:t>
            </w:r>
          </w:p>
        </w:tc>
        <w:tc>
          <w:tcPr>
            <w:tcW w:w="1637"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216,1 +34,0 94,1</w:t>
            </w:r>
          </w:p>
          <w:p w:rsidR="00CB6931" w:rsidRPr="00495D9B" w:rsidRDefault="00CB6931" w:rsidP="00D42524">
            <w:pPr>
              <w:spacing w:after="0" w:line="360" w:lineRule="auto"/>
              <w:jc w:val="center"/>
              <w:rPr>
                <w:sz w:val="20"/>
                <w:szCs w:val="20"/>
                <w:lang w:val="en-US"/>
              </w:rPr>
            </w:pPr>
            <w:r w:rsidRPr="00495D9B">
              <w:rPr>
                <w:sz w:val="20"/>
                <w:szCs w:val="20"/>
                <w:lang w:val="en-US"/>
              </w:rPr>
              <w:t>[200; 310,7]</w:t>
            </w:r>
          </w:p>
        </w:tc>
        <w:tc>
          <w:tcPr>
            <w:tcW w:w="1603"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175,5</w:t>
            </w:r>
            <w:r w:rsidR="00D42524" w:rsidRPr="00495D9B">
              <w:rPr>
                <w:sz w:val="20"/>
                <w:szCs w:val="20"/>
                <w:lang w:val="en-US"/>
              </w:rPr>
              <w:t>±</w:t>
            </w:r>
            <w:r w:rsidRPr="00495D9B">
              <w:rPr>
                <w:sz w:val="20"/>
                <w:szCs w:val="20"/>
                <w:lang w:val="en-US"/>
              </w:rPr>
              <w:t>43,4 126</w:t>
            </w:r>
          </w:p>
          <w:p w:rsidR="00CB6931" w:rsidRPr="00495D9B" w:rsidRDefault="00CB6931" w:rsidP="00D42524">
            <w:pPr>
              <w:spacing w:after="0" w:line="360" w:lineRule="auto"/>
              <w:jc w:val="center"/>
              <w:rPr>
                <w:sz w:val="20"/>
                <w:szCs w:val="20"/>
                <w:lang w:val="en-US"/>
              </w:rPr>
            </w:pPr>
            <w:r w:rsidRPr="00495D9B">
              <w:rPr>
                <w:sz w:val="20"/>
                <w:szCs w:val="20"/>
                <w:lang w:val="en-US"/>
              </w:rPr>
              <w:t>[92; 198]</w:t>
            </w:r>
          </w:p>
        </w:tc>
        <w:tc>
          <w:tcPr>
            <w:tcW w:w="1613"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167,3 + 33,5 124</w:t>
            </w:r>
          </w:p>
          <w:p w:rsidR="00CB6931" w:rsidRPr="00495D9B" w:rsidRDefault="00CB6931" w:rsidP="00D42524">
            <w:pPr>
              <w:spacing w:after="0" w:line="360" w:lineRule="auto"/>
              <w:jc w:val="center"/>
              <w:rPr>
                <w:sz w:val="20"/>
                <w:szCs w:val="20"/>
                <w:lang w:val="en-US"/>
              </w:rPr>
            </w:pPr>
            <w:r w:rsidRPr="00495D9B">
              <w:rPr>
                <w:sz w:val="20"/>
                <w:szCs w:val="20"/>
                <w:lang w:val="en-US"/>
              </w:rPr>
              <w:t>[103; 262]</w:t>
            </w:r>
          </w:p>
        </w:tc>
        <w:tc>
          <w:tcPr>
            <w:tcW w:w="1598" w:type="dxa"/>
            <w:shd w:val="clear" w:color="auto" w:fill="FFFFFF"/>
            <w:vAlign w:val="center"/>
          </w:tcPr>
          <w:p w:rsidR="000130CE" w:rsidRPr="00495D9B" w:rsidRDefault="000130CE" w:rsidP="00D42524">
            <w:pPr>
              <w:spacing w:after="0" w:line="360" w:lineRule="auto"/>
              <w:jc w:val="center"/>
              <w:rPr>
                <w:sz w:val="20"/>
                <w:szCs w:val="20"/>
                <w:lang w:val="en-US"/>
              </w:rPr>
            </w:pPr>
            <w:r w:rsidRPr="00495D9B">
              <w:rPr>
                <w:sz w:val="20"/>
                <w:szCs w:val="20"/>
                <w:lang w:val="en-US"/>
              </w:rPr>
              <w:t>250,5</w:t>
            </w:r>
            <w:r w:rsidR="00D42524" w:rsidRPr="00495D9B">
              <w:rPr>
                <w:sz w:val="20"/>
                <w:szCs w:val="20"/>
                <w:lang w:val="en-US"/>
              </w:rPr>
              <w:t>±</w:t>
            </w:r>
            <w:r w:rsidRPr="00495D9B">
              <w:rPr>
                <w:sz w:val="20"/>
                <w:szCs w:val="20"/>
                <w:lang w:val="en-US"/>
              </w:rPr>
              <w:t>35,5 170,4</w:t>
            </w:r>
          </w:p>
          <w:p w:rsidR="00CB6931" w:rsidRPr="00495D9B" w:rsidRDefault="00CB6931" w:rsidP="00D42524">
            <w:pPr>
              <w:spacing w:after="0" w:line="360" w:lineRule="auto"/>
              <w:jc w:val="center"/>
              <w:rPr>
                <w:sz w:val="20"/>
                <w:szCs w:val="20"/>
                <w:lang w:val="en-US"/>
              </w:rPr>
            </w:pPr>
            <w:r w:rsidRPr="00495D9B">
              <w:rPr>
                <w:sz w:val="20"/>
                <w:szCs w:val="20"/>
                <w:lang w:val="en-US"/>
              </w:rPr>
              <w:t>[115; 380]</w:t>
            </w:r>
          </w:p>
        </w:tc>
      </w:tr>
    </w:tbl>
    <w:p w:rsidR="000130CE" w:rsidRPr="00495D9B" w:rsidRDefault="00642715" w:rsidP="000130CE">
      <w:pPr>
        <w:spacing w:after="0" w:line="360" w:lineRule="auto"/>
        <w:jc w:val="both"/>
        <w:rPr>
          <w:bCs/>
          <w:iCs/>
          <w:sz w:val="20"/>
          <w:szCs w:val="20"/>
          <w:lang w:val="en-US"/>
        </w:rPr>
      </w:pPr>
      <w:bookmarkStart w:id="0" w:name="bookmark6"/>
      <w:r w:rsidRPr="00495D9B">
        <w:rPr>
          <w:bCs/>
          <w:iCs/>
          <w:sz w:val="20"/>
          <w:szCs w:val="20"/>
          <w:lang w:val="en-US"/>
        </w:rPr>
        <w:t>Note</w:t>
      </w:r>
      <w:r w:rsidR="00CB6931" w:rsidRPr="00495D9B">
        <w:rPr>
          <w:bCs/>
          <w:iCs/>
          <w:sz w:val="20"/>
          <w:szCs w:val="20"/>
          <w:lang w:val="en-US"/>
        </w:rPr>
        <w:t>: * — р&lt;0</w:t>
      </w:r>
      <w:proofErr w:type="gramStart"/>
      <w:r w:rsidR="00CB6931" w:rsidRPr="00495D9B">
        <w:rPr>
          <w:bCs/>
          <w:iCs/>
          <w:sz w:val="20"/>
          <w:szCs w:val="20"/>
          <w:lang w:val="en-US"/>
        </w:rPr>
        <w:t>,05</w:t>
      </w:r>
      <w:proofErr w:type="gramEnd"/>
      <w:r w:rsidR="00CB6931" w:rsidRPr="00495D9B">
        <w:rPr>
          <w:bCs/>
          <w:iCs/>
          <w:sz w:val="20"/>
          <w:szCs w:val="20"/>
          <w:lang w:val="en-US"/>
        </w:rPr>
        <w:t xml:space="preserve">, </w:t>
      </w:r>
      <w:r w:rsidR="00D22DB5" w:rsidRPr="00495D9B">
        <w:rPr>
          <w:bCs/>
          <w:iCs/>
          <w:sz w:val="20"/>
          <w:szCs w:val="20"/>
          <w:lang w:val="en-US"/>
        </w:rPr>
        <w:t>significance relative to control</w:t>
      </w:r>
      <w:r w:rsidR="00CB6931" w:rsidRPr="00495D9B">
        <w:rPr>
          <w:bCs/>
          <w:iCs/>
          <w:sz w:val="20"/>
          <w:szCs w:val="20"/>
          <w:lang w:val="en-US"/>
        </w:rPr>
        <w:t xml:space="preserve">; </w:t>
      </w:r>
      <w:proofErr w:type="spellStart"/>
      <w:r w:rsidR="00CB6931" w:rsidRPr="00495D9B">
        <w:rPr>
          <w:bCs/>
          <w:iCs/>
          <w:sz w:val="20"/>
          <w:szCs w:val="20"/>
          <w:lang w:val="en-US"/>
        </w:rPr>
        <w:t>Ме</w:t>
      </w:r>
      <w:proofErr w:type="spellEnd"/>
      <w:r w:rsidR="00CB6931" w:rsidRPr="00495D9B">
        <w:rPr>
          <w:bCs/>
          <w:iCs/>
          <w:sz w:val="20"/>
          <w:szCs w:val="20"/>
          <w:lang w:val="en-US"/>
        </w:rPr>
        <w:t xml:space="preserve"> [25; 75] (</w:t>
      </w:r>
      <w:proofErr w:type="spellStart"/>
      <w:r w:rsidR="00CB6931" w:rsidRPr="00495D9B">
        <w:rPr>
          <w:bCs/>
          <w:iCs/>
          <w:sz w:val="20"/>
          <w:szCs w:val="20"/>
          <w:lang w:val="en-US"/>
        </w:rPr>
        <w:t>Ме</w:t>
      </w:r>
      <w:proofErr w:type="spellEnd"/>
      <w:r w:rsidR="00CB6931" w:rsidRPr="00495D9B">
        <w:rPr>
          <w:bCs/>
          <w:iCs/>
          <w:sz w:val="20"/>
          <w:szCs w:val="20"/>
          <w:lang w:val="en-US"/>
        </w:rPr>
        <w:t xml:space="preserve"> — </w:t>
      </w:r>
      <w:r w:rsidR="00D22DB5" w:rsidRPr="00495D9B">
        <w:rPr>
          <w:bCs/>
          <w:iCs/>
          <w:sz w:val="20"/>
          <w:szCs w:val="20"/>
          <w:lang w:val="en-US"/>
        </w:rPr>
        <w:t>median</w:t>
      </w:r>
      <w:r w:rsidR="00CB6931" w:rsidRPr="00495D9B">
        <w:rPr>
          <w:bCs/>
          <w:iCs/>
          <w:sz w:val="20"/>
          <w:szCs w:val="20"/>
          <w:lang w:val="en-US"/>
        </w:rPr>
        <w:t xml:space="preserve">; </w:t>
      </w:r>
      <w:proofErr w:type="spellStart"/>
      <w:r w:rsidR="00D22DB5" w:rsidRPr="00495D9B">
        <w:rPr>
          <w:bCs/>
          <w:iCs/>
          <w:sz w:val="20"/>
          <w:szCs w:val="20"/>
          <w:lang w:val="en-US"/>
        </w:rPr>
        <w:t>interquartile</w:t>
      </w:r>
      <w:proofErr w:type="spellEnd"/>
      <w:r w:rsidR="00D22DB5" w:rsidRPr="00495D9B">
        <w:rPr>
          <w:bCs/>
          <w:iCs/>
          <w:sz w:val="20"/>
          <w:szCs w:val="20"/>
          <w:lang w:val="en-US"/>
        </w:rPr>
        <w:t xml:space="preserve"> values</w:t>
      </w:r>
      <w:r w:rsidR="00CB6931" w:rsidRPr="00495D9B">
        <w:rPr>
          <w:bCs/>
          <w:iCs/>
          <w:sz w:val="20"/>
          <w:szCs w:val="20"/>
          <w:lang w:val="en-US"/>
        </w:rPr>
        <w:t xml:space="preserve">: 25 и 75 — </w:t>
      </w:r>
      <w:r w:rsidR="00D22DB5" w:rsidRPr="00495D9B">
        <w:rPr>
          <w:bCs/>
          <w:iCs/>
          <w:sz w:val="20"/>
          <w:szCs w:val="20"/>
          <w:lang w:val="en-US"/>
        </w:rPr>
        <w:t>percentile</w:t>
      </w:r>
      <w:r w:rsidR="00CB6931" w:rsidRPr="00495D9B">
        <w:rPr>
          <w:bCs/>
          <w:iCs/>
          <w:sz w:val="20"/>
          <w:szCs w:val="20"/>
          <w:lang w:val="en-US"/>
        </w:rPr>
        <w:t>).</w:t>
      </w:r>
      <w:bookmarkEnd w:id="0"/>
    </w:p>
    <w:p w:rsidR="000130CE" w:rsidRPr="00495D9B" w:rsidRDefault="00D22DB5" w:rsidP="006D6156">
      <w:pPr>
        <w:spacing w:after="0" w:line="360" w:lineRule="auto"/>
        <w:jc w:val="right"/>
        <w:rPr>
          <w:bCs/>
          <w:iCs/>
          <w:sz w:val="28"/>
          <w:szCs w:val="28"/>
          <w:lang w:val="en-US"/>
        </w:rPr>
      </w:pPr>
      <w:r w:rsidRPr="00495D9B">
        <w:rPr>
          <w:bCs/>
          <w:iCs/>
          <w:sz w:val="28"/>
          <w:szCs w:val="28"/>
          <w:lang w:val="en-US"/>
        </w:rPr>
        <w:t>Table 3</w:t>
      </w:r>
    </w:p>
    <w:p w:rsidR="00D42524" w:rsidRPr="00495D9B" w:rsidRDefault="00D22DB5" w:rsidP="006D6156">
      <w:pPr>
        <w:spacing w:after="0" w:line="360" w:lineRule="auto"/>
        <w:jc w:val="center"/>
        <w:rPr>
          <w:b/>
          <w:bCs/>
          <w:iCs/>
          <w:sz w:val="28"/>
          <w:szCs w:val="28"/>
          <w:lang w:val="en-US"/>
        </w:rPr>
      </w:pPr>
      <w:r w:rsidRPr="00495D9B">
        <w:rPr>
          <w:b/>
          <w:bCs/>
          <w:iCs/>
          <w:sz w:val="28"/>
          <w:szCs w:val="28"/>
          <w:lang w:val="en-US"/>
        </w:rPr>
        <w:t>CHM indices</w:t>
      </w:r>
      <w:r w:rsidR="00D42524" w:rsidRPr="00495D9B">
        <w:rPr>
          <w:b/>
          <w:bCs/>
          <w:iCs/>
          <w:sz w:val="28"/>
          <w:szCs w:val="28"/>
          <w:lang w:val="en-US"/>
        </w:rPr>
        <w:t xml:space="preserve">, НОМА-IR </w:t>
      </w:r>
      <w:r w:rsidRPr="00495D9B">
        <w:rPr>
          <w:b/>
          <w:bCs/>
          <w:iCs/>
          <w:sz w:val="28"/>
          <w:szCs w:val="28"/>
          <w:lang w:val="en-US"/>
        </w:rPr>
        <w:t>and</w:t>
      </w:r>
      <w:r w:rsidR="00D42524" w:rsidRPr="00495D9B">
        <w:rPr>
          <w:b/>
          <w:bCs/>
          <w:iCs/>
          <w:sz w:val="28"/>
          <w:szCs w:val="28"/>
          <w:lang w:val="en-US"/>
        </w:rPr>
        <w:t xml:space="preserve"> НОМА-FB</w:t>
      </w:r>
      <w:r w:rsidRPr="00495D9B">
        <w:rPr>
          <w:b/>
          <w:bCs/>
          <w:iCs/>
          <w:sz w:val="28"/>
          <w:szCs w:val="28"/>
          <w:lang w:val="en-US"/>
        </w:rPr>
        <w:t xml:space="preserve"> indices</w:t>
      </w:r>
    </w:p>
    <w:p w:rsidR="00D22DB5" w:rsidRPr="00495D9B" w:rsidRDefault="00D22DB5" w:rsidP="006D6156">
      <w:pPr>
        <w:spacing w:after="0" w:line="360" w:lineRule="auto"/>
        <w:jc w:val="center"/>
        <w:rPr>
          <w:b/>
          <w:bCs/>
          <w:iCs/>
          <w:sz w:val="28"/>
          <w:szCs w:val="28"/>
          <w:lang w:val="en-US"/>
        </w:rPr>
      </w:pPr>
      <w:proofErr w:type="gramStart"/>
      <w:r w:rsidRPr="00495D9B">
        <w:rPr>
          <w:b/>
          <w:bCs/>
          <w:iCs/>
          <w:sz w:val="28"/>
          <w:szCs w:val="28"/>
          <w:lang w:val="en-US"/>
        </w:rPr>
        <w:t>in</w:t>
      </w:r>
      <w:proofErr w:type="gramEnd"/>
      <w:r w:rsidRPr="00495D9B">
        <w:rPr>
          <w:b/>
          <w:bCs/>
          <w:iCs/>
          <w:sz w:val="28"/>
          <w:szCs w:val="28"/>
          <w:lang w:val="en-US"/>
        </w:rPr>
        <w:t xml:space="preserve"> persons with or without CHM disorders depending on CP duration</w:t>
      </w:r>
    </w:p>
    <w:tbl>
      <w:tblPr>
        <w:tblW w:w="9658" w:type="dxa"/>
        <w:tblLayout w:type="fixed"/>
        <w:tblCellMar>
          <w:left w:w="0" w:type="dxa"/>
          <w:right w:w="0" w:type="dxa"/>
        </w:tblCellMar>
        <w:tblLook w:val="0000"/>
      </w:tblPr>
      <w:tblGrid>
        <w:gridCol w:w="3394"/>
        <w:gridCol w:w="926"/>
        <w:gridCol w:w="1757"/>
        <w:gridCol w:w="1944"/>
        <w:gridCol w:w="1637"/>
      </w:tblGrid>
      <w:tr w:rsidR="00551625" w:rsidRPr="00495D9B" w:rsidTr="00551625">
        <w:trPr>
          <w:trHeight w:val="312"/>
        </w:trPr>
        <w:tc>
          <w:tcPr>
            <w:tcW w:w="3394" w:type="dxa"/>
            <w:tcBorders>
              <w:top w:val="single" w:sz="4" w:space="0" w:color="auto"/>
              <w:left w:val="single" w:sz="4" w:space="0" w:color="auto"/>
              <w:bottom w:val="nil"/>
              <w:right w:val="nil"/>
            </w:tcBorders>
            <w:shd w:val="clear" w:color="auto" w:fill="FFFFFF"/>
          </w:tcPr>
          <w:p w:rsidR="00551625" w:rsidRPr="00495D9B" w:rsidRDefault="00551625" w:rsidP="00551625">
            <w:pPr>
              <w:spacing w:after="0" w:line="360" w:lineRule="auto"/>
              <w:ind w:firstLine="709"/>
              <w:jc w:val="both"/>
              <w:rPr>
                <w:bCs/>
                <w:iCs/>
                <w:sz w:val="20"/>
                <w:szCs w:val="20"/>
                <w:lang w:val="en-US"/>
              </w:rPr>
            </w:pPr>
          </w:p>
        </w:tc>
        <w:tc>
          <w:tcPr>
            <w:tcW w:w="926" w:type="dxa"/>
            <w:tcBorders>
              <w:top w:val="single" w:sz="4" w:space="0" w:color="auto"/>
              <w:left w:val="nil"/>
              <w:bottom w:val="nil"/>
              <w:right w:val="single" w:sz="4" w:space="0" w:color="auto"/>
            </w:tcBorders>
            <w:shd w:val="clear" w:color="auto" w:fill="FFFFFF"/>
          </w:tcPr>
          <w:p w:rsidR="00551625" w:rsidRPr="00495D9B" w:rsidRDefault="00551625" w:rsidP="00551625">
            <w:pPr>
              <w:spacing w:after="0" w:line="360" w:lineRule="auto"/>
              <w:ind w:firstLine="709"/>
              <w:jc w:val="both"/>
              <w:rPr>
                <w:bCs/>
                <w:iCs/>
                <w:sz w:val="20"/>
                <w:szCs w:val="2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22DB5" w:rsidP="00551625">
            <w:pPr>
              <w:spacing w:after="0" w:line="360" w:lineRule="auto"/>
              <w:jc w:val="center"/>
              <w:rPr>
                <w:b/>
                <w:bCs/>
                <w:iCs/>
                <w:sz w:val="20"/>
                <w:szCs w:val="20"/>
                <w:lang w:val="en-US"/>
              </w:rPr>
            </w:pPr>
            <w:r w:rsidRPr="00495D9B">
              <w:rPr>
                <w:b/>
                <w:bCs/>
                <w:iCs/>
                <w:sz w:val="20"/>
                <w:szCs w:val="20"/>
                <w:lang w:val="en-US"/>
              </w:rPr>
              <w:t>Group 1</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22DB5" w:rsidP="00551625">
            <w:pPr>
              <w:spacing w:after="0" w:line="360" w:lineRule="auto"/>
              <w:jc w:val="center"/>
              <w:rPr>
                <w:b/>
                <w:bCs/>
                <w:iCs/>
                <w:sz w:val="20"/>
                <w:szCs w:val="20"/>
                <w:lang w:val="en-US"/>
              </w:rPr>
            </w:pPr>
            <w:r w:rsidRPr="00495D9B">
              <w:rPr>
                <w:b/>
                <w:bCs/>
                <w:iCs/>
                <w:sz w:val="20"/>
                <w:szCs w:val="20"/>
                <w:lang w:val="en-US"/>
              </w:rPr>
              <w:t>Group 2</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22DB5" w:rsidP="00551625">
            <w:pPr>
              <w:spacing w:after="0" w:line="360" w:lineRule="auto"/>
              <w:jc w:val="center"/>
              <w:rPr>
                <w:b/>
                <w:bCs/>
                <w:iCs/>
                <w:sz w:val="20"/>
                <w:szCs w:val="20"/>
                <w:lang w:val="en-US"/>
              </w:rPr>
            </w:pPr>
            <w:r w:rsidRPr="00495D9B">
              <w:rPr>
                <w:b/>
                <w:bCs/>
                <w:iCs/>
                <w:sz w:val="20"/>
                <w:szCs w:val="20"/>
                <w:lang w:val="en-US"/>
              </w:rPr>
              <w:t>Group 3</w:t>
            </w:r>
          </w:p>
        </w:tc>
      </w:tr>
      <w:tr w:rsidR="00551625" w:rsidRPr="00495D9B" w:rsidTr="00551625">
        <w:trPr>
          <w:trHeight w:val="485"/>
        </w:trPr>
        <w:tc>
          <w:tcPr>
            <w:tcW w:w="3394" w:type="dxa"/>
            <w:tcBorders>
              <w:top w:val="nil"/>
              <w:left w:val="single" w:sz="4" w:space="0" w:color="auto"/>
              <w:bottom w:val="single" w:sz="4" w:space="0" w:color="auto"/>
              <w:right w:val="nil"/>
            </w:tcBorders>
            <w:shd w:val="clear" w:color="auto" w:fill="FFFFFF"/>
            <w:vAlign w:val="center"/>
          </w:tcPr>
          <w:p w:rsidR="00551625" w:rsidRPr="00495D9B" w:rsidRDefault="00D22DB5" w:rsidP="00551625">
            <w:pPr>
              <w:spacing w:after="0" w:line="360" w:lineRule="auto"/>
              <w:jc w:val="center"/>
              <w:rPr>
                <w:b/>
                <w:bCs/>
                <w:iCs/>
                <w:sz w:val="20"/>
                <w:szCs w:val="20"/>
                <w:lang w:val="en-US"/>
              </w:rPr>
            </w:pPr>
            <w:r w:rsidRPr="00495D9B">
              <w:rPr>
                <w:b/>
                <w:bCs/>
                <w:iCs/>
                <w:sz w:val="20"/>
                <w:szCs w:val="20"/>
                <w:lang w:val="en-US"/>
              </w:rPr>
              <w:t>Groups</w:t>
            </w:r>
          </w:p>
        </w:tc>
        <w:tc>
          <w:tcPr>
            <w:tcW w:w="926" w:type="dxa"/>
            <w:tcBorders>
              <w:top w:val="nil"/>
              <w:left w:val="nil"/>
              <w:bottom w:val="single" w:sz="4" w:space="0" w:color="auto"/>
              <w:right w:val="single" w:sz="4" w:space="0" w:color="auto"/>
            </w:tcBorders>
            <w:shd w:val="clear" w:color="auto" w:fill="FFFFFF"/>
            <w:vAlign w:val="center"/>
          </w:tcPr>
          <w:p w:rsidR="00551625" w:rsidRPr="00495D9B" w:rsidRDefault="00551625" w:rsidP="00551625">
            <w:pPr>
              <w:spacing w:after="0" w:line="360" w:lineRule="auto"/>
              <w:ind w:firstLine="709"/>
              <w:jc w:val="center"/>
              <w:rPr>
                <w:bCs/>
                <w:iCs/>
                <w:sz w:val="20"/>
                <w:szCs w:val="20"/>
                <w:lang w:val="en-US"/>
              </w:rPr>
            </w:pP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22DB5" w:rsidP="00551625">
            <w:pPr>
              <w:spacing w:after="0" w:line="360" w:lineRule="auto"/>
              <w:jc w:val="center"/>
              <w:rPr>
                <w:b/>
                <w:bCs/>
                <w:iCs/>
                <w:sz w:val="20"/>
                <w:szCs w:val="20"/>
                <w:lang w:val="en-US"/>
              </w:rPr>
            </w:pPr>
            <w:r w:rsidRPr="00495D9B">
              <w:rPr>
                <w:b/>
                <w:bCs/>
                <w:iCs/>
                <w:sz w:val="20"/>
                <w:szCs w:val="20"/>
                <w:lang w:val="en-US"/>
              </w:rPr>
              <w:t>Without CHM disorders</w:t>
            </w:r>
            <w:r w:rsidR="00551625" w:rsidRPr="00495D9B">
              <w:rPr>
                <w:b/>
                <w:bCs/>
                <w:iCs/>
                <w:sz w:val="20"/>
                <w:szCs w:val="20"/>
                <w:lang w:val="en-US"/>
              </w:rPr>
              <w:t xml:space="preserve"> (</w:t>
            </w:r>
            <w:r w:rsidR="00D42524" w:rsidRPr="00495D9B">
              <w:rPr>
                <w:b/>
                <w:bCs/>
                <w:iCs/>
                <w:sz w:val="20"/>
                <w:szCs w:val="20"/>
                <w:lang w:val="en-US"/>
              </w:rPr>
              <w:t>n</w:t>
            </w:r>
            <w:r w:rsidR="00551625" w:rsidRPr="00495D9B">
              <w:rPr>
                <w:b/>
                <w:bCs/>
                <w:iCs/>
                <w:sz w:val="20"/>
                <w:szCs w:val="20"/>
                <w:lang w:val="en-US"/>
              </w:rPr>
              <w:t>= 14),</w:t>
            </w:r>
          </w:p>
          <w:p w:rsidR="00551625" w:rsidRPr="00495D9B" w:rsidRDefault="00D22DB5" w:rsidP="00D22DB5">
            <w:pPr>
              <w:spacing w:after="0" w:line="360" w:lineRule="auto"/>
              <w:jc w:val="center"/>
              <w:rPr>
                <w:b/>
                <w:bCs/>
                <w:iCs/>
                <w:sz w:val="20"/>
                <w:szCs w:val="20"/>
                <w:lang w:val="en-US"/>
              </w:rPr>
            </w:pPr>
            <w:r w:rsidRPr="00495D9B">
              <w:rPr>
                <w:b/>
                <w:bCs/>
                <w:iCs/>
                <w:sz w:val="20"/>
                <w:szCs w:val="20"/>
                <w:lang w:val="en-US"/>
              </w:rPr>
              <w:t xml:space="preserve">With CHM disorders </w:t>
            </w:r>
            <w:r w:rsidR="00551625" w:rsidRPr="00495D9B">
              <w:rPr>
                <w:b/>
                <w:bCs/>
                <w:iCs/>
                <w:sz w:val="20"/>
                <w:szCs w:val="20"/>
                <w:lang w:val="en-US"/>
              </w:rPr>
              <w:t>(</w:t>
            </w:r>
            <w:r w:rsidR="00D42524" w:rsidRPr="00495D9B">
              <w:rPr>
                <w:b/>
                <w:bCs/>
                <w:iCs/>
                <w:sz w:val="20"/>
                <w:szCs w:val="20"/>
                <w:lang w:val="en-US"/>
              </w:rPr>
              <w:t>n=</w:t>
            </w:r>
            <w:r w:rsidR="00551625" w:rsidRPr="00495D9B">
              <w:rPr>
                <w:b/>
                <w:bCs/>
                <w:iCs/>
                <w:sz w:val="20"/>
                <w:szCs w:val="20"/>
                <w:lang w:val="en-US"/>
              </w:rPr>
              <w:t>5)</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22DB5" w:rsidP="00551625">
            <w:pPr>
              <w:spacing w:after="0" w:line="360" w:lineRule="auto"/>
              <w:jc w:val="center"/>
              <w:rPr>
                <w:b/>
                <w:bCs/>
                <w:iCs/>
                <w:sz w:val="20"/>
                <w:szCs w:val="20"/>
                <w:lang w:val="en-US"/>
              </w:rPr>
            </w:pPr>
            <w:r w:rsidRPr="00495D9B">
              <w:rPr>
                <w:b/>
                <w:bCs/>
                <w:iCs/>
                <w:sz w:val="20"/>
                <w:szCs w:val="20"/>
                <w:lang w:val="en-US"/>
              </w:rPr>
              <w:t xml:space="preserve">Without CHM disorders </w:t>
            </w:r>
            <w:r w:rsidR="00551625" w:rsidRPr="00495D9B">
              <w:rPr>
                <w:b/>
                <w:bCs/>
                <w:iCs/>
                <w:sz w:val="20"/>
                <w:szCs w:val="20"/>
                <w:lang w:val="en-US"/>
              </w:rPr>
              <w:t>(</w:t>
            </w:r>
            <w:r w:rsidR="00D42524" w:rsidRPr="00495D9B">
              <w:rPr>
                <w:b/>
                <w:bCs/>
                <w:iCs/>
                <w:sz w:val="20"/>
                <w:szCs w:val="20"/>
                <w:lang w:val="en-US"/>
              </w:rPr>
              <w:t>n</w:t>
            </w:r>
            <w:r w:rsidR="00551625" w:rsidRPr="00495D9B">
              <w:rPr>
                <w:b/>
                <w:bCs/>
                <w:iCs/>
                <w:sz w:val="20"/>
                <w:szCs w:val="20"/>
                <w:lang w:val="en-US"/>
              </w:rPr>
              <w:t>= 16),</w:t>
            </w:r>
          </w:p>
          <w:p w:rsidR="00551625" w:rsidRPr="00495D9B" w:rsidRDefault="00D22DB5" w:rsidP="00D42524">
            <w:pPr>
              <w:spacing w:after="0" w:line="360" w:lineRule="auto"/>
              <w:jc w:val="center"/>
              <w:rPr>
                <w:b/>
                <w:bCs/>
                <w:iCs/>
                <w:sz w:val="20"/>
                <w:szCs w:val="20"/>
                <w:lang w:val="en-US"/>
              </w:rPr>
            </w:pPr>
            <w:r w:rsidRPr="00495D9B">
              <w:rPr>
                <w:b/>
                <w:bCs/>
                <w:iCs/>
                <w:sz w:val="20"/>
                <w:szCs w:val="20"/>
                <w:lang w:val="en-US"/>
              </w:rPr>
              <w:t xml:space="preserve">With CHM disorders </w:t>
            </w:r>
            <w:r w:rsidR="00551625" w:rsidRPr="00495D9B">
              <w:rPr>
                <w:b/>
                <w:bCs/>
                <w:iCs/>
                <w:sz w:val="20"/>
                <w:szCs w:val="20"/>
                <w:lang w:val="en-US"/>
              </w:rPr>
              <w:t>(</w:t>
            </w:r>
            <w:r w:rsidR="00D42524" w:rsidRPr="00495D9B">
              <w:rPr>
                <w:b/>
                <w:bCs/>
                <w:iCs/>
                <w:sz w:val="20"/>
                <w:szCs w:val="20"/>
                <w:lang w:val="en-US"/>
              </w:rPr>
              <w:t>n=</w:t>
            </w:r>
            <w:r w:rsidR="00551625" w:rsidRPr="00495D9B">
              <w:rPr>
                <w:b/>
                <w:bCs/>
                <w:iCs/>
                <w:sz w:val="20"/>
                <w:szCs w:val="20"/>
                <w:lang w:val="en-US"/>
              </w:rPr>
              <w:t>10)</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22DB5" w:rsidP="00551625">
            <w:pPr>
              <w:spacing w:after="0" w:line="360" w:lineRule="auto"/>
              <w:jc w:val="center"/>
              <w:rPr>
                <w:b/>
                <w:bCs/>
                <w:iCs/>
                <w:sz w:val="20"/>
                <w:szCs w:val="20"/>
                <w:lang w:val="en-US"/>
              </w:rPr>
            </w:pPr>
            <w:r w:rsidRPr="00495D9B">
              <w:rPr>
                <w:b/>
                <w:bCs/>
                <w:iCs/>
                <w:sz w:val="20"/>
                <w:szCs w:val="20"/>
                <w:lang w:val="en-US"/>
              </w:rPr>
              <w:t xml:space="preserve">Without CHM disorders </w:t>
            </w:r>
            <w:r w:rsidR="00551625" w:rsidRPr="00495D9B">
              <w:rPr>
                <w:b/>
                <w:bCs/>
                <w:iCs/>
                <w:sz w:val="20"/>
                <w:szCs w:val="20"/>
                <w:lang w:val="en-US"/>
              </w:rPr>
              <w:t>(</w:t>
            </w:r>
            <w:r w:rsidR="00D42524" w:rsidRPr="00495D9B">
              <w:rPr>
                <w:b/>
                <w:bCs/>
                <w:iCs/>
                <w:sz w:val="20"/>
                <w:szCs w:val="20"/>
                <w:lang w:val="en-US"/>
              </w:rPr>
              <w:t>n=</w:t>
            </w:r>
            <w:r w:rsidR="00551625" w:rsidRPr="00495D9B">
              <w:rPr>
                <w:b/>
                <w:bCs/>
                <w:iCs/>
                <w:sz w:val="20"/>
                <w:szCs w:val="20"/>
                <w:lang w:val="en-US"/>
              </w:rPr>
              <w:t>7),</w:t>
            </w:r>
          </w:p>
          <w:p w:rsidR="00551625" w:rsidRPr="00495D9B" w:rsidRDefault="00D22DB5" w:rsidP="00D42524">
            <w:pPr>
              <w:spacing w:after="0" w:line="360" w:lineRule="auto"/>
              <w:jc w:val="center"/>
              <w:rPr>
                <w:b/>
                <w:bCs/>
                <w:iCs/>
                <w:sz w:val="20"/>
                <w:szCs w:val="20"/>
                <w:lang w:val="en-US"/>
              </w:rPr>
            </w:pPr>
            <w:r w:rsidRPr="00495D9B">
              <w:rPr>
                <w:b/>
                <w:bCs/>
                <w:iCs/>
                <w:sz w:val="20"/>
                <w:szCs w:val="20"/>
                <w:lang w:val="en-US"/>
              </w:rPr>
              <w:t xml:space="preserve">With CHM disorders </w:t>
            </w:r>
            <w:r w:rsidR="00551625" w:rsidRPr="00495D9B">
              <w:rPr>
                <w:b/>
                <w:bCs/>
                <w:iCs/>
                <w:sz w:val="20"/>
                <w:szCs w:val="20"/>
                <w:lang w:val="en-US"/>
              </w:rPr>
              <w:t>(</w:t>
            </w:r>
            <w:r w:rsidR="00D42524" w:rsidRPr="00495D9B">
              <w:rPr>
                <w:b/>
                <w:bCs/>
                <w:iCs/>
                <w:sz w:val="20"/>
                <w:szCs w:val="20"/>
                <w:lang w:val="en-US"/>
              </w:rPr>
              <w:t>n=</w:t>
            </w:r>
            <w:r w:rsidR="00551625" w:rsidRPr="00495D9B">
              <w:rPr>
                <w:b/>
                <w:bCs/>
                <w:iCs/>
                <w:sz w:val="20"/>
                <w:szCs w:val="20"/>
                <w:lang w:val="en-US"/>
              </w:rPr>
              <w:t>7)</w:t>
            </w:r>
          </w:p>
        </w:tc>
      </w:tr>
      <w:tr w:rsidR="00551625" w:rsidRPr="00495D9B" w:rsidTr="00551625">
        <w:trPr>
          <w:trHeight w:val="302"/>
        </w:trPr>
        <w:tc>
          <w:tcPr>
            <w:tcW w:w="3394" w:type="dxa"/>
            <w:vMerge w:val="restart"/>
            <w:tcBorders>
              <w:top w:val="single" w:sz="4" w:space="0" w:color="auto"/>
              <w:left w:val="single" w:sz="4" w:space="0" w:color="auto"/>
              <w:bottom w:val="nil"/>
              <w:right w:val="single" w:sz="4" w:space="0" w:color="auto"/>
            </w:tcBorders>
            <w:shd w:val="clear" w:color="auto" w:fill="FFFFFF"/>
            <w:vAlign w:val="center"/>
          </w:tcPr>
          <w:p w:rsidR="00551625" w:rsidRPr="00495D9B" w:rsidRDefault="00D22DB5" w:rsidP="00551625">
            <w:pPr>
              <w:spacing w:after="0" w:line="360" w:lineRule="auto"/>
              <w:jc w:val="center"/>
              <w:rPr>
                <w:bCs/>
                <w:iCs/>
                <w:sz w:val="20"/>
                <w:szCs w:val="20"/>
                <w:lang w:val="en-US"/>
              </w:rPr>
            </w:pPr>
            <w:proofErr w:type="spellStart"/>
            <w:r w:rsidRPr="00495D9B">
              <w:rPr>
                <w:sz w:val="20"/>
                <w:szCs w:val="20"/>
                <w:lang w:val="en-US"/>
              </w:rPr>
              <w:t>Glycemia</w:t>
            </w:r>
            <w:proofErr w:type="spellEnd"/>
            <w:r w:rsidRPr="00495D9B">
              <w:rPr>
                <w:sz w:val="20"/>
                <w:szCs w:val="20"/>
                <w:lang w:val="en-US"/>
              </w:rPr>
              <w:t xml:space="preserve"> fasting, </w:t>
            </w:r>
            <w:proofErr w:type="spellStart"/>
            <w:r w:rsidRPr="00495D9B">
              <w:rPr>
                <w:sz w:val="20"/>
                <w:szCs w:val="20"/>
                <w:lang w:val="en-US"/>
              </w:rPr>
              <w:t>mmol</w:t>
            </w:r>
            <w:proofErr w:type="spellEnd"/>
            <w:r w:rsidRPr="00495D9B">
              <w:rPr>
                <w:sz w:val="20"/>
                <w:szCs w:val="20"/>
                <w:lang w:val="en-US"/>
              </w:rPr>
              <w:t>/l</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57777" w:rsidP="00551625">
            <w:pPr>
              <w:spacing w:after="0" w:line="360" w:lineRule="auto"/>
              <w:jc w:val="center"/>
              <w:rPr>
                <w:bCs/>
                <w:iCs/>
                <w:sz w:val="20"/>
                <w:szCs w:val="20"/>
                <w:lang w:val="en-US"/>
              </w:rPr>
            </w:pPr>
            <w:r w:rsidRPr="00495D9B">
              <w:rPr>
                <w:bCs/>
                <w:iCs/>
                <w:sz w:val="20"/>
                <w:szCs w:val="20"/>
                <w:lang w:val="en-US"/>
              </w:rPr>
              <w:t xml:space="preserve">Without CHM </w:t>
            </w:r>
            <w:r w:rsidRPr="00495D9B">
              <w:rPr>
                <w:bCs/>
                <w:iCs/>
                <w:sz w:val="20"/>
                <w:szCs w:val="20"/>
                <w:lang w:val="en-US"/>
              </w:rPr>
              <w:lastRenderedPageBreak/>
              <w:t>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551625" w:rsidP="00551625">
            <w:pPr>
              <w:spacing w:after="0" w:line="360" w:lineRule="auto"/>
              <w:jc w:val="center"/>
              <w:rPr>
                <w:bCs/>
                <w:iCs/>
                <w:sz w:val="20"/>
                <w:szCs w:val="20"/>
                <w:lang w:val="en-US"/>
              </w:rPr>
            </w:pPr>
            <w:r w:rsidRPr="00495D9B">
              <w:rPr>
                <w:bCs/>
                <w:iCs/>
                <w:sz w:val="20"/>
                <w:szCs w:val="20"/>
                <w:lang w:val="en-US"/>
              </w:rPr>
              <w:lastRenderedPageBreak/>
              <w:t>4,87</w:t>
            </w:r>
            <w:r w:rsidR="00D42524" w:rsidRPr="00495D9B">
              <w:rPr>
                <w:bCs/>
                <w:iCs/>
                <w:sz w:val="20"/>
                <w:szCs w:val="20"/>
                <w:lang w:val="en-US"/>
              </w:rPr>
              <w:t>±</w:t>
            </w:r>
            <w:r w:rsidRPr="00495D9B">
              <w:rPr>
                <w:bCs/>
                <w:iCs/>
                <w:sz w:val="20"/>
                <w:szCs w:val="20"/>
                <w:lang w:val="en-US"/>
              </w:rPr>
              <w:t>0,12</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551625" w:rsidP="00551625">
            <w:pPr>
              <w:spacing w:after="0" w:line="360" w:lineRule="auto"/>
              <w:jc w:val="center"/>
              <w:rPr>
                <w:bCs/>
                <w:iCs/>
                <w:sz w:val="20"/>
                <w:szCs w:val="20"/>
                <w:lang w:val="en-US"/>
              </w:rPr>
            </w:pPr>
            <w:r w:rsidRPr="00495D9B">
              <w:rPr>
                <w:bCs/>
                <w:iCs/>
                <w:sz w:val="20"/>
                <w:szCs w:val="20"/>
                <w:lang w:val="en-US"/>
              </w:rPr>
              <w:t>4,71</w:t>
            </w:r>
            <w:r w:rsidR="00D42524" w:rsidRPr="00495D9B">
              <w:rPr>
                <w:bCs/>
                <w:iCs/>
                <w:sz w:val="20"/>
                <w:szCs w:val="20"/>
                <w:lang w:val="en-US"/>
              </w:rPr>
              <w:t>±</w:t>
            </w:r>
            <w:r w:rsidRPr="00495D9B">
              <w:rPr>
                <w:bCs/>
                <w:iCs/>
                <w:sz w:val="20"/>
                <w:szCs w:val="20"/>
                <w:lang w:val="en-US"/>
              </w:rPr>
              <w:t>0,12</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551625" w:rsidP="00551625">
            <w:pPr>
              <w:spacing w:after="0" w:line="360" w:lineRule="auto"/>
              <w:jc w:val="center"/>
              <w:rPr>
                <w:bCs/>
                <w:iCs/>
                <w:sz w:val="20"/>
                <w:szCs w:val="20"/>
                <w:lang w:val="en-US"/>
              </w:rPr>
            </w:pPr>
            <w:r w:rsidRPr="00495D9B">
              <w:rPr>
                <w:bCs/>
                <w:iCs/>
                <w:sz w:val="20"/>
                <w:szCs w:val="20"/>
                <w:lang w:val="en-US"/>
              </w:rPr>
              <w:t>5,68</w:t>
            </w:r>
            <w:r w:rsidR="00D42524" w:rsidRPr="00495D9B">
              <w:rPr>
                <w:bCs/>
                <w:iCs/>
                <w:sz w:val="20"/>
                <w:szCs w:val="20"/>
                <w:lang w:val="en-US"/>
              </w:rPr>
              <w:t>±</w:t>
            </w:r>
            <w:r w:rsidRPr="00495D9B">
              <w:rPr>
                <w:bCs/>
                <w:iCs/>
                <w:sz w:val="20"/>
                <w:szCs w:val="20"/>
                <w:lang w:val="en-US"/>
              </w:rPr>
              <w:t>0,14</w:t>
            </w:r>
          </w:p>
        </w:tc>
      </w:tr>
      <w:tr w:rsidR="00551625" w:rsidRPr="00495D9B" w:rsidTr="00551625">
        <w:trPr>
          <w:trHeight w:val="298"/>
        </w:trPr>
        <w:tc>
          <w:tcPr>
            <w:tcW w:w="3394" w:type="dxa"/>
            <w:vMerge/>
            <w:tcBorders>
              <w:top w:val="nil"/>
              <w:left w:val="single" w:sz="4" w:space="0" w:color="auto"/>
              <w:bottom w:val="single" w:sz="4" w:space="0" w:color="auto"/>
              <w:right w:val="single" w:sz="4" w:space="0" w:color="auto"/>
            </w:tcBorders>
            <w:shd w:val="clear" w:color="auto" w:fill="FFFFFF"/>
            <w:vAlign w:val="center"/>
          </w:tcPr>
          <w:p w:rsidR="00551625" w:rsidRPr="00495D9B" w:rsidRDefault="00551625" w:rsidP="00551625">
            <w:pPr>
              <w:spacing w:after="0" w:line="360" w:lineRule="auto"/>
              <w:ind w:firstLine="709"/>
              <w:jc w:val="center"/>
              <w:rPr>
                <w:bCs/>
                <w:iCs/>
                <w:sz w:val="20"/>
                <w:szCs w:val="20"/>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D57777" w:rsidP="00551625">
            <w:pPr>
              <w:spacing w:after="0" w:line="360" w:lineRule="auto"/>
              <w:jc w:val="center"/>
              <w:rPr>
                <w:bCs/>
                <w:iCs/>
                <w:sz w:val="20"/>
                <w:szCs w:val="20"/>
                <w:lang w:val="en-US"/>
              </w:rPr>
            </w:pPr>
            <w:r w:rsidRPr="00495D9B">
              <w:rPr>
                <w:bCs/>
                <w:iCs/>
                <w:sz w:val="20"/>
                <w:szCs w:val="20"/>
                <w:lang w:val="en-US"/>
              </w:rPr>
              <w:t>With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551625" w:rsidP="00551625">
            <w:pPr>
              <w:spacing w:after="0" w:line="360" w:lineRule="auto"/>
              <w:jc w:val="center"/>
              <w:rPr>
                <w:bCs/>
                <w:iCs/>
                <w:sz w:val="20"/>
                <w:szCs w:val="20"/>
                <w:lang w:val="en-US"/>
              </w:rPr>
            </w:pPr>
            <w:r w:rsidRPr="00495D9B">
              <w:rPr>
                <w:bCs/>
                <w:iCs/>
                <w:sz w:val="20"/>
                <w:szCs w:val="20"/>
                <w:lang w:val="en-US"/>
              </w:rPr>
              <w:t>5,94</w:t>
            </w:r>
            <w:r w:rsidR="00D42524" w:rsidRPr="00495D9B">
              <w:rPr>
                <w:bCs/>
                <w:iCs/>
                <w:sz w:val="20"/>
                <w:szCs w:val="20"/>
                <w:lang w:val="en-US"/>
              </w:rPr>
              <w:t>±</w:t>
            </w:r>
            <w:r w:rsidRPr="00495D9B">
              <w:rPr>
                <w:bCs/>
                <w:iCs/>
                <w:sz w:val="20"/>
                <w:szCs w:val="20"/>
                <w:lang w:val="en-US"/>
              </w:rPr>
              <w:t>0,09***</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551625" w:rsidP="00551625">
            <w:pPr>
              <w:spacing w:after="0" w:line="360" w:lineRule="auto"/>
              <w:jc w:val="center"/>
              <w:rPr>
                <w:bCs/>
                <w:iCs/>
                <w:sz w:val="20"/>
                <w:szCs w:val="20"/>
                <w:lang w:val="en-US"/>
              </w:rPr>
            </w:pPr>
            <w:r w:rsidRPr="00495D9B">
              <w:rPr>
                <w:bCs/>
                <w:iCs/>
                <w:sz w:val="20"/>
                <w:szCs w:val="20"/>
                <w:lang w:val="en-US"/>
              </w:rPr>
              <w:t>6,28</w:t>
            </w:r>
            <w:r w:rsidR="00D42524" w:rsidRPr="00495D9B">
              <w:rPr>
                <w:bCs/>
                <w:iCs/>
                <w:sz w:val="20"/>
                <w:szCs w:val="20"/>
                <w:lang w:val="en-US"/>
              </w:rPr>
              <w:t>±</w:t>
            </w:r>
            <w:r w:rsidRPr="00495D9B">
              <w:rPr>
                <w:bCs/>
                <w:iCs/>
                <w:sz w:val="20"/>
                <w:szCs w:val="20"/>
                <w:lang w:val="en-US"/>
              </w:rPr>
              <w:t>0,42***</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551625" w:rsidRPr="00495D9B" w:rsidRDefault="00551625" w:rsidP="00551625">
            <w:pPr>
              <w:spacing w:after="0" w:line="360" w:lineRule="auto"/>
              <w:jc w:val="center"/>
              <w:rPr>
                <w:bCs/>
                <w:iCs/>
                <w:sz w:val="20"/>
                <w:szCs w:val="20"/>
                <w:lang w:val="en-US"/>
              </w:rPr>
            </w:pPr>
            <w:r w:rsidRPr="00495D9B">
              <w:rPr>
                <w:bCs/>
                <w:iCs/>
                <w:sz w:val="20"/>
                <w:szCs w:val="20"/>
                <w:lang w:val="en-US"/>
              </w:rPr>
              <w:t>7,06</w:t>
            </w:r>
            <w:r w:rsidR="00D42524" w:rsidRPr="00495D9B">
              <w:rPr>
                <w:bCs/>
                <w:iCs/>
                <w:sz w:val="20"/>
                <w:szCs w:val="20"/>
                <w:lang w:val="en-US"/>
              </w:rPr>
              <w:t>±</w:t>
            </w:r>
            <w:r w:rsidRPr="00495D9B">
              <w:rPr>
                <w:bCs/>
                <w:iCs/>
                <w:sz w:val="20"/>
                <w:szCs w:val="20"/>
                <w:lang w:val="en-US"/>
              </w:rPr>
              <w:t>0,6***</w:t>
            </w:r>
          </w:p>
        </w:tc>
      </w:tr>
      <w:tr w:rsidR="00D57777" w:rsidRPr="00495D9B" w:rsidTr="007E1B4C">
        <w:trPr>
          <w:trHeight w:val="302"/>
        </w:trPr>
        <w:tc>
          <w:tcPr>
            <w:tcW w:w="3394" w:type="dxa"/>
            <w:tcBorders>
              <w:top w:val="single" w:sz="4" w:space="0" w:color="auto"/>
              <w:left w:val="single" w:sz="4" w:space="0" w:color="auto"/>
              <w:bottom w:val="nil"/>
              <w:right w:val="single" w:sz="4" w:space="0" w:color="auto"/>
            </w:tcBorders>
            <w:shd w:val="clear" w:color="auto" w:fill="FFFFFF"/>
          </w:tcPr>
          <w:p w:rsidR="00D57777" w:rsidRPr="00495D9B" w:rsidRDefault="00D57777" w:rsidP="00D76B2D">
            <w:pPr>
              <w:jc w:val="center"/>
              <w:rPr>
                <w:lang w:val="en-US"/>
              </w:rPr>
            </w:pPr>
            <w:proofErr w:type="spellStart"/>
            <w:r w:rsidRPr="00495D9B">
              <w:rPr>
                <w:sz w:val="20"/>
                <w:szCs w:val="20"/>
                <w:lang w:val="en-US"/>
              </w:rPr>
              <w:t>Glycemia</w:t>
            </w:r>
            <w:proofErr w:type="spellEnd"/>
            <w:r w:rsidRPr="00495D9B">
              <w:rPr>
                <w:sz w:val="20"/>
                <w:szCs w:val="20"/>
                <w:lang w:val="en-US"/>
              </w:rPr>
              <w:t xml:space="preserve"> in 2 hours after </w:t>
            </w:r>
            <w:r w:rsidR="00D76B2D" w:rsidRPr="00495D9B">
              <w:rPr>
                <w:sz w:val="20"/>
                <w:szCs w:val="20"/>
                <w:lang w:val="en-US"/>
              </w:rPr>
              <w:t xml:space="preserve">meal or </w:t>
            </w:r>
            <w:r w:rsidRPr="00495D9B">
              <w:rPr>
                <w:sz w:val="20"/>
                <w:szCs w:val="20"/>
                <w:lang w:val="en-US"/>
              </w:rPr>
              <w:t xml:space="preserve">GTT, </w:t>
            </w:r>
            <w:proofErr w:type="spellStart"/>
            <w:r w:rsidRPr="00495D9B">
              <w:rPr>
                <w:sz w:val="20"/>
                <w:szCs w:val="20"/>
                <w:lang w:val="en-US"/>
              </w:rPr>
              <w:t>mmol</w:t>
            </w:r>
            <w:proofErr w:type="spellEnd"/>
            <w:r w:rsidRPr="00495D9B">
              <w:rPr>
                <w:sz w:val="20"/>
                <w:szCs w:val="20"/>
                <w:lang w:val="en-US"/>
              </w:rPr>
              <w:t>/l</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Without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5,16±0,10</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5,25±0,11</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5,36 + 0,10</w:t>
            </w:r>
          </w:p>
        </w:tc>
      </w:tr>
      <w:tr w:rsidR="00D57777" w:rsidRPr="00495D9B" w:rsidTr="007E1B4C">
        <w:trPr>
          <w:trHeight w:val="298"/>
        </w:trPr>
        <w:tc>
          <w:tcPr>
            <w:tcW w:w="3394" w:type="dxa"/>
            <w:tcBorders>
              <w:top w:val="nil"/>
              <w:left w:val="single" w:sz="4" w:space="0" w:color="auto"/>
              <w:bottom w:val="single" w:sz="4" w:space="0" w:color="auto"/>
              <w:right w:val="single" w:sz="4" w:space="0" w:color="auto"/>
            </w:tcBorders>
            <w:shd w:val="clear" w:color="auto" w:fill="FFFFFF"/>
          </w:tcPr>
          <w:p w:rsidR="00D57777" w:rsidRPr="00495D9B" w:rsidRDefault="00D57777" w:rsidP="00310D8F">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7,00±0,73***</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10,20+1,10***</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10,80±1,42***</w:t>
            </w:r>
          </w:p>
        </w:tc>
      </w:tr>
      <w:tr w:rsidR="00D57777" w:rsidRPr="00495D9B" w:rsidTr="00551625">
        <w:trPr>
          <w:trHeight w:val="302"/>
        </w:trPr>
        <w:tc>
          <w:tcPr>
            <w:tcW w:w="3394" w:type="dxa"/>
            <w:vMerge w:val="restart"/>
            <w:tcBorders>
              <w:top w:val="single" w:sz="4" w:space="0" w:color="auto"/>
              <w:left w:val="single" w:sz="4" w:space="0" w:color="auto"/>
              <w:bottom w:val="nil"/>
              <w:right w:val="single" w:sz="4" w:space="0" w:color="auto"/>
            </w:tcBorders>
            <w:shd w:val="clear" w:color="auto" w:fill="FFFFFF"/>
            <w:vAlign w:val="center"/>
          </w:tcPr>
          <w:p w:rsidR="00D57777" w:rsidRPr="00495D9B" w:rsidRDefault="00495D9B" w:rsidP="00551625">
            <w:pPr>
              <w:spacing w:after="0" w:line="360" w:lineRule="auto"/>
              <w:jc w:val="center"/>
              <w:rPr>
                <w:bCs/>
                <w:iCs/>
                <w:sz w:val="20"/>
                <w:szCs w:val="20"/>
                <w:lang w:val="en-US"/>
              </w:rPr>
            </w:pPr>
            <w:r w:rsidRPr="00495D9B">
              <w:rPr>
                <w:bCs/>
                <w:iCs/>
                <w:sz w:val="20"/>
                <w:szCs w:val="20"/>
                <w:lang w:val="en-US"/>
              </w:rPr>
              <w:t>HbAlc</w:t>
            </w:r>
            <w:r w:rsidR="00D57777" w:rsidRPr="00495D9B">
              <w:rPr>
                <w:bCs/>
                <w:iCs/>
                <w:sz w:val="20"/>
                <w:szCs w:val="20"/>
                <w:lang w:val="en-US"/>
              </w:rPr>
              <w:t>, %</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Without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5,34±0,10</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5,62±0,16</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5,94±0,40</w:t>
            </w:r>
          </w:p>
        </w:tc>
      </w:tr>
      <w:tr w:rsidR="00D57777" w:rsidRPr="00495D9B" w:rsidTr="00551625">
        <w:trPr>
          <w:trHeight w:val="298"/>
        </w:trPr>
        <w:tc>
          <w:tcPr>
            <w:tcW w:w="3394" w:type="dxa"/>
            <w:vMerge/>
            <w:tcBorders>
              <w:top w:val="nil"/>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ind w:firstLine="709"/>
              <w:jc w:val="center"/>
              <w:rPr>
                <w:bCs/>
                <w:iCs/>
                <w:sz w:val="20"/>
                <w:szCs w:val="20"/>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5,72±0,12*</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6,47±0,22**</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6,73±0,24*</w:t>
            </w:r>
          </w:p>
        </w:tc>
      </w:tr>
      <w:tr w:rsidR="00D57777" w:rsidRPr="00495D9B" w:rsidTr="00551625">
        <w:trPr>
          <w:trHeight w:val="302"/>
        </w:trPr>
        <w:tc>
          <w:tcPr>
            <w:tcW w:w="3394" w:type="dxa"/>
            <w:vMerge w:val="restart"/>
            <w:tcBorders>
              <w:top w:val="single" w:sz="4" w:space="0" w:color="auto"/>
              <w:left w:val="single" w:sz="4" w:space="0" w:color="auto"/>
              <w:bottom w:val="nil"/>
              <w:right w:val="single" w:sz="4" w:space="0" w:color="auto"/>
            </w:tcBorders>
            <w:shd w:val="clear" w:color="auto" w:fill="FFFFFF"/>
            <w:vAlign w:val="center"/>
          </w:tcPr>
          <w:p w:rsidR="00D57777" w:rsidRPr="00495D9B" w:rsidRDefault="00D76B2D" w:rsidP="00D76B2D">
            <w:pPr>
              <w:spacing w:after="0" w:line="360" w:lineRule="auto"/>
              <w:jc w:val="center"/>
              <w:rPr>
                <w:bCs/>
                <w:iCs/>
                <w:sz w:val="20"/>
                <w:szCs w:val="20"/>
                <w:lang w:val="en-US"/>
              </w:rPr>
            </w:pPr>
            <w:r w:rsidRPr="00495D9B">
              <w:rPr>
                <w:bCs/>
                <w:iCs/>
                <w:sz w:val="20"/>
                <w:szCs w:val="20"/>
                <w:lang w:val="en-US"/>
              </w:rPr>
              <w:t>IRI</w:t>
            </w:r>
            <w:r w:rsidR="00D57777" w:rsidRPr="00495D9B">
              <w:rPr>
                <w:bCs/>
                <w:iCs/>
                <w:sz w:val="20"/>
                <w:szCs w:val="20"/>
                <w:lang w:val="en-US"/>
              </w:rPr>
              <w:t xml:space="preserve">, </w:t>
            </w:r>
            <w:proofErr w:type="spellStart"/>
            <w:r w:rsidRPr="00495D9B">
              <w:rPr>
                <w:bCs/>
                <w:iCs/>
                <w:sz w:val="20"/>
                <w:szCs w:val="20"/>
                <w:lang w:val="en-US"/>
              </w:rPr>
              <w:t>mU</w:t>
            </w:r>
            <w:proofErr w:type="spellEnd"/>
            <w:r w:rsidR="00D57777" w:rsidRPr="00495D9B">
              <w:rPr>
                <w:bCs/>
                <w:iCs/>
                <w:sz w:val="20"/>
                <w:szCs w:val="20"/>
                <w:lang w:val="en-US"/>
              </w:rPr>
              <w:t>/</w:t>
            </w:r>
            <w:r w:rsidRPr="00495D9B">
              <w:rPr>
                <w:bCs/>
                <w:iCs/>
                <w:sz w:val="20"/>
                <w:szCs w:val="20"/>
                <w:lang w:val="en-US"/>
              </w:rPr>
              <w:t>ml</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Without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15,50±1,21</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16,30±1,23</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8,45±1,28</w:t>
            </w:r>
          </w:p>
        </w:tc>
      </w:tr>
      <w:tr w:rsidR="00D57777" w:rsidRPr="00495D9B" w:rsidTr="00551625">
        <w:trPr>
          <w:trHeight w:val="298"/>
        </w:trPr>
        <w:tc>
          <w:tcPr>
            <w:tcW w:w="3394" w:type="dxa"/>
            <w:vMerge/>
            <w:tcBorders>
              <w:top w:val="nil"/>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ind w:firstLine="709"/>
              <w:jc w:val="center"/>
              <w:rPr>
                <w:bCs/>
                <w:iCs/>
                <w:sz w:val="20"/>
                <w:szCs w:val="20"/>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15,60+1,86</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17,50±1,97</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25,00±1,73***</w:t>
            </w:r>
          </w:p>
        </w:tc>
      </w:tr>
      <w:tr w:rsidR="00D57777" w:rsidRPr="00495D9B" w:rsidTr="00551625">
        <w:trPr>
          <w:trHeight w:val="302"/>
        </w:trPr>
        <w:tc>
          <w:tcPr>
            <w:tcW w:w="3394" w:type="dxa"/>
            <w:vMerge w:val="restart"/>
            <w:tcBorders>
              <w:top w:val="single" w:sz="4" w:space="0" w:color="auto"/>
              <w:left w:val="single" w:sz="4" w:space="0" w:color="auto"/>
              <w:bottom w:val="nil"/>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HOMА-IR</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Without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3,39±0,50</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3,46±0,51</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1,72±0,47</w:t>
            </w:r>
          </w:p>
        </w:tc>
      </w:tr>
      <w:tr w:rsidR="00D57777" w:rsidRPr="00495D9B" w:rsidTr="00551625">
        <w:trPr>
          <w:trHeight w:val="298"/>
        </w:trPr>
        <w:tc>
          <w:tcPr>
            <w:tcW w:w="3394" w:type="dxa"/>
            <w:vMerge/>
            <w:tcBorders>
              <w:top w:val="nil"/>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ind w:firstLine="709"/>
              <w:jc w:val="center"/>
              <w:rPr>
                <w:bCs/>
                <w:iCs/>
                <w:sz w:val="20"/>
                <w:szCs w:val="20"/>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4,07±0,71</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4,75±0,64</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7,13±1,65***</w:t>
            </w:r>
          </w:p>
        </w:tc>
      </w:tr>
      <w:tr w:rsidR="00D57777" w:rsidRPr="00495D9B" w:rsidTr="00551625">
        <w:trPr>
          <w:trHeight w:val="302"/>
        </w:trPr>
        <w:tc>
          <w:tcPr>
            <w:tcW w:w="3394" w:type="dxa"/>
            <w:vMerge w:val="restart"/>
            <w:tcBorders>
              <w:top w:val="single" w:sz="4" w:space="0" w:color="auto"/>
              <w:left w:val="single" w:sz="4" w:space="0" w:color="auto"/>
              <w:bottom w:val="nil"/>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HOMA-FВ</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Without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236,4±37,9</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223,2±40,8</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212,2±36,9</w:t>
            </w:r>
          </w:p>
        </w:tc>
      </w:tr>
      <w:tr w:rsidR="00D57777" w:rsidRPr="00495D9B" w:rsidTr="00551625">
        <w:trPr>
          <w:trHeight w:val="350"/>
        </w:trPr>
        <w:tc>
          <w:tcPr>
            <w:tcW w:w="3394" w:type="dxa"/>
            <w:vMerge/>
            <w:tcBorders>
              <w:top w:val="nil"/>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ind w:firstLine="709"/>
              <w:jc w:val="center"/>
              <w:rPr>
                <w:bCs/>
                <w:iCs/>
                <w:sz w:val="20"/>
                <w:szCs w:val="20"/>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76B2D" w:rsidP="00551625">
            <w:pPr>
              <w:spacing w:after="0" w:line="360" w:lineRule="auto"/>
              <w:jc w:val="center"/>
              <w:rPr>
                <w:bCs/>
                <w:iCs/>
                <w:sz w:val="20"/>
                <w:szCs w:val="20"/>
                <w:lang w:val="en-US"/>
              </w:rPr>
            </w:pPr>
            <w:r w:rsidRPr="00495D9B">
              <w:rPr>
                <w:bCs/>
                <w:iCs/>
                <w:sz w:val="20"/>
                <w:szCs w:val="20"/>
                <w:lang w:val="en-US"/>
              </w:rPr>
              <w:t>With CHM disorders</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201,1±31,4</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131,7 + 46,5</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D57777" w:rsidRPr="00495D9B" w:rsidRDefault="00D57777" w:rsidP="00551625">
            <w:pPr>
              <w:spacing w:after="0" w:line="360" w:lineRule="auto"/>
              <w:jc w:val="center"/>
              <w:rPr>
                <w:bCs/>
                <w:iCs/>
                <w:sz w:val="20"/>
                <w:szCs w:val="20"/>
                <w:lang w:val="en-US"/>
              </w:rPr>
            </w:pPr>
            <w:r w:rsidRPr="00495D9B">
              <w:rPr>
                <w:bCs/>
                <w:iCs/>
                <w:sz w:val="20"/>
                <w:szCs w:val="20"/>
                <w:lang w:val="en-US"/>
              </w:rPr>
              <w:t>123,7±30,8</w:t>
            </w:r>
          </w:p>
        </w:tc>
      </w:tr>
    </w:tbl>
    <w:p w:rsidR="00551625" w:rsidRPr="00495D9B" w:rsidRDefault="00D76B2D" w:rsidP="006D6156">
      <w:pPr>
        <w:spacing w:after="0" w:line="360" w:lineRule="auto"/>
        <w:jc w:val="both"/>
        <w:rPr>
          <w:bCs/>
          <w:iCs/>
          <w:sz w:val="20"/>
          <w:szCs w:val="20"/>
          <w:lang w:val="en-US"/>
        </w:rPr>
      </w:pPr>
      <w:r w:rsidRPr="00495D9B">
        <w:rPr>
          <w:bCs/>
          <w:iCs/>
          <w:sz w:val="20"/>
          <w:szCs w:val="20"/>
          <w:lang w:val="en-US"/>
        </w:rPr>
        <w:t>Note</w:t>
      </w:r>
      <w:r w:rsidR="006D6156" w:rsidRPr="00495D9B">
        <w:rPr>
          <w:bCs/>
          <w:iCs/>
          <w:sz w:val="20"/>
          <w:szCs w:val="20"/>
          <w:lang w:val="en-US"/>
        </w:rPr>
        <w:t>: * — р&lt;0</w:t>
      </w:r>
      <w:proofErr w:type="gramStart"/>
      <w:r w:rsidR="006D6156" w:rsidRPr="00495D9B">
        <w:rPr>
          <w:bCs/>
          <w:iCs/>
          <w:sz w:val="20"/>
          <w:szCs w:val="20"/>
          <w:lang w:val="en-US"/>
        </w:rPr>
        <w:t>,05</w:t>
      </w:r>
      <w:proofErr w:type="gramEnd"/>
      <w:r w:rsidR="006D6156" w:rsidRPr="00495D9B">
        <w:rPr>
          <w:bCs/>
          <w:iCs/>
          <w:sz w:val="20"/>
          <w:szCs w:val="20"/>
          <w:lang w:val="en-US"/>
        </w:rPr>
        <w:t>; ** — р&lt;0,01; *** — р</w:t>
      </w:r>
      <w:r w:rsidR="00E8091E" w:rsidRPr="00495D9B">
        <w:rPr>
          <w:bCs/>
          <w:iCs/>
          <w:sz w:val="20"/>
          <w:szCs w:val="20"/>
          <w:lang w:val="en-US"/>
        </w:rPr>
        <w:t>&lt;</w:t>
      </w:r>
      <w:r w:rsidR="00551625" w:rsidRPr="00495D9B">
        <w:rPr>
          <w:bCs/>
          <w:iCs/>
          <w:sz w:val="20"/>
          <w:szCs w:val="20"/>
          <w:lang w:val="en-US"/>
        </w:rPr>
        <w:t xml:space="preserve">0,0001, </w:t>
      </w:r>
      <w:proofErr w:type="spellStart"/>
      <w:r w:rsidR="00551625" w:rsidRPr="00495D9B">
        <w:rPr>
          <w:bCs/>
          <w:iCs/>
          <w:sz w:val="20"/>
          <w:szCs w:val="20"/>
          <w:lang w:val="en-US"/>
        </w:rPr>
        <w:t>достоверность</w:t>
      </w:r>
      <w:proofErr w:type="spellEnd"/>
      <w:r w:rsidR="00551625" w:rsidRPr="00495D9B">
        <w:rPr>
          <w:bCs/>
          <w:iCs/>
          <w:sz w:val="20"/>
          <w:szCs w:val="20"/>
          <w:lang w:val="en-US"/>
        </w:rPr>
        <w:t xml:space="preserve"> </w:t>
      </w:r>
      <w:proofErr w:type="spellStart"/>
      <w:r w:rsidR="00551625" w:rsidRPr="00495D9B">
        <w:rPr>
          <w:bCs/>
          <w:iCs/>
          <w:sz w:val="20"/>
          <w:szCs w:val="20"/>
          <w:lang w:val="en-US"/>
        </w:rPr>
        <w:t>по</w:t>
      </w:r>
      <w:proofErr w:type="spellEnd"/>
      <w:r w:rsidR="00551625" w:rsidRPr="00495D9B">
        <w:rPr>
          <w:bCs/>
          <w:iCs/>
          <w:sz w:val="20"/>
          <w:szCs w:val="20"/>
          <w:lang w:val="en-US"/>
        </w:rPr>
        <w:t xml:space="preserve"> </w:t>
      </w:r>
      <w:proofErr w:type="spellStart"/>
      <w:r w:rsidR="00551625" w:rsidRPr="00495D9B">
        <w:rPr>
          <w:bCs/>
          <w:iCs/>
          <w:sz w:val="20"/>
          <w:szCs w:val="20"/>
          <w:lang w:val="en-US"/>
        </w:rPr>
        <w:t>отношению</w:t>
      </w:r>
      <w:proofErr w:type="spellEnd"/>
      <w:r w:rsidR="00551625" w:rsidRPr="00495D9B">
        <w:rPr>
          <w:bCs/>
          <w:iCs/>
          <w:sz w:val="20"/>
          <w:szCs w:val="20"/>
          <w:lang w:val="en-US"/>
        </w:rPr>
        <w:t xml:space="preserve"> к </w:t>
      </w:r>
      <w:proofErr w:type="spellStart"/>
      <w:r w:rsidR="00551625" w:rsidRPr="00495D9B">
        <w:rPr>
          <w:bCs/>
          <w:iCs/>
          <w:sz w:val="20"/>
          <w:szCs w:val="20"/>
          <w:lang w:val="en-US"/>
        </w:rPr>
        <w:t>группе</w:t>
      </w:r>
      <w:proofErr w:type="spellEnd"/>
      <w:r w:rsidR="00551625" w:rsidRPr="00495D9B">
        <w:rPr>
          <w:bCs/>
          <w:iCs/>
          <w:sz w:val="20"/>
          <w:szCs w:val="20"/>
          <w:lang w:val="en-US"/>
        </w:rPr>
        <w:t xml:space="preserve"> </w:t>
      </w:r>
      <w:proofErr w:type="spellStart"/>
      <w:r w:rsidR="00551625" w:rsidRPr="00495D9B">
        <w:rPr>
          <w:bCs/>
          <w:iCs/>
          <w:sz w:val="20"/>
          <w:szCs w:val="20"/>
          <w:lang w:val="en-US"/>
        </w:rPr>
        <w:t>без</w:t>
      </w:r>
      <w:proofErr w:type="spellEnd"/>
      <w:r w:rsidR="00551625" w:rsidRPr="00495D9B">
        <w:rPr>
          <w:bCs/>
          <w:iCs/>
          <w:sz w:val="20"/>
          <w:szCs w:val="20"/>
          <w:lang w:val="en-US"/>
        </w:rPr>
        <w:t xml:space="preserve"> НУО.</w:t>
      </w:r>
    </w:p>
    <w:p w:rsidR="00551625" w:rsidRPr="00495D9B" w:rsidRDefault="00551625" w:rsidP="000130CE">
      <w:pPr>
        <w:spacing w:after="0" w:line="360" w:lineRule="auto"/>
        <w:ind w:firstLine="709"/>
        <w:jc w:val="both"/>
        <w:rPr>
          <w:bCs/>
          <w:iCs/>
          <w:sz w:val="28"/>
          <w:szCs w:val="28"/>
          <w:lang w:val="en-US"/>
        </w:rPr>
      </w:pPr>
    </w:p>
    <w:p w:rsidR="00D76B2D" w:rsidRPr="00495D9B" w:rsidRDefault="00D76B2D" w:rsidP="000130CE">
      <w:pPr>
        <w:spacing w:after="0" w:line="360" w:lineRule="auto"/>
        <w:ind w:firstLine="709"/>
        <w:jc w:val="both"/>
        <w:rPr>
          <w:bCs/>
          <w:iCs/>
          <w:sz w:val="28"/>
          <w:szCs w:val="28"/>
          <w:lang w:val="en-US"/>
        </w:rPr>
      </w:pPr>
      <w:proofErr w:type="spellStart"/>
      <w:r w:rsidRPr="00495D9B">
        <w:rPr>
          <w:bCs/>
          <w:iCs/>
          <w:sz w:val="28"/>
          <w:szCs w:val="28"/>
          <w:lang w:val="en-US"/>
        </w:rPr>
        <w:t>Malka</w:t>
      </w:r>
      <w:proofErr w:type="spellEnd"/>
      <w:r w:rsidRPr="00495D9B">
        <w:rPr>
          <w:bCs/>
          <w:iCs/>
          <w:sz w:val="28"/>
          <w:szCs w:val="28"/>
          <w:lang w:val="en-US"/>
        </w:rPr>
        <w:t xml:space="preserve"> D. </w:t>
      </w:r>
      <w:proofErr w:type="gramStart"/>
      <w:r w:rsidRPr="00495D9B">
        <w:rPr>
          <w:bCs/>
          <w:iCs/>
          <w:sz w:val="28"/>
          <w:szCs w:val="28"/>
          <w:lang w:val="en-US"/>
        </w:rPr>
        <w:t>et</w:t>
      </w:r>
      <w:proofErr w:type="gramEnd"/>
      <w:r w:rsidRPr="00495D9B">
        <w:rPr>
          <w:bCs/>
          <w:iCs/>
          <w:sz w:val="28"/>
          <w:szCs w:val="28"/>
          <w:lang w:val="en-US"/>
        </w:rPr>
        <w:t xml:space="preserve"> a1. [7] </w:t>
      </w:r>
      <w:proofErr w:type="gramStart"/>
      <w:r w:rsidRPr="00495D9B">
        <w:rPr>
          <w:bCs/>
          <w:iCs/>
          <w:sz w:val="28"/>
          <w:szCs w:val="28"/>
          <w:lang w:val="en-US"/>
        </w:rPr>
        <w:t>found</w:t>
      </w:r>
      <w:proofErr w:type="gramEnd"/>
      <w:r w:rsidRPr="00495D9B">
        <w:rPr>
          <w:bCs/>
          <w:iCs/>
          <w:sz w:val="28"/>
          <w:szCs w:val="28"/>
          <w:lang w:val="en-US"/>
        </w:rPr>
        <w:t xml:space="preserve"> out that in the debut of CP diabetes is diagnosed in 10% of cases, among which 2% are cases of DM type 1. In 10 and 25 years from the start of the main disease diabetes is detected respectively in 50 and 83% of cases, and DM type 1 is detected respectively in 26 and 53% of cases. The authors believe that the likelihood of developing diabetes in CP is </w:t>
      </w:r>
      <w:proofErr w:type="gramStart"/>
      <w:r w:rsidRPr="00495D9B">
        <w:rPr>
          <w:bCs/>
          <w:iCs/>
          <w:sz w:val="28"/>
          <w:szCs w:val="28"/>
          <w:lang w:val="en-US"/>
        </w:rPr>
        <w:t>3.5%, and DM type 1</w:t>
      </w:r>
      <w:r w:rsidR="00240827" w:rsidRPr="00495D9B">
        <w:rPr>
          <w:bCs/>
          <w:iCs/>
          <w:sz w:val="28"/>
          <w:szCs w:val="28"/>
          <w:lang w:val="en-US"/>
        </w:rPr>
        <w:t xml:space="preserve"> —</w:t>
      </w:r>
      <w:proofErr w:type="gramEnd"/>
      <w:r w:rsidR="00240827" w:rsidRPr="00495D9B">
        <w:rPr>
          <w:bCs/>
          <w:iCs/>
          <w:sz w:val="28"/>
          <w:szCs w:val="28"/>
          <w:lang w:val="en-US"/>
        </w:rPr>
        <w:t xml:space="preserve"> </w:t>
      </w:r>
      <w:r w:rsidRPr="00495D9B">
        <w:rPr>
          <w:bCs/>
          <w:iCs/>
          <w:sz w:val="28"/>
          <w:szCs w:val="28"/>
          <w:lang w:val="en-US"/>
        </w:rPr>
        <w:t>2.2% annually. Consequently, almost 80-90% of patients with CP are likely to have diabetes in 25 years from onset of the disease.</w:t>
      </w:r>
    </w:p>
    <w:p w:rsidR="00D76B2D" w:rsidRPr="00495D9B" w:rsidRDefault="00D76B2D" w:rsidP="006D6156">
      <w:pPr>
        <w:spacing w:after="0" w:line="360" w:lineRule="auto"/>
        <w:ind w:firstLine="709"/>
        <w:jc w:val="both"/>
        <w:rPr>
          <w:rFonts w:eastAsiaTheme="minorHAnsi"/>
          <w:bCs/>
          <w:iCs/>
          <w:sz w:val="28"/>
          <w:szCs w:val="28"/>
          <w:lang w:val="en-US"/>
        </w:rPr>
      </w:pPr>
      <w:r w:rsidRPr="00495D9B">
        <w:rPr>
          <w:rFonts w:eastAsiaTheme="minorHAnsi"/>
          <w:bCs/>
          <w:iCs/>
          <w:sz w:val="28"/>
          <w:szCs w:val="28"/>
          <w:lang w:val="en-US"/>
        </w:rPr>
        <w:lastRenderedPageBreak/>
        <w:t>In our study, CHM disorders in patients with CP duration of up to three years are observed in 26.4% of cases, mainly in the form of impaired glucose fasting (15.8%). In the group of patients with CP duration of three to five years, CHM disorders occur in 38.5% of cases and manifest itself mainly as impaired glucose tolerance (19.3%). The proportion of patients with diabetes (21.4%) is higher among patients with CP &gt;5 years than upon the shorter CP duration (Fig. 1).</w:t>
      </w:r>
    </w:p>
    <w:p w:rsidR="006D6156" w:rsidRPr="00495D9B" w:rsidRDefault="006D6156" w:rsidP="00E8091E">
      <w:pPr>
        <w:spacing w:after="0" w:line="360" w:lineRule="auto"/>
        <w:jc w:val="center"/>
        <w:rPr>
          <w:bCs/>
          <w:iCs/>
          <w:sz w:val="28"/>
          <w:szCs w:val="28"/>
          <w:lang w:val="en-US"/>
        </w:rPr>
      </w:pPr>
      <w:r w:rsidRPr="00495D9B">
        <w:rPr>
          <w:noProof/>
          <w:sz w:val="2"/>
          <w:szCs w:val="2"/>
          <w:lang w:val="en-US" w:eastAsia="zh-CN"/>
        </w:rPr>
        <w:drawing>
          <wp:inline distT="0" distB="0" distL="0" distR="0">
            <wp:extent cx="3495675" cy="225983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95675" cy="2259830"/>
                    </a:xfrm>
                    <a:prstGeom prst="rect">
                      <a:avLst/>
                    </a:prstGeom>
                    <a:noFill/>
                    <a:ln w="9525">
                      <a:noFill/>
                      <a:miter lim="800000"/>
                      <a:headEnd/>
                      <a:tailEnd/>
                    </a:ln>
                  </pic:spPr>
                </pic:pic>
              </a:graphicData>
            </a:graphic>
          </wp:inline>
        </w:drawing>
      </w:r>
    </w:p>
    <w:p w:rsidR="006D6156" w:rsidRPr="00495D9B" w:rsidRDefault="006D6156" w:rsidP="00E8091E">
      <w:pPr>
        <w:spacing w:after="0" w:line="360" w:lineRule="auto"/>
        <w:jc w:val="center"/>
        <w:rPr>
          <w:sz w:val="28"/>
          <w:szCs w:val="28"/>
          <w:lang w:val="en-US"/>
        </w:rPr>
      </w:pPr>
      <w:r w:rsidRPr="00495D9B">
        <w:rPr>
          <w:noProof/>
          <w:sz w:val="2"/>
          <w:szCs w:val="2"/>
          <w:lang w:val="en-US" w:eastAsia="zh-CN"/>
        </w:rPr>
        <w:drawing>
          <wp:inline distT="0" distB="0" distL="0" distR="0">
            <wp:extent cx="3599180" cy="247650"/>
            <wp:effectExtent l="19050" t="0" r="127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599180" cy="247650"/>
                    </a:xfrm>
                    <a:prstGeom prst="rect">
                      <a:avLst/>
                    </a:prstGeom>
                    <a:noFill/>
                    <a:ln w="9525">
                      <a:noFill/>
                      <a:miter lim="800000"/>
                      <a:headEnd/>
                      <a:tailEnd/>
                    </a:ln>
                  </pic:spPr>
                </pic:pic>
              </a:graphicData>
            </a:graphic>
          </wp:inline>
        </w:drawing>
      </w:r>
    </w:p>
    <w:p w:rsidR="006D6156" w:rsidRPr="00495D9B" w:rsidRDefault="00D76B2D" w:rsidP="00E8091E">
      <w:pPr>
        <w:spacing w:after="0" w:line="360" w:lineRule="auto"/>
        <w:jc w:val="center"/>
        <w:rPr>
          <w:sz w:val="28"/>
          <w:szCs w:val="28"/>
          <w:lang w:val="en-US"/>
        </w:rPr>
      </w:pPr>
      <w:proofErr w:type="gramStart"/>
      <w:r w:rsidRPr="00495D9B">
        <w:rPr>
          <w:sz w:val="28"/>
          <w:szCs w:val="28"/>
          <w:lang w:val="en-US"/>
        </w:rPr>
        <w:t>Fig. 1</w:t>
      </w:r>
      <w:r w:rsidR="006D6156" w:rsidRPr="00495D9B">
        <w:rPr>
          <w:sz w:val="28"/>
          <w:szCs w:val="28"/>
          <w:lang w:val="en-US"/>
        </w:rPr>
        <w:t>.</w:t>
      </w:r>
      <w:proofErr w:type="gramEnd"/>
      <w:r w:rsidR="006D6156" w:rsidRPr="00495D9B">
        <w:rPr>
          <w:sz w:val="28"/>
          <w:szCs w:val="28"/>
          <w:lang w:val="en-US"/>
        </w:rPr>
        <w:t xml:space="preserve"> </w:t>
      </w:r>
      <w:proofErr w:type="gramStart"/>
      <w:r w:rsidRPr="00495D9B">
        <w:rPr>
          <w:sz w:val="28"/>
          <w:szCs w:val="28"/>
          <w:lang w:val="en-US"/>
        </w:rPr>
        <w:t>Occurrence of CHM metabolism disorders depending on CP duration</w:t>
      </w:r>
      <w:r w:rsidR="006D6156" w:rsidRPr="00495D9B">
        <w:rPr>
          <w:sz w:val="28"/>
          <w:szCs w:val="28"/>
          <w:lang w:val="en-US"/>
        </w:rPr>
        <w:t>.</w:t>
      </w:r>
      <w:proofErr w:type="gramEnd"/>
    </w:p>
    <w:p w:rsidR="00886063" w:rsidRPr="00495D9B" w:rsidRDefault="00886063" w:rsidP="006D6156">
      <w:pPr>
        <w:spacing w:after="0" w:line="360" w:lineRule="auto"/>
        <w:ind w:firstLine="709"/>
        <w:jc w:val="both"/>
        <w:rPr>
          <w:b/>
          <w:sz w:val="28"/>
          <w:szCs w:val="28"/>
          <w:lang w:val="en-US"/>
        </w:rPr>
      </w:pPr>
    </w:p>
    <w:p w:rsidR="006D6156" w:rsidRPr="00495D9B" w:rsidRDefault="00D76B2D" w:rsidP="006D6156">
      <w:pPr>
        <w:spacing w:after="0" w:line="360" w:lineRule="auto"/>
        <w:ind w:firstLine="709"/>
        <w:jc w:val="both"/>
        <w:rPr>
          <w:b/>
          <w:sz w:val="28"/>
          <w:szCs w:val="28"/>
          <w:lang w:val="en-US"/>
        </w:rPr>
      </w:pPr>
      <w:r w:rsidRPr="00495D9B">
        <w:rPr>
          <w:b/>
          <w:sz w:val="28"/>
          <w:szCs w:val="28"/>
          <w:lang w:val="en-US"/>
        </w:rPr>
        <w:t>Conclusions</w:t>
      </w:r>
    </w:p>
    <w:p w:rsidR="006D6156" w:rsidRPr="00495D9B" w:rsidRDefault="00D76B2D" w:rsidP="006D6156">
      <w:pPr>
        <w:pStyle w:val="ae"/>
        <w:numPr>
          <w:ilvl w:val="0"/>
          <w:numId w:val="11"/>
        </w:numPr>
        <w:spacing w:after="0" w:line="360" w:lineRule="auto"/>
        <w:jc w:val="both"/>
        <w:rPr>
          <w:sz w:val="28"/>
          <w:szCs w:val="28"/>
          <w:lang w:val="en-US"/>
        </w:rPr>
      </w:pPr>
      <w:r w:rsidRPr="00495D9B">
        <w:rPr>
          <w:sz w:val="28"/>
          <w:szCs w:val="28"/>
          <w:lang w:val="en-US"/>
        </w:rPr>
        <w:t xml:space="preserve">Pathology of the </w:t>
      </w:r>
      <w:proofErr w:type="spellStart"/>
      <w:r w:rsidRPr="00495D9B">
        <w:rPr>
          <w:sz w:val="28"/>
          <w:szCs w:val="28"/>
          <w:lang w:val="en-US"/>
        </w:rPr>
        <w:t>biliary</w:t>
      </w:r>
      <w:proofErr w:type="spellEnd"/>
      <w:r w:rsidRPr="00495D9B">
        <w:rPr>
          <w:sz w:val="28"/>
          <w:szCs w:val="28"/>
          <w:lang w:val="en-US"/>
        </w:rPr>
        <w:t xml:space="preserve"> system (45.7%) and alcohol abuse (35.6%) are the main risk factors for pancreatitis</w:t>
      </w:r>
      <w:r w:rsidR="006D6156" w:rsidRPr="00495D9B">
        <w:rPr>
          <w:sz w:val="28"/>
          <w:szCs w:val="28"/>
          <w:lang w:val="en-US"/>
        </w:rPr>
        <w:t>.</w:t>
      </w:r>
    </w:p>
    <w:p w:rsidR="00D76B2D" w:rsidRPr="00495D9B" w:rsidRDefault="00D76B2D" w:rsidP="006D6156">
      <w:pPr>
        <w:pStyle w:val="ae"/>
        <w:numPr>
          <w:ilvl w:val="0"/>
          <w:numId w:val="11"/>
        </w:numPr>
        <w:spacing w:after="0" w:line="360" w:lineRule="auto"/>
        <w:jc w:val="both"/>
        <w:rPr>
          <w:sz w:val="28"/>
          <w:szCs w:val="28"/>
          <w:lang w:val="en-US"/>
        </w:rPr>
      </w:pPr>
      <w:r w:rsidRPr="00495D9B">
        <w:rPr>
          <w:sz w:val="28"/>
          <w:szCs w:val="28"/>
          <w:lang w:val="en-US"/>
        </w:rPr>
        <w:t>Persons with the duration of CP</w:t>
      </w:r>
      <w:r w:rsidR="00886063" w:rsidRPr="00495D9B">
        <w:rPr>
          <w:sz w:val="28"/>
          <w:szCs w:val="28"/>
          <w:lang w:val="en-US"/>
        </w:rPr>
        <w:t xml:space="preserve"> &gt;</w:t>
      </w:r>
      <w:r w:rsidRPr="00495D9B">
        <w:rPr>
          <w:sz w:val="28"/>
          <w:szCs w:val="28"/>
          <w:lang w:val="en-US"/>
        </w:rPr>
        <w:t>5 years with impaired CHM have higher IRI level and HOMA-IR index, and lower HOMA-FB index than that of patients without CHM disorders.</w:t>
      </w:r>
    </w:p>
    <w:p w:rsidR="00D76B2D" w:rsidRPr="00495D9B" w:rsidRDefault="00D76B2D" w:rsidP="00E8091E">
      <w:pPr>
        <w:pStyle w:val="ae"/>
        <w:numPr>
          <w:ilvl w:val="0"/>
          <w:numId w:val="11"/>
        </w:numPr>
        <w:spacing w:after="0" w:line="360" w:lineRule="auto"/>
        <w:jc w:val="both"/>
        <w:rPr>
          <w:sz w:val="28"/>
          <w:szCs w:val="28"/>
          <w:lang w:val="en-US"/>
        </w:rPr>
      </w:pPr>
      <w:r w:rsidRPr="00495D9B">
        <w:rPr>
          <w:sz w:val="28"/>
          <w:szCs w:val="28"/>
          <w:lang w:val="en-US"/>
        </w:rPr>
        <w:t>Patients with the disease duration of up to three years predominantly have impaired fasting glucose, with the duration of chronic pancreatitis from three to five years there is an impaired glucose tolerance, while in individuals with a course of disease for more than 5 years diabetes mellitus is more common.</w:t>
      </w:r>
    </w:p>
    <w:p w:rsidR="0098187E" w:rsidRPr="00495D9B" w:rsidRDefault="0098187E">
      <w:pPr>
        <w:rPr>
          <w:b/>
          <w:sz w:val="28"/>
          <w:szCs w:val="28"/>
          <w:lang w:val="en-US"/>
        </w:rPr>
      </w:pPr>
      <w:r w:rsidRPr="00495D9B">
        <w:rPr>
          <w:b/>
          <w:sz w:val="28"/>
          <w:szCs w:val="28"/>
          <w:lang w:val="en-US"/>
        </w:rPr>
        <w:br w:type="page"/>
      </w:r>
    </w:p>
    <w:p w:rsidR="006D6156" w:rsidRPr="00495D9B" w:rsidRDefault="0098187E" w:rsidP="00FF407F">
      <w:pPr>
        <w:spacing w:after="0" w:line="360" w:lineRule="auto"/>
        <w:jc w:val="center"/>
        <w:rPr>
          <w:b/>
          <w:sz w:val="28"/>
          <w:szCs w:val="28"/>
          <w:lang w:val="en-US"/>
        </w:rPr>
      </w:pPr>
      <w:r w:rsidRPr="00495D9B">
        <w:rPr>
          <w:b/>
          <w:sz w:val="28"/>
          <w:szCs w:val="28"/>
          <w:lang w:val="en-US"/>
        </w:rPr>
        <w:lastRenderedPageBreak/>
        <w:t>References</w:t>
      </w:r>
    </w:p>
    <w:p w:rsidR="006D6156" w:rsidRPr="00495D9B" w:rsidRDefault="006D6156" w:rsidP="006D6156">
      <w:pPr>
        <w:pStyle w:val="ae"/>
        <w:numPr>
          <w:ilvl w:val="0"/>
          <w:numId w:val="12"/>
        </w:numPr>
        <w:spacing w:after="0" w:line="360" w:lineRule="auto"/>
        <w:jc w:val="both"/>
        <w:rPr>
          <w:sz w:val="28"/>
          <w:szCs w:val="28"/>
          <w:lang w:val="en-US"/>
        </w:rPr>
      </w:pPr>
      <w:r w:rsidRPr="00495D9B">
        <w:rPr>
          <w:sz w:val="28"/>
          <w:szCs w:val="28"/>
          <w:lang w:val="en-US"/>
        </w:rPr>
        <w:t>Губергриц Н.</w:t>
      </w:r>
      <w:r w:rsidR="00FF407F" w:rsidRPr="00495D9B">
        <w:rPr>
          <w:sz w:val="28"/>
          <w:szCs w:val="28"/>
          <w:lang w:val="en-US"/>
        </w:rPr>
        <w:t xml:space="preserve"> Б. </w:t>
      </w:r>
      <w:proofErr w:type="spellStart"/>
      <w:r w:rsidRPr="00495D9B">
        <w:rPr>
          <w:sz w:val="28"/>
          <w:szCs w:val="28"/>
          <w:lang w:val="en-US"/>
        </w:rPr>
        <w:t>Экзо</w:t>
      </w:r>
      <w:proofErr w:type="spellEnd"/>
      <w:r w:rsidRPr="00495D9B">
        <w:rPr>
          <w:sz w:val="28"/>
          <w:szCs w:val="28"/>
          <w:lang w:val="en-US"/>
        </w:rPr>
        <w:t xml:space="preserve">- и </w:t>
      </w:r>
      <w:proofErr w:type="spellStart"/>
      <w:r w:rsidRPr="00495D9B">
        <w:rPr>
          <w:sz w:val="28"/>
          <w:szCs w:val="28"/>
          <w:lang w:val="en-US"/>
        </w:rPr>
        <w:t>эндокринная</w:t>
      </w:r>
      <w:proofErr w:type="spellEnd"/>
      <w:r w:rsidRPr="00495D9B">
        <w:rPr>
          <w:sz w:val="28"/>
          <w:szCs w:val="28"/>
          <w:lang w:val="en-US"/>
        </w:rPr>
        <w:t xml:space="preserve"> </w:t>
      </w:r>
      <w:proofErr w:type="spellStart"/>
      <w:r w:rsidRPr="00495D9B">
        <w:rPr>
          <w:sz w:val="28"/>
          <w:szCs w:val="28"/>
          <w:lang w:val="en-US"/>
        </w:rPr>
        <w:t>функции</w:t>
      </w:r>
      <w:proofErr w:type="spellEnd"/>
      <w:r w:rsidRPr="00495D9B">
        <w:rPr>
          <w:sz w:val="28"/>
          <w:szCs w:val="28"/>
          <w:lang w:val="en-US"/>
        </w:rPr>
        <w:t xml:space="preserve"> </w:t>
      </w:r>
      <w:proofErr w:type="spellStart"/>
      <w:r w:rsidRPr="00495D9B">
        <w:rPr>
          <w:sz w:val="28"/>
          <w:szCs w:val="28"/>
          <w:lang w:val="en-US"/>
        </w:rPr>
        <w:t>поджелудочной</w:t>
      </w:r>
      <w:proofErr w:type="spellEnd"/>
      <w:r w:rsidRPr="00495D9B">
        <w:rPr>
          <w:sz w:val="28"/>
          <w:szCs w:val="28"/>
          <w:lang w:val="en-US"/>
        </w:rPr>
        <w:t xml:space="preserve"> </w:t>
      </w:r>
      <w:proofErr w:type="spellStart"/>
      <w:r w:rsidRPr="00495D9B">
        <w:rPr>
          <w:sz w:val="28"/>
          <w:szCs w:val="28"/>
          <w:lang w:val="en-US"/>
        </w:rPr>
        <w:t>железы</w:t>
      </w:r>
      <w:proofErr w:type="spellEnd"/>
      <w:r w:rsidRPr="00495D9B">
        <w:rPr>
          <w:sz w:val="28"/>
          <w:szCs w:val="28"/>
          <w:lang w:val="en-US"/>
        </w:rPr>
        <w:t xml:space="preserve">: </w:t>
      </w:r>
      <w:proofErr w:type="spellStart"/>
      <w:r w:rsidRPr="00495D9B">
        <w:rPr>
          <w:sz w:val="28"/>
          <w:szCs w:val="28"/>
          <w:lang w:val="en-US"/>
        </w:rPr>
        <w:t>один</w:t>
      </w:r>
      <w:proofErr w:type="spellEnd"/>
      <w:r w:rsidRPr="00495D9B">
        <w:rPr>
          <w:sz w:val="28"/>
          <w:szCs w:val="28"/>
          <w:lang w:val="en-US"/>
        </w:rPr>
        <w:t xml:space="preserve"> </w:t>
      </w:r>
      <w:proofErr w:type="spellStart"/>
      <w:r w:rsidRPr="00495D9B">
        <w:rPr>
          <w:sz w:val="28"/>
          <w:szCs w:val="28"/>
          <w:lang w:val="en-US"/>
        </w:rPr>
        <w:t>шаг</w:t>
      </w:r>
      <w:proofErr w:type="spellEnd"/>
      <w:r w:rsidRPr="00495D9B">
        <w:rPr>
          <w:sz w:val="28"/>
          <w:szCs w:val="28"/>
          <w:lang w:val="en-US"/>
        </w:rPr>
        <w:t xml:space="preserve"> </w:t>
      </w:r>
      <w:proofErr w:type="spellStart"/>
      <w:r w:rsidRPr="00495D9B">
        <w:rPr>
          <w:sz w:val="28"/>
          <w:szCs w:val="28"/>
          <w:lang w:val="en-US"/>
        </w:rPr>
        <w:t>от</w:t>
      </w:r>
      <w:proofErr w:type="spellEnd"/>
      <w:r w:rsidRPr="00495D9B">
        <w:rPr>
          <w:sz w:val="28"/>
          <w:szCs w:val="28"/>
          <w:lang w:val="en-US"/>
        </w:rPr>
        <w:t xml:space="preserve"> </w:t>
      </w:r>
      <w:proofErr w:type="spellStart"/>
      <w:r w:rsidRPr="00495D9B">
        <w:rPr>
          <w:sz w:val="28"/>
          <w:szCs w:val="28"/>
          <w:lang w:val="en-US"/>
        </w:rPr>
        <w:t>дуэта</w:t>
      </w:r>
      <w:proofErr w:type="spellEnd"/>
      <w:r w:rsidRPr="00495D9B">
        <w:rPr>
          <w:sz w:val="28"/>
          <w:szCs w:val="28"/>
          <w:lang w:val="en-US"/>
        </w:rPr>
        <w:t xml:space="preserve"> </w:t>
      </w:r>
      <w:proofErr w:type="spellStart"/>
      <w:r w:rsidRPr="00495D9B">
        <w:rPr>
          <w:sz w:val="28"/>
          <w:szCs w:val="28"/>
          <w:lang w:val="en-US"/>
        </w:rPr>
        <w:t>до</w:t>
      </w:r>
      <w:proofErr w:type="spellEnd"/>
      <w:r w:rsidRPr="00495D9B">
        <w:rPr>
          <w:sz w:val="28"/>
          <w:szCs w:val="28"/>
          <w:lang w:val="en-US"/>
        </w:rPr>
        <w:t xml:space="preserve"> </w:t>
      </w:r>
      <w:proofErr w:type="spellStart"/>
      <w:r w:rsidRPr="00495D9B">
        <w:rPr>
          <w:sz w:val="28"/>
          <w:szCs w:val="28"/>
          <w:lang w:val="en-US"/>
        </w:rPr>
        <w:t>дуэли</w:t>
      </w:r>
      <w:proofErr w:type="spellEnd"/>
      <w:r w:rsidRPr="00495D9B">
        <w:rPr>
          <w:sz w:val="28"/>
          <w:szCs w:val="28"/>
          <w:lang w:val="en-US"/>
        </w:rPr>
        <w:t xml:space="preserve"> </w:t>
      </w:r>
      <w:r w:rsidR="00FF407F" w:rsidRPr="00495D9B">
        <w:rPr>
          <w:sz w:val="28"/>
          <w:szCs w:val="28"/>
          <w:lang w:val="en-US" w:eastAsia="zh-CN"/>
        </w:rPr>
        <w:t xml:space="preserve">/ </w:t>
      </w:r>
      <w:r w:rsidR="00FF407F" w:rsidRPr="00495D9B">
        <w:rPr>
          <w:sz w:val="28"/>
          <w:szCs w:val="28"/>
          <w:lang w:val="en-US"/>
        </w:rPr>
        <w:t xml:space="preserve">Н. Б. Губергриц, Н. В. </w:t>
      </w:r>
      <w:proofErr w:type="spellStart"/>
      <w:r w:rsidR="00FF407F" w:rsidRPr="00495D9B">
        <w:rPr>
          <w:sz w:val="28"/>
          <w:szCs w:val="28"/>
          <w:lang w:val="en-US"/>
        </w:rPr>
        <w:t>Беляева</w:t>
      </w:r>
      <w:proofErr w:type="spellEnd"/>
      <w:r w:rsidR="00FF407F" w:rsidRPr="00495D9B">
        <w:rPr>
          <w:sz w:val="28"/>
          <w:szCs w:val="28"/>
          <w:lang w:val="en-US"/>
        </w:rPr>
        <w:t xml:space="preserve"> </w:t>
      </w:r>
      <w:r w:rsidRPr="00495D9B">
        <w:rPr>
          <w:sz w:val="28"/>
          <w:szCs w:val="28"/>
          <w:lang w:val="en-US"/>
        </w:rPr>
        <w:t xml:space="preserve">// </w:t>
      </w:r>
      <w:proofErr w:type="spellStart"/>
      <w:r w:rsidRPr="00495D9B">
        <w:rPr>
          <w:sz w:val="28"/>
          <w:szCs w:val="28"/>
          <w:lang w:val="en-US"/>
        </w:rPr>
        <w:t>Сучасна</w:t>
      </w:r>
      <w:proofErr w:type="spellEnd"/>
      <w:r w:rsidRPr="00495D9B">
        <w:rPr>
          <w:sz w:val="28"/>
          <w:szCs w:val="28"/>
          <w:lang w:val="en-US"/>
        </w:rPr>
        <w:t xml:space="preserve"> </w:t>
      </w:r>
      <w:proofErr w:type="spellStart"/>
      <w:r w:rsidRPr="00495D9B">
        <w:rPr>
          <w:sz w:val="28"/>
          <w:szCs w:val="28"/>
          <w:lang w:val="en-US"/>
        </w:rPr>
        <w:t>гастроентерологія</w:t>
      </w:r>
      <w:proofErr w:type="spellEnd"/>
      <w:r w:rsidRPr="00495D9B">
        <w:rPr>
          <w:sz w:val="28"/>
          <w:szCs w:val="28"/>
          <w:lang w:val="en-US"/>
        </w:rPr>
        <w:t xml:space="preserve">. — 2006. — № 4(30). — </w:t>
      </w:r>
      <w:proofErr w:type="gramStart"/>
      <w:r w:rsidRPr="00495D9B">
        <w:rPr>
          <w:sz w:val="28"/>
          <w:szCs w:val="28"/>
          <w:lang w:val="en-US"/>
        </w:rPr>
        <w:t>С. 18</w:t>
      </w:r>
      <w:proofErr w:type="gramEnd"/>
      <w:r w:rsidR="00FF407F" w:rsidRPr="00495D9B">
        <w:rPr>
          <w:sz w:val="28"/>
          <w:szCs w:val="28"/>
          <w:lang w:val="en-US"/>
        </w:rPr>
        <w:t>–</w:t>
      </w:r>
      <w:r w:rsidRPr="00495D9B">
        <w:rPr>
          <w:sz w:val="28"/>
          <w:szCs w:val="28"/>
          <w:lang w:val="en-US"/>
        </w:rPr>
        <w:t>30.</w:t>
      </w:r>
    </w:p>
    <w:p w:rsidR="006D6156" w:rsidRPr="00495D9B" w:rsidRDefault="006D6156" w:rsidP="006D6156">
      <w:pPr>
        <w:pStyle w:val="ae"/>
        <w:numPr>
          <w:ilvl w:val="0"/>
          <w:numId w:val="12"/>
        </w:numPr>
        <w:spacing w:after="0" w:line="360" w:lineRule="auto"/>
        <w:jc w:val="both"/>
        <w:rPr>
          <w:sz w:val="28"/>
          <w:szCs w:val="28"/>
          <w:lang w:val="en-US"/>
        </w:rPr>
      </w:pPr>
      <w:r w:rsidRPr="00495D9B">
        <w:rPr>
          <w:sz w:val="28"/>
          <w:szCs w:val="28"/>
          <w:lang w:val="en-US"/>
        </w:rPr>
        <w:t>Губергриц Н.</w:t>
      </w:r>
      <w:r w:rsidR="00FF407F" w:rsidRPr="00495D9B">
        <w:rPr>
          <w:sz w:val="28"/>
          <w:szCs w:val="28"/>
          <w:lang w:val="en-US"/>
        </w:rPr>
        <w:t xml:space="preserve"> Б. </w:t>
      </w:r>
      <w:proofErr w:type="spellStart"/>
      <w:r w:rsidRPr="00495D9B">
        <w:rPr>
          <w:sz w:val="28"/>
          <w:szCs w:val="28"/>
          <w:lang w:val="en-US"/>
        </w:rPr>
        <w:t>Панкреатогенный</w:t>
      </w:r>
      <w:proofErr w:type="spellEnd"/>
      <w:r w:rsidRPr="00495D9B">
        <w:rPr>
          <w:sz w:val="28"/>
          <w:szCs w:val="28"/>
          <w:lang w:val="en-US"/>
        </w:rPr>
        <w:t xml:space="preserve"> </w:t>
      </w:r>
      <w:proofErr w:type="spellStart"/>
      <w:r w:rsidRPr="00495D9B">
        <w:rPr>
          <w:sz w:val="28"/>
          <w:szCs w:val="28"/>
          <w:lang w:val="en-US"/>
        </w:rPr>
        <w:t>сахарный</w:t>
      </w:r>
      <w:proofErr w:type="spellEnd"/>
      <w:r w:rsidRPr="00495D9B">
        <w:rPr>
          <w:sz w:val="28"/>
          <w:szCs w:val="28"/>
          <w:lang w:val="en-US"/>
        </w:rPr>
        <w:t xml:space="preserve"> </w:t>
      </w:r>
      <w:proofErr w:type="spellStart"/>
      <w:r w:rsidRPr="00495D9B">
        <w:rPr>
          <w:sz w:val="28"/>
          <w:szCs w:val="28"/>
          <w:lang w:val="en-US"/>
        </w:rPr>
        <w:t>диабет</w:t>
      </w:r>
      <w:proofErr w:type="spellEnd"/>
      <w:r w:rsidRPr="00495D9B">
        <w:rPr>
          <w:sz w:val="28"/>
          <w:szCs w:val="28"/>
          <w:lang w:val="en-US"/>
        </w:rPr>
        <w:t xml:space="preserve"> </w:t>
      </w:r>
      <w:r w:rsidR="00FF407F" w:rsidRPr="00495D9B">
        <w:rPr>
          <w:sz w:val="28"/>
          <w:szCs w:val="28"/>
          <w:lang w:val="en-US"/>
        </w:rPr>
        <w:t xml:space="preserve">/ Н. Б. Губергриц, Г. М. </w:t>
      </w:r>
      <w:proofErr w:type="spellStart"/>
      <w:r w:rsidR="00FF407F" w:rsidRPr="00495D9B">
        <w:rPr>
          <w:sz w:val="28"/>
          <w:szCs w:val="28"/>
          <w:lang w:val="en-US"/>
        </w:rPr>
        <w:t>Лукашевич</w:t>
      </w:r>
      <w:proofErr w:type="spellEnd"/>
      <w:r w:rsidR="00FF407F" w:rsidRPr="00495D9B">
        <w:rPr>
          <w:sz w:val="28"/>
          <w:szCs w:val="28"/>
          <w:lang w:val="en-US"/>
        </w:rPr>
        <w:t xml:space="preserve">, О. А. </w:t>
      </w:r>
      <w:proofErr w:type="spellStart"/>
      <w:r w:rsidR="00FF407F" w:rsidRPr="00495D9B">
        <w:rPr>
          <w:sz w:val="28"/>
          <w:szCs w:val="28"/>
          <w:lang w:val="en-US"/>
        </w:rPr>
        <w:t>Голубова</w:t>
      </w:r>
      <w:proofErr w:type="spellEnd"/>
      <w:r w:rsidR="00FF407F" w:rsidRPr="00495D9B">
        <w:rPr>
          <w:sz w:val="28"/>
          <w:szCs w:val="28"/>
          <w:lang w:val="en-US"/>
        </w:rPr>
        <w:t xml:space="preserve"> </w:t>
      </w:r>
      <w:r w:rsidRPr="00495D9B">
        <w:rPr>
          <w:sz w:val="28"/>
          <w:szCs w:val="28"/>
          <w:lang w:val="en-US"/>
        </w:rPr>
        <w:t xml:space="preserve">// </w:t>
      </w:r>
      <w:proofErr w:type="spellStart"/>
      <w:r w:rsidRPr="00495D9B">
        <w:rPr>
          <w:sz w:val="28"/>
          <w:szCs w:val="28"/>
          <w:lang w:val="en-US"/>
        </w:rPr>
        <w:t>Российский</w:t>
      </w:r>
      <w:proofErr w:type="spellEnd"/>
      <w:r w:rsidRPr="00495D9B">
        <w:rPr>
          <w:sz w:val="28"/>
          <w:szCs w:val="28"/>
          <w:lang w:val="en-US"/>
        </w:rPr>
        <w:t xml:space="preserve"> </w:t>
      </w:r>
      <w:proofErr w:type="spellStart"/>
      <w:r w:rsidRPr="00495D9B">
        <w:rPr>
          <w:sz w:val="28"/>
          <w:szCs w:val="28"/>
          <w:lang w:val="en-US"/>
        </w:rPr>
        <w:t>журнал</w:t>
      </w:r>
      <w:proofErr w:type="spellEnd"/>
      <w:r w:rsidRPr="00495D9B">
        <w:rPr>
          <w:sz w:val="28"/>
          <w:szCs w:val="28"/>
          <w:lang w:val="en-US"/>
        </w:rPr>
        <w:t xml:space="preserve"> </w:t>
      </w:r>
      <w:proofErr w:type="spellStart"/>
      <w:r w:rsidRPr="00495D9B">
        <w:rPr>
          <w:sz w:val="28"/>
          <w:szCs w:val="28"/>
          <w:lang w:val="en-US"/>
        </w:rPr>
        <w:t>гастроэнтерологии</w:t>
      </w:r>
      <w:proofErr w:type="spellEnd"/>
      <w:r w:rsidRPr="00495D9B">
        <w:rPr>
          <w:sz w:val="28"/>
          <w:szCs w:val="28"/>
          <w:lang w:val="en-US"/>
        </w:rPr>
        <w:t xml:space="preserve">, </w:t>
      </w:r>
      <w:proofErr w:type="spellStart"/>
      <w:r w:rsidRPr="00495D9B">
        <w:rPr>
          <w:sz w:val="28"/>
          <w:szCs w:val="28"/>
          <w:lang w:val="en-US"/>
        </w:rPr>
        <w:t>гепатологии</w:t>
      </w:r>
      <w:proofErr w:type="spellEnd"/>
      <w:r w:rsidRPr="00495D9B">
        <w:rPr>
          <w:sz w:val="28"/>
          <w:szCs w:val="28"/>
          <w:lang w:val="en-US"/>
        </w:rPr>
        <w:t xml:space="preserve">, </w:t>
      </w:r>
      <w:proofErr w:type="spellStart"/>
      <w:r w:rsidRPr="00495D9B">
        <w:rPr>
          <w:sz w:val="28"/>
          <w:szCs w:val="28"/>
          <w:lang w:val="en-US"/>
        </w:rPr>
        <w:t>колопроктологии</w:t>
      </w:r>
      <w:proofErr w:type="spellEnd"/>
      <w:r w:rsidRPr="00495D9B">
        <w:rPr>
          <w:sz w:val="28"/>
          <w:szCs w:val="28"/>
          <w:lang w:val="en-US"/>
        </w:rPr>
        <w:t xml:space="preserve">. — 2007. — № 6. — </w:t>
      </w:r>
      <w:proofErr w:type="gramStart"/>
      <w:r w:rsidRPr="00495D9B">
        <w:rPr>
          <w:sz w:val="28"/>
          <w:szCs w:val="28"/>
          <w:lang w:val="en-US"/>
        </w:rPr>
        <w:t>С. 11</w:t>
      </w:r>
      <w:proofErr w:type="gramEnd"/>
      <w:r w:rsidR="00FF407F" w:rsidRPr="00495D9B">
        <w:rPr>
          <w:sz w:val="28"/>
          <w:szCs w:val="28"/>
          <w:lang w:val="en-US"/>
        </w:rPr>
        <w:t>–</w:t>
      </w:r>
      <w:r w:rsidRPr="00495D9B">
        <w:rPr>
          <w:sz w:val="28"/>
          <w:szCs w:val="28"/>
          <w:lang w:val="en-US"/>
        </w:rPr>
        <w:t>16.</w:t>
      </w:r>
    </w:p>
    <w:p w:rsidR="006D6156" w:rsidRPr="00495D9B" w:rsidRDefault="006D6156" w:rsidP="006D6156">
      <w:pPr>
        <w:pStyle w:val="ae"/>
        <w:numPr>
          <w:ilvl w:val="0"/>
          <w:numId w:val="12"/>
        </w:numPr>
        <w:spacing w:after="0" w:line="360" w:lineRule="auto"/>
        <w:jc w:val="both"/>
        <w:rPr>
          <w:sz w:val="28"/>
          <w:szCs w:val="28"/>
          <w:lang w:val="en-US"/>
        </w:rPr>
      </w:pPr>
      <w:proofErr w:type="spellStart"/>
      <w:r w:rsidRPr="00495D9B">
        <w:rPr>
          <w:sz w:val="28"/>
          <w:szCs w:val="28"/>
          <w:lang w:val="en-US"/>
        </w:rPr>
        <w:t>Минушкин</w:t>
      </w:r>
      <w:proofErr w:type="spellEnd"/>
      <w:r w:rsidRPr="00495D9B">
        <w:rPr>
          <w:sz w:val="28"/>
          <w:szCs w:val="28"/>
          <w:lang w:val="en-US"/>
        </w:rPr>
        <w:t xml:space="preserve"> О.</w:t>
      </w:r>
      <w:r w:rsidR="00FF407F" w:rsidRPr="00495D9B">
        <w:rPr>
          <w:sz w:val="28"/>
          <w:szCs w:val="28"/>
          <w:lang w:val="en-US"/>
        </w:rPr>
        <w:t xml:space="preserve"> </w:t>
      </w:r>
      <w:r w:rsidRPr="00495D9B">
        <w:rPr>
          <w:sz w:val="28"/>
          <w:szCs w:val="28"/>
          <w:lang w:val="en-US"/>
        </w:rPr>
        <w:t xml:space="preserve">Н. </w:t>
      </w:r>
      <w:proofErr w:type="spellStart"/>
      <w:r w:rsidRPr="00495D9B">
        <w:rPr>
          <w:sz w:val="28"/>
          <w:szCs w:val="28"/>
          <w:lang w:val="en-US"/>
        </w:rPr>
        <w:t>Хронический</w:t>
      </w:r>
      <w:proofErr w:type="spellEnd"/>
      <w:r w:rsidRPr="00495D9B">
        <w:rPr>
          <w:sz w:val="28"/>
          <w:szCs w:val="28"/>
          <w:lang w:val="en-US"/>
        </w:rPr>
        <w:t xml:space="preserve"> </w:t>
      </w:r>
      <w:proofErr w:type="spellStart"/>
      <w:r w:rsidRPr="00495D9B">
        <w:rPr>
          <w:sz w:val="28"/>
          <w:szCs w:val="28"/>
          <w:lang w:val="en-US"/>
        </w:rPr>
        <w:t>панкреатит</w:t>
      </w:r>
      <w:proofErr w:type="spellEnd"/>
      <w:r w:rsidRPr="00495D9B">
        <w:rPr>
          <w:sz w:val="28"/>
          <w:szCs w:val="28"/>
          <w:lang w:val="en-US"/>
        </w:rPr>
        <w:t xml:space="preserve">: </w:t>
      </w:r>
      <w:proofErr w:type="spellStart"/>
      <w:r w:rsidRPr="00495D9B">
        <w:rPr>
          <w:sz w:val="28"/>
          <w:szCs w:val="28"/>
          <w:lang w:val="en-US"/>
        </w:rPr>
        <w:t>некоторые</w:t>
      </w:r>
      <w:proofErr w:type="spellEnd"/>
      <w:r w:rsidRPr="00495D9B">
        <w:rPr>
          <w:sz w:val="28"/>
          <w:szCs w:val="28"/>
          <w:lang w:val="en-US"/>
        </w:rPr>
        <w:t xml:space="preserve"> </w:t>
      </w:r>
      <w:proofErr w:type="spellStart"/>
      <w:r w:rsidRPr="00495D9B">
        <w:rPr>
          <w:sz w:val="28"/>
          <w:szCs w:val="28"/>
          <w:lang w:val="en-US"/>
        </w:rPr>
        <w:t>аспекты</w:t>
      </w:r>
      <w:proofErr w:type="spellEnd"/>
      <w:r w:rsidRPr="00495D9B">
        <w:rPr>
          <w:sz w:val="28"/>
          <w:szCs w:val="28"/>
          <w:lang w:val="en-US"/>
        </w:rPr>
        <w:t xml:space="preserve"> </w:t>
      </w:r>
      <w:proofErr w:type="spellStart"/>
      <w:r w:rsidRPr="00495D9B">
        <w:rPr>
          <w:sz w:val="28"/>
          <w:szCs w:val="28"/>
          <w:lang w:val="en-US"/>
        </w:rPr>
        <w:t>патогенеза</w:t>
      </w:r>
      <w:proofErr w:type="spellEnd"/>
      <w:r w:rsidRPr="00495D9B">
        <w:rPr>
          <w:sz w:val="28"/>
          <w:szCs w:val="28"/>
          <w:lang w:val="en-US"/>
        </w:rPr>
        <w:t xml:space="preserve">, </w:t>
      </w:r>
      <w:proofErr w:type="spellStart"/>
      <w:r w:rsidRPr="00495D9B">
        <w:rPr>
          <w:sz w:val="28"/>
          <w:szCs w:val="28"/>
          <w:lang w:val="en-US"/>
        </w:rPr>
        <w:t>диагностики</w:t>
      </w:r>
      <w:proofErr w:type="spellEnd"/>
      <w:r w:rsidRPr="00495D9B">
        <w:rPr>
          <w:sz w:val="28"/>
          <w:szCs w:val="28"/>
          <w:lang w:val="en-US"/>
        </w:rPr>
        <w:t xml:space="preserve"> и </w:t>
      </w:r>
      <w:proofErr w:type="spellStart"/>
      <w:r w:rsidRPr="00495D9B">
        <w:rPr>
          <w:sz w:val="28"/>
          <w:szCs w:val="28"/>
          <w:lang w:val="en-US"/>
        </w:rPr>
        <w:t>лечения</w:t>
      </w:r>
      <w:proofErr w:type="spellEnd"/>
      <w:r w:rsidRPr="00495D9B">
        <w:rPr>
          <w:sz w:val="28"/>
          <w:szCs w:val="28"/>
          <w:lang w:val="en-US"/>
        </w:rPr>
        <w:t xml:space="preserve"> </w:t>
      </w:r>
      <w:r w:rsidR="00FF407F" w:rsidRPr="00495D9B">
        <w:rPr>
          <w:sz w:val="28"/>
          <w:szCs w:val="28"/>
          <w:lang w:val="en-US"/>
        </w:rPr>
        <w:t xml:space="preserve">/ О. Н. </w:t>
      </w:r>
      <w:proofErr w:type="spellStart"/>
      <w:r w:rsidR="00FF407F" w:rsidRPr="00495D9B">
        <w:rPr>
          <w:sz w:val="28"/>
          <w:szCs w:val="28"/>
          <w:lang w:val="en-US"/>
        </w:rPr>
        <w:t>Минушкин</w:t>
      </w:r>
      <w:proofErr w:type="spellEnd"/>
      <w:r w:rsidR="00FF407F" w:rsidRPr="00495D9B">
        <w:rPr>
          <w:sz w:val="28"/>
          <w:szCs w:val="28"/>
          <w:lang w:val="en-US"/>
        </w:rPr>
        <w:t xml:space="preserve"> </w:t>
      </w:r>
      <w:r w:rsidRPr="00495D9B">
        <w:rPr>
          <w:sz w:val="28"/>
          <w:szCs w:val="28"/>
          <w:lang w:val="en-US"/>
        </w:rPr>
        <w:t xml:space="preserve">// </w:t>
      </w:r>
      <w:proofErr w:type="spellStart"/>
      <w:r w:rsidRPr="00495D9B">
        <w:rPr>
          <w:sz w:val="28"/>
          <w:szCs w:val="28"/>
          <w:lang w:val="en-US"/>
        </w:rPr>
        <w:t>Consilium</w:t>
      </w:r>
      <w:proofErr w:type="spellEnd"/>
      <w:r w:rsidRPr="00495D9B">
        <w:rPr>
          <w:sz w:val="28"/>
          <w:szCs w:val="28"/>
          <w:lang w:val="en-US"/>
        </w:rPr>
        <w:t xml:space="preserve"> </w:t>
      </w:r>
      <w:proofErr w:type="spellStart"/>
      <w:r w:rsidRPr="00495D9B">
        <w:rPr>
          <w:sz w:val="28"/>
          <w:szCs w:val="28"/>
          <w:lang w:val="en-US"/>
        </w:rPr>
        <w:t>medicum</w:t>
      </w:r>
      <w:proofErr w:type="spellEnd"/>
      <w:r w:rsidRPr="00495D9B">
        <w:rPr>
          <w:sz w:val="28"/>
          <w:szCs w:val="28"/>
          <w:lang w:val="en-US"/>
        </w:rPr>
        <w:t xml:space="preserve">. </w:t>
      </w:r>
      <w:r w:rsidR="00FF407F" w:rsidRPr="00495D9B">
        <w:rPr>
          <w:sz w:val="28"/>
          <w:szCs w:val="28"/>
          <w:lang w:val="en-US"/>
        </w:rPr>
        <w:t>—</w:t>
      </w:r>
      <w:r w:rsidRPr="00495D9B">
        <w:rPr>
          <w:sz w:val="28"/>
          <w:szCs w:val="28"/>
          <w:lang w:val="en-US"/>
        </w:rPr>
        <w:t xml:space="preserve"> 2002. </w:t>
      </w:r>
      <w:r w:rsidR="00FF407F" w:rsidRPr="00495D9B">
        <w:rPr>
          <w:sz w:val="28"/>
          <w:szCs w:val="28"/>
          <w:lang w:val="en-US"/>
        </w:rPr>
        <w:t>—</w:t>
      </w:r>
      <w:r w:rsidRPr="00495D9B">
        <w:rPr>
          <w:sz w:val="28"/>
          <w:szCs w:val="28"/>
          <w:lang w:val="en-US"/>
        </w:rPr>
        <w:t xml:space="preserve"> Т. 4, № 1. </w:t>
      </w:r>
      <w:r w:rsidR="00FF407F" w:rsidRPr="00495D9B">
        <w:rPr>
          <w:sz w:val="28"/>
          <w:szCs w:val="28"/>
          <w:lang w:val="en-US"/>
        </w:rPr>
        <w:t>—</w:t>
      </w:r>
      <w:r w:rsidRPr="00495D9B">
        <w:rPr>
          <w:sz w:val="28"/>
          <w:szCs w:val="28"/>
          <w:lang w:val="en-US"/>
        </w:rPr>
        <w:t xml:space="preserve"> </w:t>
      </w:r>
      <w:proofErr w:type="gramStart"/>
      <w:r w:rsidRPr="00495D9B">
        <w:rPr>
          <w:sz w:val="28"/>
          <w:szCs w:val="28"/>
          <w:lang w:val="en-US"/>
        </w:rPr>
        <w:t>С. 23</w:t>
      </w:r>
      <w:proofErr w:type="gramEnd"/>
      <w:r w:rsidR="00FF407F" w:rsidRPr="00495D9B">
        <w:rPr>
          <w:sz w:val="28"/>
          <w:szCs w:val="28"/>
          <w:lang w:val="en-US"/>
        </w:rPr>
        <w:t>–</w:t>
      </w:r>
      <w:r w:rsidRPr="00495D9B">
        <w:rPr>
          <w:sz w:val="28"/>
          <w:szCs w:val="28"/>
          <w:lang w:val="en-US"/>
        </w:rPr>
        <w:t>26.</w:t>
      </w:r>
    </w:p>
    <w:p w:rsidR="006D6156" w:rsidRPr="00495D9B" w:rsidRDefault="006D6156" w:rsidP="006D6156">
      <w:pPr>
        <w:pStyle w:val="ae"/>
        <w:numPr>
          <w:ilvl w:val="0"/>
          <w:numId w:val="12"/>
        </w:numPr>
        <w:spacing w:after="0" w:line="360" w:lineRule="auto"/>
        <w:jc w:val="both"/>
        <w:rPr>
          <w:sz w:val="28"/>
          <w:szCs w:val="28"/>
          <w:lang w:val="en-US"/>
        </w:rPr>
      </w:pPr>
      <w:proofErr w:type="spellStart"/>
      <w:r w:rsidRPr="00495D9B">
        <w:rPr>
          <w:sz w:val="28"/>
          <w:szCs w:val="28"/>
          <w:lang w:val="en-US"/>
        </w:rPr>
        <w:t>Минушкин</w:t>
      </w:r>
      <w:proofErr w:type="spellEnd"/>
      <w:r w:rsidRPr="00495D9B">
        <w:rPr>
          <w:sz w:val="28"/>
          <w:szCs w:val="28"/>
          <w:lang w:val="en-US"/>
        </w:rPr>
        <w:t xml:space="preserve"> О.</w:t>
      </w:r>
      <w:r w:rsidR="00FF407F" w:rsidRPr="00495D9B">
        <w:rPr>
          <w:sz w:val="28"/>
          <w:szCs w:val="28"/>
          <w:lang w:val="en-US"/>
        </w:rPr>
        <w:t xml:space="preserve"> Н. </w:t>
      </w:r>
      <w:proofErr w:type="spellStart"/>
      <w:r w:rsidRPr="00495D9B">
        <w:rPr>
          <w:sz w:val="28"/>
          <w:szCs w:val="28"/>
          <w:lang w:val="en-US"/>
        </w:rPr>
        <w:t>Этиологические</w:t>
      </w:r>
      <w:proofErr w:type="spellEnd"/>
      <w:r w:rsidRPr="00495D9B">
        <w:rPr>
          <w:sz w:val="28"/>
          <w:szCs w:val="28"/>
          <w:lang w:val="en-US"/>
        </w:rPr>
        <w:t xml:space="preserve"> </w:t>
      </w:r>
      <w:proofErr w:type="spellStart"/>
      <w:r w:rsidRPr="00495D9B">
        <w:rPr>
          <w:sz w:val="28"/>
          <w:szCs w:val="28"/>
          <w:lang w:val="en-US"/>
        </w:rPr>
        <w:t>аспекты</w:t>
      </w:r>
      <w:proofErr w:type="spellEnd"/>
      <w:r w:rsidRPr="00495D9B">
        <w:rPr>
          <w:sz w:val="28"/>
          <w:szCs w:val="28"/>
          <w:lang w:val="en-US"/>
        </w:rPr>
        <w:t xml:space="preserve"> </w:t>
      </w:r>
      <w:proofErr w:type="spellStart"/>
      <w:r w:rsidRPr="00495D9B">
        <w:rPr>
          <w:sz w:val="28"/>
          <w:szCs w:val="28"/>
          <w:lang w:val="en-US"/>
        </w:rPr>
        <w:t>терапии</w:t>
      </w:r>
      <w:proofErr w:type="spellEnd"/>
      <w:r w:rsidRPr="00495D9B">
        <w:rPr>
          <w:sz w:val="28"/>
          <w:szCs w:val="28"/>
          <w:lang w:val="en-US"/>
        </w:rPr>
        <w:t xml:space="preserve"> </w:t>
      </w:r>
      <w:proofErr w:type="spellStart"/>
      <w:r w:rsidRPr="00495D9B">
        <w:rPr>
          <w:sz w:val="28"/>
          <w:szCs w:val="28"/>
          <w:lang w:val="en-US"/>
        </w:rPr>
        <w:t>хронических</w:t>
      </w:r>
      <w:proofErr w:type="spellEnd"/>
      <w:r w:rsidRPr="00495D9B">
        <w:rPr>
          <w:sz w:val="28"/>
          <w:szCs w:val="28"/>
          <w:lang w:val="en-US"/>
        </w:rPr>
        <w:t xml:space="preserve"> </w:t>
      </w:r>
      <w:proofErr w:type="spellStart"/>
      <w:r w:rsidRPr="00495D9B">
        <w:rPr>
          <w:sz w:val="28"/>
          <w:szCs w:val="28"/>
          <w:lang w:val="en-US"/>
        </w:rPr>
        <w:t>панкреатитов</w:t>
      </w:r>
      <w:proofErr w:type="spellEnd"/>
      <w:r w:rsidRPr="00495D9B">
        <w:rPr>
          <w:sz w:val="28"/>
          <w:szCs w:val="28"/>
          <w:lang w:val="en-US"/>
        </w:rPr>
        <w:t xml:space="preserve"> </w:t>
      </w:r>
      <w:r w:rsidR="00FF407F" w:rsidRPr="00495D9B">
        <w:rPr>
          <w:sz w:val="28"/>
          <w:szCs w:val="28"/>
          <w:lang w:val="en-US"/>
        </w:rPr>
        <w:t xml:space="preserve">/ О. Н. </w:t>
      </w:r>
      <w:proofErr w:type="spellStart"/>
      <w:r w:rsidR="00FF407F" w:rsidRPr="00495D9B">
        <w:rPr>
          <w:sz w:val="28"/>
          <w:szCs w:val="28"/>
          <w:lang w:val="en-US"/>
        </w:rPr>
        <w:t>Минушкин</w:t>
      </w:r>
      <w:proofErr w:type="spellEnd"/>
      <w:r w:rsidR="00FF407F" w:rsidRPr="00495D9B">
        <w:rPr>
          <w:sz w:val="28"/>
          <w:szCs w:val="28"/>
          <w:lang w:val="en-US"/>
        </w:rPr>
        <w:t xml:space="preserve">, Л. B. </w:t>
      </w:r>
      <w:proofErr w:type="spellStart"/>
      <w:r w:rsidR="00FF407F" w:rsidRPr="00495D9B">
        <w:rPr>
          <w:sz w:val="28"/>
          <w:szCs w:val="28"/>
          <w:lang w:val="en-US"/>
        </w:rPr>
        <w:t>Масловский</w:t>
      </w:r>
      <w:proofErr w:type="spellEnd"/>
      <w:r w:rsidR="00FF407F" w:rsidRPr="00495D9B">
        <w:rPr>
          <w:sz w:val="28"/>
          <w:szCs w:val="28"/>
          <w:lang w:val="en-US"/>
        </w:rPr>
        <w:t xml:space="preserve"> </w:t>
      </w:r>
      <w:r w:rsidRPr="00495D9B">
        <w:rPr>
          <w:sz w:val="28"/>
          <w:szCs w:val="28"/>
          <w:lang w:val="en-US"/>
        </w:rPr>
        <w:t xml:space="preserve">// </w:t>
      </w:r>
      <w:proofErr w:type="spellStart"/>
      <w:r w:rsidRPr="00495D9B">
        <w:rPr>
          <w:sz w:val="28"/>
          <w:szCs w:val="28"/>
          <w:lang w:val="en-US"/>
        </w:rPr>
        <w:t>Consilium</w:t>
      </w:r>
      <w:proofErr w:type="spellEnd"/>
      <w:r w:rsidRPr="00495D9B">
        <w:rPr>
          <w:sz w:val="28"/>
          <w:szCs w:val="28"/>
          <w:lang w:val="en-US"/>
        </w:rPr>
        <w:t xml:space="preserve"> </w:t>
      </w:r>
      <w:proofErr w:type="spellStart"/>
      <w:r w:rsidRPr="00495D9B">
        <w:rPr>
          <w:sz w:val="28"/>
          <w:szCs w:val="28"/>
          <w:lang w:val="en-US"/>
        </w:rPr>
        <w:t>medicum</w:t>
      </w:r>
      <w:proofErr w:type="spellEnd"/>
      <w:r w:rsidRPr="00495D9B">
        <w:rPr>
          <w:sz w:val="28"/>
          <w:szCs w:val="28"/>
          <w:lang w:val="en-US"/>
        </w:rPr>
        <w:t xml:space="preserve">. </w:t>
      </w:r>
      <w:r w:rsidR="00FF407F" w:rsidRPr="00495D9B">
        <w:rPr>
          <w:sz w:val="28"/>
          <w:szCs w:val="28"/>
          <w:lang w:val="en-US"/>
        </w:rPr>
        <w:t>—</w:t>
      </w:r>
      <w:r w:rsidRPr="00495D9B">
        <w:rPr>
          <w:sz w:val="28"/>
          <w:szCs w:val="28"/>
          <w:lang w:val="en-US"/>
        </w:rPr>
        <w:t xml:space="preserve">2005. </w:t>
      </w:r>
      <w:r w:rsidR="00FF407F" w:rsidRPr="00495D9B">
        <w:rPr>
          <w:sz w:val="28"/>
          <w:szCs w:val="28"/>
          <w:lang w:val="en-US"/>
        </w:rPr>
        <w:t>—</w:t>
      </w:r>
      <w:r w:rsidRPr="00495D9B">
        <w:rPr>
          <w:sz w:val="28"/>
          <w:szCs w:val="28"/>
          <w:lang w:val="en-US"/>
        </w:rPr>
        <w:t xml:space="preserve"> Т. 7, № 6. </w:t>
      </w:r>
      <w:r w:rsidR="00FF407F" w:rsidRPr="00495D9B">
        <w:rPr>
          <w:sz w:val="28"/>
          <w:szCs w:val="28"/>
          <w:lang w:val="en-US"/>
        </w:rPr>
        <w:t>—</w:t>
      </w:r>
      <w:r w:rsidRPr="00495D9B">
        <w:rPr>
          <w:sz w:val="28"/>
          <w:szCs w:val="28"/>
          <w:lang w:val="en-US"/>
        </w:rPr>
        <w:t xml:space="preserve"> </w:t>
      </w:r>
      <w:proofErr w:type="gramStart"/>
      <w:r w:rsidRPr="00495D9B">
        <w:rPr>
          <w:sz w:val="28"/>
          <w:szCs w:val="28"/>
          <w:lang w:val="en-US"/>
        </w:rPr>
        <w:t>С. 31</w:t>
      </w:r>
      <w:proofErr w:type="gramEnd"/>
      <w:r w:rsidR="00FF407F" w:rsidRPr="00495D9B">
        <w:rPr>
          <w:sz w:val="28"/>
          <w:szCs w:val="28"/>
          <w:lang w:val="en-US"/>
        </w:rPr>
        <w:t>–</w:t>
      </w:r>
      <w:r w:rsidRPr="00495D9B">
        <w:rPr>
          <w:sz w:val="28"/>
          <w:szCs w:val="28"/>
          <w:lang w:val="en-US"/>
        </w:rPr>
        <w:t>34.</w:t>
      </w:r>
    </w:p>
    <w:p w:rsidR="006D6156" w:rsidRPr="00495D9B" w:rsidRDefault="006D6156" w:rsidP="006D6156">
      <w:pPr>
        <w:pStyle w:val="ae"/>
        <w:numPr>
          <w:ilvl w:val="0"/>
          <w:numId w:val="12"/>
        </w:numPr>
        <w:spacing w:after="0" w:line="360" w:lineRule="auto"/>
        <w:jc w:val="both"/>
        <w:rPr>
          <w:sz w:val="28"/>
          <w:szCs w:val="28"/>
          <w:lang w:val="en-US"/>
        </w:rPr>
      </w:pPr>
      <w:proofErr w:type="spellStart"/>
      <w:r w:rsidRPr="00495D9B">
        <w:rPr>
          <w:sz w:val="28"/>
          <w:szCs w:val="28"/>
          <w:lang w:val="en-US"/>
        </w:rPr>
        <w:t>Передерий</w:t>
      </w:r>
      <w:proofErr w:type="spellEnd"/>
      <w:r w:rsidRPr="00495D9B">
        <w:rPr>
          <w:sz w:val="28"/>
          <w:szCs w:val="28"/>
          <w:lang w:val="en-US"/>
        </w:rPr>
        <w:t xml:space="preserve"> В.</w:t>
      </w:r>
      <w:r w:rsidR="00FF407F" w:rsidRPr="00495D9B">
        <w:rPr>
          <w:sz w:val="28"/>
          <w:szCs w:val="28"/>
          <w:lang w:val="en-US"/>
        </w:rPr>
        <w:t xml:space="preserve"> Г. </w:t>
      </w:r>
      <w:proofErr w:type="spellStart"/>
      <w:r w:rsidRPr="00495D9B">
        <w:rPr>
          <w:sz w:val="28"/>
          <w:szCs w:val="28"/>
          <w:lang w:val="en-US"/>
        </w:rPr>
        <w:t>Частота</w:t>
      </w:r>
      <w:proofErr w:type="spellEnd"/>
      <w:r w:rsidRPr="00495D9B">
        <w:rPr>
          <w:sz w:val="28"/>
          <w:szCs w:val="28"/>
          <w:lang w:val="en-US"/>
        </w:rPr>
        <w:t xml:space="preserve"> и </w:t>
      </w:r>
      <w:proofErr w:type="spellStart"/>
      <w:r w:rsidRPr="00495D9B">
        <w:rPr>
          <w:sz w:val="28"/>
          <w:szCs w:val="28"/>
          <w:lang w:val="en-US"/>
        </w:rPr>
        <w:t>возможные</w:t>
      </w:r>
      <w:proofErr w:type="spellEnd"/>
      <w:r w:rsidRPr="00495D9B">
        <w:rPr>
          <w:sz w:val="28"/>
          <w:szCs w:val="28"/>
          <w:lang w:val="en-US"/>
        </w:rPr>
        <w:t xml:space="preserve"> </w:t>
      </w:r>
      <w:proofErr w:type="spellStart"/>
      <w:r w:rsidRPr="00495D9B">
        <w:rPr>
          <w:sz w:val="28"/>
          <w:szCs w:val="28"/>
          <w:lang w:val="en-US"/>
        </w:rPr>
        <w:t>причины</w:t>
      </w:r>
      <w:proofErr w:type="spellEnd"/>
      <w:r w:rsidRPr="00495D9B">
        <w:rPr>
          <w:sz w:val="28"/>
          <w:szCs w:val="28"/>
          <w:lang w:val="en-US"/>
        </w:rPr>
        <w:t xml:space="preserve"> </w:t>
      </w:r>
      <w:proofErr w:type="spellStart"/>
      <w:r w:rsidRPr="00495D9B">
        <w:rPr>
          <w:sz w:val="28"/>
          <w:szCs w:val="28"/>
          <w:lang w:val="en-US"/>
        </w:rPr>
        <w:t>экзокринной</w:t>
      </w:r>
      <w:proofErr w:type="spellEnd"/>
      <w:r w:rsidRPr="00495D9B">
        <w:rPr>
          <w:sz w:val="28"/>
          <w:szCs w:val="28"/>
          <w:lang w:val="en-US"/>
        </w:rPr>
        <w:t xml:space="preserve"> </w:t>
      </w:r>
      <w:proofErr w:type="spellStart"/>
      <w:r w:rsidRPr="00495D9B">
        <w:rPr>
          <w:sz w:val="28"/>
          <w:szCs w:val="28"/>
          <w:lang w:val="en-US"/>
        </w:rPr>
        <w:t>недостаточности</w:t>
      </w:r>
      <w:proofErr w:type="spellEnd"/>
      <w:r w:rsidRPr="00495D9B">
        <w:rPr>
          <w:sz w:val="28"/>
          <w:szCs w:val="28"/>
          <w:lang w:val="en-US"/>
        </w:rPr>
        <w:t xml:space="preserve"> </w:t>
      </w:r>
      <w:proofErr w:type="spellStart"/>
      <w:r w:rsidRPr="00495D9B">
        <w:rPr>
          <w:sz w:val="28"/>
          <w:szCs w:val="28"/>
          <w:lang w:val="en-US"/>
        </w:rPr>
        <w:t>поджелудочной</w:t>
      </w:r>
      <w:proofErr w:type="spellEnd"/>
      <w:r w:rsidRPr="00495D9B">
        <w:rPr>
          <w:sz w:val="28"/>
          <w:szCs w:val="28"/>
          <w:lang w:val="en-US"/>
        </w:rPr>
        <w:t xml:space="preserve"> </w:t>
      </w:r>
      <w:proofErr w:type="spellStart"/>
      <w:r w:rsidRPr="00495D9B">
        <w:rPr>
          <w:sz w:val="28"/>
          <w:szCs w:val="28"/>
          <w:lang w:val="en-US"/>
        </w:rPr>
        <w:t>железы</w:t>
      </w:r>
      <w:proofErr w:type="spellEnd"/>
      <w:r w:rsidRPr="00495D9B">
        <w:rPr>
          <w:sz w:val="28"/>
          <w:szCs w:val="28"/>
          <w:lang w:val="en-US"/>
        </w:rPr>
        <w:t xml:space="preserve"> </w:t>
      </w:r>
      <w:proofErr w:type="spellStart"/>
      <w:r w:rsidRPr="00495D9B">
        <w:rPr>
          <w:sz w:val="28"/>
          <w:szCs w:val="28"/>
          <w:lang w:val="en-US"/>
        </w:rPr>
        <w:t>при</w:t>
      </w:r>
      <w:proofErr w:type="spellEnd"/>
      <w:r w:rsidRPr="00495D9B">
        <w:rPr>
          <w:sz w:val="28"/>
          <w:szCs w:val="28"/>
          <w:lang w:val="en-US"/>
        </w:rPr>
        <w:t xml:space="preserve"> </w:t>
      </w:r>
      <w:proofErr w:type="spellStart"/>
      <w:r w:rsidRPr="00495D9B">
        <w:rPr>
          <w:sz w:val="28"/>
          <w:szCs w:val="28"/>
          <w:lang w:val="en-US"/>
        </w:rPr>
        <w:t>сахарном</w:t>
      </w:r>
      <w:proofErr w:type="spellEnd"/>
      <w:r w:rsidRPr="00495D9B">
        <w:rPr>
          <w:sz w:val="28"/>
          <w:szCs w:val="28"/>
          <w:lang w:val="en-US"/>
        </w:rPr>
        <w:t xml:space="preserve"> </w:t>
      </w:r>
      <w:proofErr w:type="spellStart"/>
      <w:r w:rsidRPr="00495D9B">
        <w:rPr>
          <w:sz w:val="28"/>
          <w:szCs w:val="28"/>
          <w:lang w:val="en-US"/>
        </w:rPr>
        <w:t>диабете</w:t>
      </w:r>
      <w:proofErr w:type="spellEnd"/>
      <w:r w:rsidRPr="00495D9B">
        <w:rPr>
          <w:sz w:val="28"/>
          <w:szCs w:val="28"/>
          <w:lang w:val="en-US"/>
        </w:rPr>
        <w:t xml:space="preserve"> </w:t>
      </w:r>
      <w:r w:rsidR="00FF407F" w:rsidRPr="00495D9B">
        <w:rPr>
          <w:sz w:val="28"/>
          <w:szCs w:val="28"/>
          <w:lang w:val="en-US"/>
        </w:rPr>
        <w:t xml:space="preserve">/ В. Г. </w:t>
      </w:r>
      <w:proofErr w:type="spellStart"/>
      <w:r w:rsidR="00FF407F" w:rsidRPr="00495D9B">
        <w:rPr>
          <w:sz w:val="28"/>
          <w:szCs w:val="28"/>
          <w:lang w:val="en-US"/>
        </w:rPr>
        <w:t>Передерий</w:t>
      </w:r>
      <w:proofErr w:type="spellEnd"/>
      <w:r w:rsidR="00FF407F" w:rsidRPr="00495D9B">
        <w:rPr>
          <w:sz w:val="28"/>
          <w:szCs w:val="28"/>
          <w:lang w:val="en-US"/>
        </w:rPr>
        <w:t xml:space="preserve">, С. М. </w:t>
      </w:r>
      <w:proofErr w:type="spellStart"/>
      <w:r w:rsidR="00FF407F" w:rsidRPr="00495D9B">
        <w:rPr>
          <w:sz w:val="28"/>
          <w:szCs w:val="28"/>
          <w:lang w:val="en-US"/>
        </w:rPr>
        <w:t>Ткач</w:t>
      </w:r>
      <w:proofErr w:type="spellEnd"/>
      <w:r w:rsidR="00FF407F" w:rsidRPr="00495D9B">
        <w:rPr>
          <w:sz w:val="28"/>
          <w:szCs w:val="28"/>
          <w:lang w:val="en-US"/>
        </w:rPr>
        <w:t xml:space="preserve">, Л. M. </w:t>
      </w:r>
      <w:proofErr w:type="spellStart"/>
      <w:r w:rsidR="00FF407F" w:rsidRPr="00495D9B">
        <w:rPr>
          <w:sz w:val="28"/>
          <w:szCs w:val="28"/>
          <w:lang w:val="en-US"/>
        </w:rPr>
        <w:t>Парунян</w:t>
      </w:r>
      <w:proofErr w:type="spellEnd"/>
      <w:r w:rsidR="00FF407F" w:rsidRPr="00495D9B">
        <w:rPr>
          <w:sz w:val="28"/>
          <w:szCs w:val="28"/>
          <w:lang w:val="en-US"/>
        </w:rPr>
        <w:t xml:space="preserve"> </w:t>
      </w:r>
      <w:r w:rsidRPr="00495D9B">
        <w:rPr>
          <w:sz w:val="28"/>
          <w:szCs w:val="28"/>
          <w:lang w:val="en-US"/>
        </w:rPr>
        <w:t xml:space="preserve">// </w:t>
      </w:r>
      <w:proofErr w:type="spellStart"/>
      <w:r w:rsidRPr="00495D9B">
        <w:rPr>
          <w:sz w:val="28"/>
          <w:szCs w:val="28"/>
          <w:lang w:val="en-US"/>
        </w:rPr>
        <w:t>Укр</w:t>
      </w:r>
      <w:proofErr w:type="spellEnd"/>
      <w:r w:rsidRPr="00495D9B">
        <w:rPr>
          <w:sz w:val="28"/>
          <w:szCs w:val="28"/>
          <w:lang w:val="en-US"/>
        </w:rPr>
        <w:t xml:space="preserve">. </w:t>
      </w:r>
      <w:proofErr w:type="spellStart"/>
      <w:r w:rsidRPr="00495D9B">
        <w:rPr>
          <w:sz w:val="28"/>
          <w:szCs w:val="28"/>
          <w:lang w:val="en-US"/>
        </w:rPr>
        <w:t>терапевт</w:t>
      </w:r>
      <w:proofErr w:type="spellEnd"/>
      <w:r w:rsidRPr="00495D9B">
        <w:rPr>
          <w:sz w:val="28"/>
          <w:szCs w:val="28"/>
          <w:lang w:val="en-US"/>
        </w:rPr>
        <w:t xml:space="preserve">, </w:t>
      </w:r>
      <w:proofErr w:type="spellStart"/>
      <w:r w:rsidRPr="00495D9B">
        <w:rPr>
          <w:sz w:val="28"/>
          <w:szCs w:val="28"/>
          <w:lang w:val="en-US"/>
        </w:rPr>
        <w:t>журнал</w:t>
      </w:r>
      <w:proofErr w:type="spellEnd"/>
      <w:r w:rsidRPr="00495D9B">
        <w:rPr>
          <w:sz w:val="28"/>
          <w:szCs w:val="28"/>
          <w:lang w:val="en-US"/>
        </w:rPr>
        <w:t xml:space="preserve">. </w:t>
      </w:r>
      <w:r w:rsidR="00FF407F" w:rsidRPr="00495D9B">
        <w:rPr>
          <w:sz w:val="28"/>
          <w:szCs w:val="28"/>
          <w:lang w:val="en-US"/>
        </w:rPr>
        <w:t>—</w:t>
      </w:r>
      <w:r w:rsidRPr="00495D9B">
        <w:rPr>
          <w:sz w:val="28"/>
          <w:szCs w:val="28"/>
          <w:lang w:val="en-US"/>
        </w:rPr>
        <w:t xml:space="preserve"> 2004. </w:t>
      </w:r>
      <w:r w:rsidR="00FF407F" w:rsidRPr="00495D9B">
        <w:rPr>
          <w:sz w:val="28"/>
          <w:szCs w:val="28"/>
          <w:lang w:val="en-US"/>
        </w:rPr>
        <w:t>—</w:t>
      </w:r>
      <w:r w:rsidRPr="00495D9B">
        <w:rPr>
          <w:sz w:val="28"/>
          <w:szCs w:val="28"/>
          <w:lang w:val="en-US"/>
        </w:rPr>
        <w:t xml:space="preserve"> № 2. </w:t>
      </w:r>
      <w:r w:rsidR="00FF407F" w:rsidRPr="00495D9B">
        <w:rPr>
          <w:sz w:val="28"/>
          <w:szCs w:val="28"/>
          <w:lang w:val="en-US"/>
        </w:rPr>
        <w:t>—</w:t>
      </w:r>
      <w:r w:rsidRPr="00495D9B">
        <w:rPr>
          <w:sz w:val="28"/>
          <w:szCs w:val="28"/>
          <w:lang w:val="en-US"/>
        </w:rPr>
        <w:t xml:space="preserve"> </w:t>
      </w:r>
      <w:proofErr w:type="gramStart"/>
      <w:r w:rsidRPr="00495D9B">
        <w:rPr>
          <w:sz w:val="28"/>
          <w:szCs w:val="28"/>
          <w:lang w:val="en-US"/>
        </w:rPr>
        <w:t>С. 12</w:t>
      </w:r>
      <w:proofErr w:type="gramEnd"/>
      <w:r w:rsidR="00FF407F" w:rsidRPr="00495D9B">
        <w:rPr>
          <w:sz w:val="28"/>
          <w:szCs w:val="28"/>
          <w:lang w:val="en-US"/>
        </w:rPr>
        <w:t>–</w:t>
      </w:r>
      <w:r w:rsidRPr="00495D9B">
        <w:rPr>
          <w:sz w:val="28"/>
          <w:szCs w:val="28"/>
          <w:lang w:val="en-US"/>
        </w:rPr>
        <w:t>16.</w:t>
      </w:r>
    </w:p>
    <w:p w:rsidR="006D6156" w:rsidRPr="00495D9B" w:rsidRDefault="006D6156" w:rsidP="006D6156">
      <w:pPr>
        <w:pStyle w:val="ae"/>
        <w:numPr>
          <w:ilvl w:val="0"/>
          <w:numId w:val="12"/>
        </w:numPr>
        <w:spacing w:after="0" w:line="360" w:lineRule="auto"/>
        <w:jc w:val="both"/>
        <w:rPr>
          <w:sz w:val="28"/>
          <w:szCs w:val="28"/>
          <w:lang w:val="en-US"/>
        </w:rPr>
      </w:pPr>
      <w:proofErr w:type="spellStart"/>
      <w:r w:rsidRPr="00495D9B">
        <w:rPr>
          <w:sz w:val="28"/>
          <w:szCs w:val="28"/>
          <w:lang w:val="en-US"/>
        </w:rPr>
        <w:t>Lankisch</w:t>
      </w:r>
      <w:proofErr w:type="spellEnd"/>
      <w:r w:rsidRPr="00495D9B">
        <w:rPr>
          <w:sz w:val="28"/>
          <w:szCs w:val="28"/>
          <w:lang w:val="en-US"/>
        </w:rPr>
        <w:t xml:space="preserve"> Р</w:t>
      </w:r>
      <w:r w:rsidR="00FF407F" w:rsidRPr="00495D9B">
        <w:rPr>
          <w:sz w:val="28"/>
          <w:szCs w:val="28"/>
          <w:lang w:val="en-US"/>
        </w:rPr>
        <w:t xml:space="preserve">. </w:t>
      </w:r>
      <w:r w:rsidRPr="00495D9B">
        <w:rPr>
          <w:sz w:val="28"/>
          <w:szCs w:val="28"/>
          <w:lang w:val="en-US"/>
        </w:rPr>
        <w:t xml:space="preserve">Natural course in chronic pancreatitis. Pain, exocrine and endocrine pancreatic insufficiency </w:t>
      </w:r>
      <w:r w:rsidR="00FF407F" w:rsidRPr="00495D9B">
        <w:rPr>
          <w:sz w:val="28"/>
          <w:szCs w:val="28"/>
          <w:lang w:val="en-US"/>
        </w:rPr>
        <w:t xml:space="preserve">and prognosis of the disease / Р. </w:t>
      </w:r>
      <w:proofErr w:type="spellStart"/>
      <w:r w:rsidR="00FF407F" w:rsidRPr="00495D9B">
        <w:rPr>
          <w:sz w:val="28"/>
          <w:szCs w:val="28"/>
          <w:lang w:val="en-US"/>
        </w:rPr>
        <w:t>Lankisch</w:t>
      </w:r>
      <w:proofErr w:type="spellEnd"/>
      <w:r w:rsidR="00FF407F" w:rsidRPr="00495D9B">
        <w:rPr>
          <w:sz w:val="28"/>
          <w:szCs w:val="28"/>
          <w:lang w:val="en-US"/>
        </w:rPr>
        <w:t xml:space="preserve">, А. </w:t>
      </w:r>
      <w:proofErr w:type="spellStart"/>
      <w:r w:rsidR="00FF407F" w:rsidRPr="00495D9B">
        <w:rPr>
          <w:sz w:val="28"/>
          <w:szCs w:val="28"/>
          <w:lang w:val="en-US"/>
        </w:rPr>
        <w:t>Loehr-Нарре</w:t>
      </w:r>
      <w:proofErr w:type="spellEnd"/>
      <w:r w:rsidR="00FF407F" w:rsidRPr="00495D9B">
        <w:rPr>
          <w:sz w:val="28"/>
          <w:szCs w:val="28"/>
          <w:lang w:val="en-US"/>
        </w:rPr>
        <w:t xml:space="preserve">, J. Otto, W. </w:t>
      </w:r>
      <w:proofErr w:type="spellStart"/>
      <w:r w:rsidR="00FF407F" w:rsidRPr="00495D9B">
        <w:rPr>
          <w:sz w:val="28"/>
          <w:szCs w:val="28"/>
          <w:lang w:val="en-US"/>
        </w:rPr>
        <w:t>Creutzfeldt</w:t>
      </w:r>
      <w:proofErr w:type="spellEnd"/>
      <w:r w:rsidR="00FF407F" w:rsidRPr="00495D9B">
        <w:rPr>
          <w:sz w:val="28"/>
          <w:szCs w:val="28"/>
          <w:lang w:val="en-US"/>
        </w:rPr>
        <w:t xml:space="preserve"> // </w:t>
      </w:r>
      <w:r w:rsidRPr="00495D9B">
        <w:rPr>
          <w:sz w:val="28"/>
          <w:szCs w:val="28"/>
          <w:lang w:val="en-US"/>
        </w:rPr>
        <w:t xml:space="preserve">Digestion. </w:t>
      </w:r>
      <w:r w:rsidR="00FF407F" w:rsidRPr="00495D9B">
        <w:rPr>
          <w:sz w:val="28"/>
          <w:szCs w:val="28"/>
          <w:lang w:val="en-US"/>
        </w:rPr>
        <w:t>—</w:t>
      </w:r>
      <w:r w:rsidRPr="00495D9B">
        <w:rPr>
          <w:sz w:val="28"/>
          <w:szCs w:val="28"/>
          <w:lang w:val="en-US"/>
        </w:rPr>
        <w:t xml:space="preserve"> 2003. </w:t>
      </w:r>
      <w:r w:rsidR="00FF407F" w:rsidRPr="00495D9B">
        <w:rPr>
          <w:sz w:val="28"/>
          <w:szCs w:val="28"/>
          <w:lang w:val="en-US"/>
        </w:rPr>
        <w:t>—</w:t>
      </w:r>
      <w:r w:rsidRPr="00495D9B">
        <w:rPr>
          <w:sz w:val="28"/>
          <w:szCs w:val="28"/>
          <w:lang w:val="en-US"/>
        </w:rPr>
        <w:t xml:space="preserve"> Vol. 64. </w:t>
      </w:r>
      <w:r w:rsidR="00FF407F" w:rsidRPr="00495D9B">
        <w:rPr>
          <w:sz w:val="28"/>
          <w:szCs w:val="28"/>
          <w:lang w:val="en-US"/>
        </w:rPr>
        <w:t>—</w:t>
      </w:r>
      <w:r w:rsidRPr="00495D9B">
        <w:rPr>
          <w:sz w:val="28"/>
          <w:szCs w:val="28"/>
          <w:lang w:val="en-US"/>
        </w:rPr>
        <w:t xml:space="preserve"> P. 148</w:t>
      </w:r>
      <w:r w:rsidR="00FF407F" w:rsidRPr="00495D9B">
        <w:rPr>
          <w:sz w:val="28"/>
          <w:szCs w:val="28"/>
          <w:lang w:val="en-US"/>
        </w:rPr>
        <w:t>–</w:t>
      </w:r>
      <w:r w:rsidRPr="00495D9B">
        <w:rPr>
          <w:sz w:val="28"/>
          <w:szCs w:val="28"/>
          <w:lang w:val="en-US"/>
        </w:rPr>
        <w:t>155.</w:t>
      </w:r>
    </w:p>
    <w:p w:rsidR="006D6156" w:rsidRPr="00495D9B" w:rsidRDefault="00FF407F" w:rsidP="006D6156">
      <w:pPr>
        <w:pStyle w:val="ae"/>
        <w:numPr>
          <w:ilvl w:val="0"/>
          <w:numId w:val="12"/>
        </w:numPr>
        <w:spacing w:after="0" w:line="360" w:lineRule="auto"/>
        <w:jc w:val="both"/>
        <w:rPr>
          <w:sz w:val="28"/>
          <w:szCs w:val="28"/>
          <w:lang w:val="en-US"/>
        </w:rPr>
      </w:pPr>
      <w:proofErr w:type="spellStart"/>
      <w:r w:rsidRPr="00495D9B">
        <w:rPr>
          <w:sz w:val="28"/>
          <w:szCs w:val="28"/>
          <w:lang w:val="en-US"/>
        </w:rPr>
        <w:t>Malka</w:t>
      </w:r>
      <w:proofErr w:type="spellEnd"/>
      <w:r w:rsidRPr="00495D9B">
        <w:rPr>
          <w:sz w:val="28"/>
          <w:szCs w:val="28"/>
          <w:lang w:val="en-US"/>
        </w:rPr>
        <w:t xml:space="preserve"> D. Risk factors for diabetes</w:t>
      </w:r>
      <w:r w:rsidR="006D6156" w:rsidRPr="00495D9B">
        <w:rPr>
          <w:sz w:val="28"/>
          <w:szCs w:val="28"/>
          <w:lang w:val="en-US"/>
        </w:rPr>
        <w:t xml:space="preserve"> mellitus in chronic pancreatitis </w:t>
      </w:r>
      <w:r w:rsidRPr="00495D9B">
        <w:rPr>
          <w:sz w:val="28"/>
          <w:szCs w:val="28"/>
          <w:lang w:val="en-US"/>
        </w:rPr>
        <w:t xml:space="preserve">/ D. </w:t>
      </w:r>
      <w:proofErr w:type="spellStart"/>
      <w:r w:rsidRPr="00495D9B">
        <w:rPr>
          <w:sz w:val="28"/>
          <w:szCs w:val="28"/>
          <w:lang w:val="en-US"/>
        </w:rPr>
        <w:t>Malka</w:t>
      </w:r>
      <w:proofErr w:type="spellEnd"/>
      <w:r w:rsidRPr="00495D9B">
        <w:rPr>
          <w:sz w:val="28"/>
          <w:szCs w:val="28"/>
          <w:lang w:val="en-US"/>
        </w:rPr>
        <w:t xml:space="preserve">, P. </w:t>
      </w:r>
      <w:proofErr w:type="spellStart"/>
      <w:r w:rsidRPr="00495D9B">
        <w:rPr>
          <w:sz w:val="28"/>
          <w:szCs w:val="28"/>
          <w:lang w:val="en-US"/>
        </w:rPr>
        <w:t>Hammel</w:t>
      </w:r>
      <w:proofErr w:type="spellEnd"/>
      <w:r w:rsidRPr="00495D9B">
        <w:rPr>
          <w:sz w:val="28"/>
          <w:szCs w:val="28"/>
          <w:lang w:val="en-US"/>
        </w:rPr>
        <w:t xml:space="preserve">, A. </w:t>
      </w:r>
      <w:proofErr w:type="spellStart"/>
      <w:r w:rsidRPr="00495D9B">
        <w:rPr>
          <w:sz w:val="28"/>
          <w:szCs w:val="28"/>
          <w:lang w:val="en-US"/>
        </w:rPr>
        <w:t>Sauvanet</w:t>
      </w:r>
      <w:proofErr w:type="spellEnd"/>
      <w:r w:rsidRPr="00495D9B">
        <w:rPr>
          <w:sz w:val="28"/>
          <w:szCs w:val="28"/>
          <w:lang w:val="en-US"/>
        </w:rPr>
        <w:t xml:space="preserve"> </w:t>
      </w:r>
      <w:r w:rsidR="006D6156" w:rsidRPr="00495D9B">
        <w:rPr>
          <w:sz w:val="28"/>
          <w:szCs w:val="28"/>
          <w:lang w:val="en-US"/>
        </w:rPr>
        <w:t xml:space="preserve">// Gastroenterology. — 2000. </w:t>
      </w:r>
      <w:r w:rsidRPr="00495D9B">
        <w:rPr>
          <w:sz w:val="28"/>
          <w:szCs w:val="28"/>
          <w:lang w:val="en-US"/>
        </w:rPr>
        <w:t>—</w:t>
      </w:r>
      <w:r w:rsidR="006D6156" w:rsidRPr="00495D9B">
        <w:rPr>
          <w:sz w:val="28"/>
          <w:szCs w:val="28"/>
          <w:lang w:val="en-US"/>
        </w:rPr>
        <w:t xml:space="preserve"> Vol. 119. </w:t>
      </w:r>
      <w:r w:rsidRPr="00495D9B">
        <w:rPr>
          <w:sz w:val="28"/>
          <w:szCs w:val="28"/>
          <w:lang w:val="en-US"/>
        </w:rPr>
        <w:t>—</w:t>
      </w:r>
      <w:r w:rsidR="006D6156" w:rsidRPr="00495D9B">
        <w:rPr>
          <w:sz w:val="28"/>
          <w:szCs w:val="28"/>
          <w:lang w:val="en-US"/>
        </w:rPr>
        <w:t xml:space="preserve"> P. 1324</w:t>
      </w:r>
      <w:r w:rsidRPr="00495D9B">
        <w:rPr>
          <w:sz w:val="28"/>
          <w:szCs w:val="28"/>
          <w:lang w:val="en-US"/>
        </w:rPr>
        <w:t>–</w:t>
      </w:r>
      <w:r w:rsidR="006D6156" w:rsidRPr="00495D9B">
        <w:rPr>
          <w:sz w:val="28"/>
          <w:szCs w:val="28"/>
          <w:lang w:val="en-US"/>
        </w:rPr>
        <w:t>1332.</w:t>
      </w:r>
    </w:p>
    <w:p w:rsidR="006D6156" w:rsidRPr="00495D9B" w:rsidRDefault="006D6156">
      <w:pPr>
        <w:rPr>
          <w:sz w:val="28"/>
          <w:szCs w:val="28"/>
          <w:lang w:val="en-US"/>
        </w:rPr>
      </w:pPr>
      <w:r w:rsidRPr="00495D9B">
        <w:rPr>
          <w:sz w:val="28"/>
          <w:szCs w:val="28"/>
          <w:lang w:val="en-US"/>
        </w:rPr>
        <w:br w:type="page"/>
      </w:r>
    </w:p>
    <w:p w:rsidR="006D6156" w:rsidRPr="00495D9B" w:rsidRDefault="00852257" w:rsidP="000F3731">
      <w:pPr>
        <w:spacing w:after="0" w:line="360" w:lineRule="auto"/>
        <w:jc w:val="center"/>
        <w:rPr>
          <w:b/>
          <w:sz w:val="28"/>
          <w:szCs w:val="28"/>
          <w:lang w:val="en-US"/>
        </w:rPr>
      </w:pPr>
      <w:r w:rsidRPr="00495D9B">
        <w:rPr>
          <w:b/>
          <w:sz w:val="28"/>
          <w:szCs w:val="28"/>
          <w:lang w:val="en-US"/>
        </w:rPr>
        <w:lastRenderedPageBreak/>
        <w:t>Carbohydrate metabolism disorders in patients with chronic pancreatitis</w:t>
      </w:r>
    </w:p>
    <w:p w:rsidR="00852257" w:rsidRPr="00495D9B" w:rsidRDefault="00852257" w:rsidP="000F3731">
      <w:pPr>
        <w:spacing w:after="0" w:line="360" w:lineRule="auto"/>
        <w:jc w:val="center"/>
        <w:rPr>
          <w:sz w:val="28"/>
          <w:szCs w:val="28"/>
          <w:lang w:val="en-US"/>
        </w:rPr>
      </w:pPr>
      <w:r w:rsidRPr="00495D9B">
        <w:rPr>
          <w:sz w:val="28"/>
          <w:szCs w:val="28"/>
          <w:lang w:val="en-US"/>
        </w:rPr>
        <w:t>S. I. </w:t>
      </w:r>
      <w:proofErr w:type="spellStart"/>
      <w:r w:rsidRPr="00495D9B">
        <w:rPr>
          <w:sz w:val="28"/>
          <w:szCs w:val="28"/>
          <w:lang w:val="en-US"/>
        </w:rPr>
        <w:t>Ismaiiov</w:t>
      </w:r>
      <w:proofErr w:type="spellEnd"/>
      <w:r w:rsidRPr="00495D9B">
        <w:rPr>
          <w:sz w:val="28"/>
          <w:szCs w:val="28"/>
          <w:lang w:val="en-US"/>
        </w:rPr>
        <w:t>, F. G. </w:t>
      </w:r>
      <w:proofErr w:type="spellStart"/>
      <w:r w:rsidRPr="00495D9B">
        <w:rPr>
          <w:sz w:val="28"/>
          <w:szCs w:val="28"/>
          <w:lang w:val="en-US"/>
        </w:rPr>
        <w:t>Nazyrov</w:t>
      </w:r>
      <w:proofErr w:type="spellEnd"/>
      <w:r w:rsidRPr="00495D9B">
        <w:rPr>
          <w:sz w:val="28"/>
          <w:szCs w:val="28"/>
          <w:lang w:val="en-US"/>
        </w:rPr>
        <w:t>, B. A. </w:t>
      </w:r>
      <w:proofErr w:type="spellStart"/>
      <w:r w:rsidRPr="00495D9B">
        <w:rPr>
          <w:sz w:val="28"/>
          <w:szCs w:val="28"/>
          <w:lang w:val="en-US"/>
        </w:rPr>
        <w:t>Azizov</w:t>
      </w:r>
      <w:proofErr w:type="spellEnd"/>
    </w:p>
    <w:p w:rsidR="00852257" w:rsidRPr="00495D9B" w:rsidRDefault="00852257" w:rsidP="000F3731">
      <w:pPr>
        <w:spacing w:after="0" w:line="360" w:lineRule="auto"/>
        <w:jc w:val="center"/>
        <w:rPr>
          <w:i/>
          <w:sz w:val="28"/>
          <w:szCs w:val="28"/>
          <w:lang w:val="en-US" w:eastAsia="zh-CN"/>
        </w:rPr>
      </w:pPr>
      <w:r w:rsidRPr="00495D9B">
        <w:rPr>
          <w:i/>
          <w:sz w:val="28"/>
          <w:szCs w:val="28"/>
          <w:lang w:val="en-US"/>
        </w:rPr>
        <w:t>Republican Specialized S</w:t>
      </w:r>
      <w:r w:rsidR="000F3731" w:rsidRPr="00495D9B">
        <w:rPr>
          <w:i/>
          <w:sz w:val="28"/>
          <w:szCs w:val="28"/>
          <w:lang w:val="en-US"/>
        </w:rPr>
        <w:t xml:space="preserve">cientific and Practical Medical </w:t>
      </w:r>
      <w:r w:rsidRPr="00495D9B">
        <w:rPr>
          <w:i/>
          <w:sz w:val="28"/>
          <w:szCs w:val="28"/>
          <w:lang w:val="en-US"/>
        </w:rPr>
        <w:t>Centre of Endocrinology</w:t>
      </w:r>
      <w:r w:rsidR="000F3731" w:rsidRPr="00495D9B">
        <w:rPr>
          <w:i/>
          <w:sz w:val="28"/>
          <w:szCs w:val="28"/>
          <w:lang w:val="en-US" w:eastAsia="zh-CN"/>
        </w:rPr>
        <w:t xml:space="preserve">, </w:t>
      </w:r>
      <w:r w:rsidR="000F3731" w:rsidRPr="00495D9B">
        <w:rPr>
          <w:i/>
          <w:sz w:val="28"/>
          <w:szCs w:val="28"/>
          <w:lang w:val="en-US"/>
        </w:rPr>
        <w:t>Tashkent</w:t>
      </w:r>
      <w:r w:rsidR="000F3731" w:rsidRPr="00495D9B">
        <w:rPr>
          <w:i/>
          <w:sz w:val="28"/>
          <w:szCs w:val="28"/>
          <w:lang w:val="en-US" w:eastAsia="zh-CN"/>
        </w:rPr>
        <w:t xml:space="preserve">, </w:t>
      </w:r>
      <w:r w:rsidR="000F3731" w:rsidRPr="00495D9B">
        <w:rPr>
          <w:i/>
          <w:sz w:val="28"/>
          <w:szCs w:val="28"/>
          <w:lang w:val="en-US"/>
        </w:rPr>
        <w:t>Uzbekistan</w:t>
      </w:r>
    </w:p>
    <w:p w:rsidR="00852257" w:rsidRPr="00495D9B" w:rsidRDefault="00852257" w:rsidP="000F3731">
      <w:pPr>
        <w:spacing w:after="0" w:line="360" w:lineRule="auto"/>
        <w:jc w:val="center"/>
        <w:rPr>
          <w:i/>
          <w:sz w:val="28"/>
          <w:szCs w:val="28"/>
          <w:lang w:val="en-US" w:eastAsia="zh-CN"/>
        </w:rPr>
      </w:pPr>
      <w:r w:rsidRPr="00495D9B">
        <w:rPr>
          <w:i/>
          <w:sz w:val="28"/>
          <w:szCs w:val="28"/>
          <w:lang w:val="en-US"/>
        </w:rPr>
        <w:t xml:space="preserve">Republican Specialized Surgery Center </w:t>
      </w:r>
      <w:r w:rsidR="000F3731" w:rsidRPr="00495D9B">
        <w:rPr>
          <w:i/>
          <w:sz w:val="28"/>
          <w:szCs w:val="28"/>
          <w:lang w:val="en-US" w:eastAsia="zh-CN"/>
        </w:rPr>
        <w:t>n. a. </w:t>
      </w:r>
      <w:r w:rsidR="000F3731" w:rsidRPr="00495D9B">
        <w:rPr>
          <w:i/>
          <w:sz w:val="28"/>
          <w:szCs w:val="28"/>
          <w:lang w:val="en-US"/>
        </w:rPr>
        <w:t xml:space="preserve">acad. V. </w:t>
      </w:r>
      <w:proofErr w:type="spellStart"/>
      <w:r w:rsidR="000F3731" w:rsidRPr="00495D9B">
        <w:rPr>
          <w:i/>
          <w:sz w:val="28"/>
          <w:szCs w:val="28"/>
          <w:lang w:val="en-US"/>
        </w:rPr>
        <w:t>Vakhidov</w:t>
      </w:r>
      <w:proofErr w:type="spellEnd"/>
      <w:r w:rsidR="000F3731" w:rsidRPr="00495D9B">
        <w:rPr>
          <w:i/>
          <w:sz w:val="28"/>
          <w:szCs w:val="28"/>
          <w:lang w:val="en-US" w:eastAsia="zh-CN"/>
        </w:rPr>
        <w:t xml:space="preserve">, </w:t>
      </w:r>
      <w:r w:rsidR="000F3731" w:rsidRPr="00495D9B">
        <w:rPr>
          <w:i/>
          <w:sz w:val="28"/>
          <w:szCs w:val="28"/>
          <w:lang w:val="en-US"/>
        </w:rPr>
        <w:t>Tashkent</w:t>
      </w:r>
      <w:r w:rsidR="000F3731" w:rsidRPr="00495D9B">
        <w:rPr>
          <w:i/>
          <w:sz w:val="28"/>
          <w:szCs w:val="28"/>
          <w:lang w:val="en-US" w:eastAsia="zh-CN"/>
        </w:rPr>
        <w:t xml:space="preserve">, </w:t>
      </w:r>
      <w:r w:rsidR="000F3731" w:rsidRPr="00495D9B">
        <w:rPr>
          <w:i/>
          <w:sz w:val="28"/>
          <w:szCs w:val="28"/>
          <w:lang w:val="en-US"/>
        </w:rPr>
        <w:t>Uzbekistan</w:t>
      </w:r>
    </w:p>
    <w:p w:rsidR="00852257" w:rsidRPr="00495D9B" w:rsidRDefault="00852257" w:rsidP="00852257">
      <w:pPr>
        <w:spacing w:after="0" w:line="360" w:lineRule="auto"/>
        <w:ind w:firstLine="709"/>
        <w:jc w:val="both"/>
        <w:rPr>
          <w:sz w:val="28"/>
          <w:szCs w:val="28"/>
          <w:lang w:val="en-US"/>
        </w:rPr>
      </w:pPr>
    </w:p>
    <w:p w:rsidR="00852257" w:rsidRPr="00495D9B" w:rsidRDefault="00852257" w:rsidP="00852257">
      <w:pPr>
        <w:spacing w:after="0" w:line="360" w:lineRule="auto"/>
        <w:ind w:firstLine="709"/>
        <w:jc w:val="both"/>
        <w:rPr>
          <w:sz w:val="28"/>
          <w:szCs w:val="28"/>
          <w:lang w:val="en-US" w:eastAsia="zh-CN"/>
        </w:rPr>
      </w:pPr>
      <w:r w:rsidRPr="00495D9B">
        <w:rPr>
          <w:b/>
          <w:sz w:val="28"/>
          <w:szCs w:val="28"/>
          <w:lang w:val="en-US"/>
        </w:rPr>
        <w:t>Key words:</w:t>
      </w:r>
      <w:r w:rsidRPr="00495D9B">
        <w:rPr>
          <w:sz w:val="28"/>
          <w:szCs w:val="28"/>
          <w:lang w:val="en-US"/>
        </w:rPr>
        <w:t xml:space="preserve"> chronic pancreatitis, impaired fasting glucose</w:t>
      </w:r>
      <w:r w:rsidR="00E85A8F" w:rsidRPr="00495D9B">
        <w:rPr>
          <w:sz w:val="28"/>
          <w:szCs w:val="28"/>
          <w:lang w:val="en-US"/>
        </w:rPr>
        <w:t>,</w:t>
      </w:r>
      <w:r w:rsidRPr="00495D9B">
        <w:rPr>
          <w:sz w:val="28"/>
          <w:szCs w:val="28"/>
          <w:lang w:val="en-US"/>
        </w:rPr>
        <w:t xml:space="preserve"> impaired gluco</w:t>
      </w:r>
      <w:r w:rsidR="000F3731" w:rsidRPr="00495D9B">
        <w:rPr>
          <w:sz w:val="28"/>
          <w:szCs w:val="28"/>
          <w:lang w:val="en-US"/>
        </w:rPr>
        <w:t>se tolerance, diabetes mellitus</w:t>
      </w:r>
      <w:r w:rsidR="000F3731" w:rsidRPr="00495D9B">
        <w:rPr>
          <w:sz w:val="28"/>
          <w:szCs w:val="28"/>
          <w:lang w:val="en-US" w:eastAsia="zh-CN"/>
        </w:rPr>
        <w:t>, pathogenesis</w:t>
      </w:r>
    </w:p>
    <w:p w:rsidR="00852257" w:rsidRPr="00495D9B" w:rsidRDefault="00852257" w:rsidP="00852257">
      <w:pPr>
        <w:spacing w:after="0" w:line="360" w:lineRule="auto"/>
        <w:ind w:firstLine="709"/>
        <w:jc w:val="both"/>
        <w:rPr>
          <w:sz w:val="28"/>
          <w:szCs w:val="28"/>
          <w:lang w:val="en-US"/>
        </w:rPr>
      </w:pPr>
      <w:r w:rsidRPr="00495D9B">
        <w:rPr>
          <w:sz w:val="28"/>
          <w:szCs w:val="28"/>
          <w:lang w:val="en-US"/>
        </w:rPr>
        <w:t>This article deals with dependence of th</w:t>
      </w:r>
      <w:r w:rsidR="000F3731" w:rsidRPr="00495D9B">
        <w:rPr>
          <w:sz w:val="28"/>
          <w:szCs w:val="28"/>
          <w:lang w:val="en-US"/>
        </w:rPr>
        <w:t>e</w:t>
      </w:r>
      <w:r w:rsidRPr="00495D9B">
        <w:rPr>
          <w:sz w:val="28"/>
          <w:szCs w:val="28"/>
          <w:lang w:val="en-US"/>
        </w:rPr>
        <w:t xml:space="preserve"> carbohydrate metabolism disorders on the duration of diseas</w:t>
      </w:r>
      <w:r w:rsidR="000F3731" w:rsidRPr="00495D9B">
        <w:rPr>
          <w:sz w:val="28"/>
          <w:szCs w:val="28"/>
          <w:lang w:val="en-US"/>
        </w:rPr>
        <w:t>e</w:t>
      </w:r>
      <w:r w:rsidRPr="00495D9B">
        <w:rPr>
          <w:sz w:val="28"/>
          <w:szCs w:val="28"/>
          <w:lang w:val="en-US"/>
        </w:rPr>
        <w:t xml:space="preserve"> in patients with non-destructive chronic pancreatitis. Patient</w:t>
      </w:r>
      <w:r w:rsidR="00E85A8F" w:rsidRPr="00495D9B">
        <w:rPr>
          <w:sz w:val="28"/>
          <w:szCs w:val="28"/>
          <w:lang w:val="en-US"/>
        </w:rPr>
        <w:t>s</w:t>
      </w:r>
      <w:r w:rsidRPr="00495D9B">
        <w:rPr>
          <w:sz w:val="28"/>
          <w:szCs w:val="28"/>
          <w:lang w:val="en-US"/>
        </w:rPr>
        <w:t xml:space="preserve"> with </w:t>
      </w:r>
      <w:r w:rsidR="00E85A8F" w:rsidRPr="00495D9B">
        <w:rPr>
          <w:sz w:val="28"/>
          <w:szCs w:val="28"/>
          <w:lang w:val="en-US"/>
        </w:rPr>
        <w:t>the</w:t>
      </w:r>
      <w:r w:rsidRPr="00495D9B">
        <w:rPr>
          <w:sz w:val="28"/>
          <w:szCs w:val="28"/>
          <w:lang w:val="en-US"/>
        </w:rPr>
        <w:t xml:space="preserve"> disease duration of up to three years </w:t>
      </w:r>
      <w:r w:rsidR="00E85A8F" w:rsidRPr="00495D9B">
        <w:rPr>
          <w:sz w:val="28"/>
          <w:szCs w:val="28"/>
          <w:lang w:val="en-US"/>
        </w:rPr>
        <w:t>predominantly have</w:t>
      </w:r>
      <w:r w:rsidRPr="00495D9B">
        <w:rPr>
          <w:sz w:val="28"/>
          <w:szCs w:val="28"/>
          <w:lang w:val="en-US"/>
        </w:rPr>
        <w:t xml:space="preserve"> impaired fasting glucose, </w:t>
      </w:r>
      <w:r w:rsidR="00E85A8F" w:rsidRPr="00495D9B">
        <w:rPr>
          <w:sz w:val="28"/>
          <w:szCs w:val="28"/>
          <w:lang w:val="en-US"/>
        </w:rPr>
        <w:t>with</w:t>
      </w:r>
      <w:r w:rsidRPr="00495D9B">
        <w:rPr>
          <w:sz w:val="28"/>
          <w:szCs w:val="28"/>
          <w:lang w:val="en-US"/>
        </w:rPr>
        <w:t xml:space="preserve"> the duration of chronic pancreatiti</w:t>
      </w:r>
      <w:r w:rsidR="000F3731" w:rsidRPr="00495D9B">
        <w:rPr>
          <w:sz w:val="28"/>
          <w:szCs w:val="28"/>
          <w:lang w:val="en-US"/>
        </w:rPr>
        <w:t>s</w:t>
      </w:r>
      <w:r w:rsidRPr="00495D9B">
        <w:rPr>
          <w:sz w:val="28"/>
          <w:szCs w:val="28"/>
          <w:lang w:val="en-US"/>
        </w:rPr>
        <w:t xml:space="preserve"> from three to five years there </w:t>
      </w:r>
      <w:r w:rsidR="00E85A8F" w:rsidRPr="00495D9B">
        <w:rPr>
          <w:sz w:val="28"/>
          <w:szCs w:val="28"/>
          <w:lang w:val="en-US"/>
        </w:rPr>
        <w:t>is an</w:t>
      </w:r>
      <w:r w:rsidRPr="00495D9B">
        <w:rPr>
          <w:sz w:val="28"/>
          <w:szCs w:val="28"/>
          <w:lang w:val="en-US"/>
        </w:rPr>
        <w:t xml:space="preserve"> impaired glucose tolerance</w:t>
      </w:r>
      <w:r w:rsidR="00E85A8F" w:rsidRPr="00495D9B">
        <w:rPr>
          <w:sz w:val="28"/>
          <w:szCs w:val="28"/>
          <w:lang w:val="en-US"/>
        </w:rPr>
        <w:t>, while</w:t>
      </w:r>
      <w:r w:rsidRPr="00495D9B">
        <w:rPr>
          <w:sz w:val="28"/>
          <w:szCs w:val="28"/>
          <w:lang w:val="en-US"/>
        </w:rPr>
        <w:t xml:space="preserve"> in individuals with </w:t>
      </w:r>
      <w:r w:rsidR="00E85A8F" w:rsidRPr="00495D9B">
        <w:rPr>
          <w:sz w:val="28"/>
          <w:szCs w:val="28"/>
          <w:lang w:val="en-US"/>
        </w:rPr>
        <w:t>a course of disease</w:t>
      </w:r>
      <w:r w:rsidRPr="00495D9B">
        <w:rPr>
          <w:sz w:val="28"/>
          <w:szCs w:val="28"/>
          <w:lang w:val="en-US"/>
        </w:rPr>
        <w:t xml:space="preserve"> </w:t>
      </w:r>
      <w:r w:rsidR="00E85A8F" w:rsidRPr="00495D9B">
        <w:rPr>
          <w:sz w:val="28"/>
          <w:szCs w:val="28"/>
          <w:lang w:val="en-US"/>
        </w:rPr>
        <w:t xml:space="preserve">for </w:t>
      </w:r>
      <w:r w:rsidRPr="00495D9B">
        <w:rPr>
          <w:sz w:val="28"/>
          <w:szCs w:val="28"/>
          <w:lang w:val="en-US"/>
        </w:rPr>
        <w:t>more than 5 years diabetes mellitu</w:t>
      </w:r>
      <w:r w:rsidR="000F3731" w:rsidRPr="00495D9B">
        <w:rPr>
          <w:sz w:val="28"/>
          <w:szCs w:val="28"/>
          <w:lang w:val="en-US"/>
        </w:rPr>
        <w:t>s</w:t>
      </w:r>
      <w:r w:rsidRPr="00495D9B">
        <w:rPr>
          <w:sz w:val="28"/>
          <w:szCs w:val="28"/>
          <w:lang w:val="en-US"/>
        </w:rPr>
        <w:t xml:space="preserve"> is more common.</w:t>
      </w:r>
    </w:p>
    <w:sectPr w:rsidR="00852257" w:rsidRPr="00495D9B" w:rsidSect="00CB6931">
      <w:headerReference w:type="even" r:id="rId10"/>
      <w:pgSz w:w="11906" w:h="16838" w:code="9"/>
      <w:pgMar w:top="1134" w:right="1134" w:bottom="1134" w:left="1134"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6EF" w:rsidRDefault="00B526EF" w:rsidP="00AD44FA">
      <w:pPr>
        <w:spacing w:after="0" w:line="240" w:lineRule="auto"/>
      </w:pPr>
      <w:r>
        <w:separator/>
      </w:r>
    </w:p>
  </w:endnote>
  <w:endnote w:type="continuationSeparator" w:id="0">
    <w:p w:rsidR="00B526EF" w:rsidRDefault="00B526EF" w:rsidP="00AD4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6EF" w:rsidRDefault="00B526EF" w:rsidP="00AD44FA">
      <w:pPr>
        <w:spacing w:after="0" w:line="240" w:lineRule="auto"/>
      </w:pPr>
      <w:r>
        <w:separator/>
      </w:r>
    </w:p>
  </w:footnote>
  <w:footnote w:type="continuationSeparator" w:id="0">
    <w:p w:rsidR="00B526EF" w:rsidRDefault="00B526EF" w:rsidP="00AD44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7F" w:rsidRDefault="00062C77" w:rsidP="00FF407F">
    <w:pPr>
      <w:pStyle w:val="a7"/>
      <w:framePr w:wrap="around" w:vAnchor="text" w:hAnchor="margin" w:xAlign="center" w:y="1"/>
      <w:rPr>
        <w:rStyle w:val="a9"/>
      </w:rPr>
    </w:pPr>
    <w:r>
      <w:rPr>
        <w:rStyle w:val="a9"/>
      </w:rPr>
      <w:fldChar w:fldCharType="begin"/>
    </w:r>
    <w:r w:rsidR="00FF407F">
      <w:rPr>
        <w:rStyle w:val="a9"/>
      </w:rPr>
      <w:instrText xml:space="preserve">PAGE  </w:instrText>
    </w:r>
    <w:r>
      <w:rPr>
        <w:rStyle w:val="a9"/>
      </w:rPr>
      <w:fldChar w:fldCharType="end"/>
    </w:r>
  </w:p>
  <w:p w:rsidR="00FF407F" w:rsidRDefault="00FF407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lvl w:ilvl="2">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lvl w:ilvl="3">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lvl w:ilvl="4">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lvl w:ilvl="5">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lvl w:ilvl="6">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lvl w:ilvl="7">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lvl w:ilvl="8">
      <w:start w:val="1"/>
      <w:numFmt w:val="decimal"/>
      <w:lvlText w:val="%2."/>
      <w:lvlJc w:val="left"/>
      <w:rPr>
        <w:rFonts w:ascii="Times New Roman" w:hAnsi="Times New Roman" w:cs="Times New Roman"/>
        <w:b/>
        <w:bCs/>
        <w:i/>
        <w:iCs/>
        <w:smallCaps w:val="0"/>
        <w:strike w:val="0"/>
        <w:color w:val="000000"/>
        <w:spacing w:val="0"/>
        <w:w w:val="100"/>
        <w:position w:val="0"/>
        <w:sz w:val="17"/>
        <w:szCs w:val="17"/>
        <w:u w:val="none"/>
      </w:rPr>
    </w:lvl>
  </w:abstractNum>
  <w:abstractNum w:abstractNumId="1">
    <w:nsid w:val="0B89486E"/>
    <w:multiLevelType w:val="hybridMultilevel"/>
    <w:tmpl w:val="CC24F9C0"/>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21069B"/>
    <w:multiLevelType w:val="multilevel"/>
    <w:tmpl w:val="B7AE0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4903A8C"/>
    <w:multiLevelType w:val="hybridMultilevel"/>
    <w:tmpl w:val="7DB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F167BBD"/>
    <w:multiLevelType w:val="hybridMultilevel"/>
    <w:tmpl w:val="CA884E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FB67079"/>
    <w:multiLevelType w:val="hybridMultilevel"/>
    <w:tmpl w:val="92D44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E112C8"/>
    <w:multiLevelType w:val="hybridMultilevel"/>
    <w:tmpl w:val="3320A3D4"/>
    <w:lvl w:ilvl="0" w:tplc="7FF669E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4E42C8"/>
    <w:multiLevelType w:val="hybridMultilevel"/>
    <w:tmpl w:val="628C01B2"/>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73C43E7"/>
    <w:multiLevelType w:val="hybridMultilevel"/>
    <w:tmpl w:val="C54210C0"/>
    <w:lvl w:ilvl="0" w:tplc="48AC63E6">
      <w:start w:val="1"/>
      <w:numFmt w:val="decimal"/>
      <w:lvlText w:val="%1."/>
      <w:lvlJc w:val="left"/>
      <w:pPr>
        <w:tabs>
          <w:tab w:val="num" w:pos="720"/>
        </w:tabs>
        <w:ind w:left="720" w:hanging="360"/>
      </w:pPr>
      <w:rPr>
        <w:rFonts w:hint="default"/>
      </w:rPr>
    </w:lvl>
    <w:lvl w:ilvl="1" w:tplc="DC74EE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AB978AC"/>
    <w:multiLevelType w:val="multilevel"/>
    <w:tmpl w:val="17CA11A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F247E95"/>
    <w:multiLevelType w:val="hybridMultilevel"/>
    <w:tmpl w:val="F7E808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BF371A7"/>
    <w:multiLevelType w:val="multilevel"/>
    <w:tmpl w:val="C074CE0A"/>
    <w:lvl w:ilvl="0">
      <w:start w:val="1"/>
      <w:numFmt w:val="decimal"/>
      <w:lvlText w:val="%1."/>
      <w:lvlJc w:val="left"/>
      <w:pPr>
        <w:tabs>
          <w:tab w:val="num" w:pos="425"/>
        </w:tabs>
        <w:ind w:left="425" w:hanging="425"/>
      </w:pPr>
      <w:rPr>
        <w:rFonts w:hint="default"/>
      </w:rPr>
    </w:lvl>
    <w:lvl w:ilvl="1">
      <w:start w:val="1"/>
      <w:numFmt w:val="russianLower"/>
      <w:lvlText w:val="%2)"/>
      <w:lvlJc w:val="left"/>
      <w:pPr>
        <w:tabs>
          <w:tab w:val="num" w:pos="851"/>
        </w:tabs>
        <w:ind w:left="851" w:hanging="426"/>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
  </w:num>
  <w:num w:numId="3">
    <w:abstractNumId w:val="6"/>
  </w:num>
  <w:num w:numId="4">
    <w:abstractNumId w:val="2"/>
  </w:num>
  <w:num w:numId="5">
    <w:abstractNumId w:val="11"/>
  </w:num>
  <w:num w:numId="6">
    <w:abstractNumId w:val="8"/>
  </w:num>
  <w:num w:numId="7">
    <w:abstractNumId w:val="9"/>
  </w:num>
  <w:num w:numId="8">
    <w:abstractNumId w:val="1"/>
  </w:num>
  <w:num w:numId="9">
    <w:abstractNumId w:val="7"/>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02EAA"/>
    <w:rsid w:val="00002711"/>
    <w:rsid w:val="0000277C"/>
    <w:rsid w:val="00002CEB"/>
    <w:rsid w:val="0000536C"/>
    <w:rsid w:val="00007F9C"/>
    <w:rsid w:val="00011416"/>
    <w:rsid w:val="00012129"/>
    <w:rsid w:val="0001215F"/>
    <w:rsid w:val="00012A87"/>
    <w:rsid w:val="000130CE"/>
    <w:rsid w:val="00013F31"/>
    <w:rsid w:val="0001457A"/>
    <w:rsid w:val="00016424"/>
    <w:rsid w:val="0001721E"/>
    <w:rsid w:val="000201D0"/>
    <w:rsid w:val="00020796"/>
    <w:rsid w:val="00021B57"/>
    <w:rsid w:val="000225DF"/>
    <w:rsid w:val="000226F3"/>
    <w:rsid w:val="00024761"/>
    <w:rsid w:val="0002598E"/>
    <w:rsid w:val="00030541"/>
    <w:rsid w:val="0003139F"/>
    <w:rsid w:val="0003299B"/>
    <w:rsid w:val="00032F84"/>
    <w:rsid w:val="0003653F"/>
    <w:rsid w:val="00036A30"/>
    <w:rsid w:val="00036BDD"/>
    <w:rsid w:val="00037B45"/>
    <w:rsid w:val="00037FFE"/>
    <w:rsid w:val="00041FBA"/>
    <w:rsid w:val="00042DE6"/>
    <w:rsid w:val="000445C5"/>
    <w:rsid w:val="00045179"/>
    <w:rsid w:val="0004526E"/>
    <w:rsid w:val="000465C0"/>
    <w:rsid w:val="000467E6"/>
    <w:rsid w:val="00047C9E"/>
    <w:rsid w:val="00050CA7"/>
    <w:rsid w:val="00051AB9"/>
    <w:rsid w:val="00051C6C"/>
    <w:rsid w:val="00052A66"/>
    <w:rsid w:val="000561FD"/>
    <w:rsid w:val="00057C18"/>
    <w:rsid w:val="000600A8"/>
    <w:rsid w:val="000612C6"/>
    <w:rsid w:val="00061D06"/>
    <w:rsid w:val="00062C77"/>
    <w:rsid w:val="00064AF7"/>
    <w:rsid w:val="00065875"/>
    <w:rsid w:val="00065D3E"/>
    <w:rsid w:val="0006633F"/>
    <w:rsid w:val="0006650A"/>
    <w:rsid w:val="00066F1C"/>
    <w:rsid w:val="000675ED"/>
    <w:rsid w:val="00067C35"/>
    <w:rsid w:val="000702AC"/>
    <w:rsid w:val="00070EC3"/>
    <w:rsid w:val="00071A9F"/>
    <w:rsid w:val="00072F0E"/>
    <w:rsid w:val="00073380"/>
    <w:rsid w:val="00073FB7"/>
    <w:rsid w:val="00074483"/>
    <w:rsid w:val="00075A88"/>
    <w:rsid w:val="00075E09"/>
    <w:rsid w:val="00081D62"/>
    <w:rsid w:val="000828A5"/>
    <w:rsid w:val="0008298B"/>
    <w:rsid w:val="00084750"/>
    <w:rsid w:val="00084989"/>
    <w:rsid w:val="00084DC6"/>
    <w:rsid w:val="000856E7"/>
    <w:rsid w:val="00085847"/>
    <w:rsid w:val="000860BB"/>
    <w:rsid w:val="00086227"/>
    <w:rsid w:val="000865A5"/>
    <w:rsid w:val="000872B2"/>
    <w:rsid w:val="00094896"/>
    <w:rsid w:val="00094A35"/>
    <w:rsid w:val="00094E21"/>
    <w:rsid w:val="00095121"/>
    <w:rsid w:val="000956F5"/>
    <w:rsid w:val="00096689"/>
    <w:rsid w:val="00097AEA"/>
    <w:rsid w:val="000A55C0"/>
    <w:rsid w:val="000A56C3"/>
    <w:rsid w:val="000A5CDE"/>
    <w:rsid w:val="000A7C9D"/>
    <w:rsid w:val="000B0FD7"/>
    <w:rsid w:val="000B1652"/>
    <w:rsid w:val="000B1A63"/>
    <w:rsid w:val="000B2FB2"/>
    <w:rsid w:val="000B400F"/>
    <w:rsid w:val="000B7CED"/>
    <w:rsid w:val="000C26C4"/>
    <w:rsid w:val="000C3424"/>
    <w:rsid w:val="000C696B"/>
    <w:rsid w:val="000D4D98"/>
    <w:rsid w:val="000D506A"/>
    <w:rsid w:val="000D602C"/>
    <w:rsid w:val="000D6B66"/>
    <w:rsid w:val="000E0324"/>
    <w:rsid w:val="000E20E7"/>
    <w:rsid w:val="000E25EC"/>
    <w:rsid w:val="000E2E7A"/>
    <w:rsid w:val="000E31FD"/>
    <w:rsid w:val="000E5858"/>
    <w:rsid w:val="000E586A"/>
    <w:rsid w:val="000E59E2"/>
    <w:rsid w:val="000E5B9E"/>
    <w:rsid w:val="000F09D2"/>
    <w:rsid w:val="000F10E4"/>
    <w:rsid w:val="000F1256"/>
    <w:rsid w:val="000F2F47"/>
    <w:rsid w:val="000F3731"/>
    <w:rsid w:val="000F3825"/>
    <w:rsid w:val="000F59D1"/>
    <w:rsid w:val="000F686E"/>
    <w:rsid w:val="000F6CEC"/>
    <w:rsid w:val="000F7D84"/>
    <w:rsid w:val="000F7F9C"/>
    <w:rsid w:val="0010093D"/>
    <w:rsid w:val="00100F26"/>
    <w:rsid w:val="00102CFE"/>
    <w:rsid w:val="00102E0D"/>
    <w:rsid w:val="001035EB"/>
    <w:rsid w:val="0010378D"/>
    <w:rsid w:val="00105B7E"/>
    <w:rsid w:val="001067F8"/>
    <w:rsid w:val="001109B4"/>
    <w:rsid w:val="00112CB1"/>
    <w:rsid w:val="001135C1"/>
    <w:rsid w:val="00114565"/>
    <w:rsid w:val="00115B6C"/>
    <w:rsid w:val="00116ED1"/>
    <w:rsid w:val="0012099D"/>
    <w:rsid w:val="00122084"/>
    <w:rsid w:val="00122320"/>
    <w:rsid w:val="00122CB0"/>
    <w:rsid w:val="00122D55"/>
    <w:rsid w:val="00122E30"/>
    <w:rsid w:val="0012364D"/>
    <w:rsid w:val="001245CF"/>
    <w:rsid w:val="00124912"/>
    <w:rsid w:val="00126999"/>
    <w:rsid w:val="001305DC"/>
    <w:rsid w:val="00131DA8"/>
    <w:rsid w:val="00134F7A"/>
    <w:rsid w:val="00136C78"/>
    <w:rsid w:val="00143517"/>
    <w:rsid w:val="001435AD"/>
    <w:rsid w:val="00145123"/>
    <w:rsid w:val="00150F9C"/>
    <w:rsid w:val="00154D28"/>
    <w:rsid w:val="00155299"/>
    <w:rsid w:val="001561FA"/>
    <w:rsid w:val="00160051"/>
    <w:rsid w:val="00161821"/>
    <w:rsid w:val="00161E10"/>
    <w:rsid w:val="001621A7"/>
    <w:rsid w:val="001621E3"/>
    <w:rsid w:val="00162794"/>
    <w:rsid w:val="00162800"/>
    <w:rsid w:val="001634D2"/>
    <w:rsid w:val="001642DC"/>
    <w:rsid w:val="001643B2"/>
    <w:rsid w:val="00166698"/>
    <w:rsid w:val="00167F5C"/>
    <w:rsid w:val="00170807"/>
    <w:rsid w:val="0017124E"/>
    <w:rsid w:val="001715DF"/>
    <w:rsid w:val="00171B3F"/>
    <w:rsid w:val="00176ADC"/>
    <w:rsid w:val="00180C1C"/>
    <w:rsid w:val="00180D1F"/>
    <w:rsid w:val="0018171C"/>
    <w:rsid w:val="00181770"/>
    <w:rsid w:val="00187214"/>
    <w:rsid w:val="00191F92"/>
    <w:rsid w:val="0019350C"/>
    <w:rsid w:val="00194336"/>
    <w:rsid w:val="00196455"/>
    <w:rsid w:val="001A0065"/>
    <w:rsid w:val="001A0A34"/>
    <w:rsid w:val="001A14FC"/>
    <w:rsid w:val="001A3B74"/>
    <w:rsid w:val="001A3FDC"/>
    <w:rsid w:val="001A5F9B"/>
    <w:rsid w:val="001A634D"/>
    <w:rsid w:val="001A65E6"/>
    <w:rsid w:val="001A78E2"/>
    <w:rsid w:val="001B32E3"/>
    <w:rsid w:val="001B52D5"/>
    <w:rsid w:val="001B53F3"/>
    <w:rsid w:val="001B5841"/>
    <w:rsid w:val="001B67A5"/>
    <w:rsid w:val="001B69FA"/>
    <w:rsid w:val="001B7C40"/>
    <w:rsid w:val="001C098F"/>
    <w:rsid w:val="001C17A2"/>
    <w:rsid w:val="001C2B45"/>
    <w:rsid w:val="001C516C"/>
    <w:rsid w:val="001C6D4A"/>
    <w:rsid w:val="001C793E"/>
    <w:rsid w:val="001C7AE7"/>
    <w:rsid w:val="001C7D89"/>
    <w:rsid w:val="001C7FCB"/>
    <w:rsid w:val="001D07D4"/>
    <w:rsid w:val="001D1FAD"/>
    <w:rsid w:val="001D2943"/>
    <w:rsid w:val="001D3A78"/>
    <w:rsid w:val="001D45FE"/>
    <w:rsid w:val="001D505A"/>
    <w:rsid w:val="001D58C0"/>
    <w:rsid w:val="001D78EB"/>
    <w:rsid w:val="001D7BB6"/>
    <w:rsid w:val="001E00CA"/>
    <w:rsid w:val="001E05EB"/>
    <w:rsid w:val="001E30D5"/>
    <w:rsid w:val="001E36D7"/>
    <w:rsid w:val="001E56C6"/>
    <w:rsid w:val="001E7EF8"/>
    <w:rsid w:val="001F05EA"/>
    <w:rsid w:val="001F1009"/>
    <w:rsid w:val="001F1CA7"/>
    <w:rsid w:val="001F29E2"/>
    <w:rsid w:val="001F434C"/>
    <w:rsid w:val="001F517C"/>
    <w:rsid w:val="001F557A"/>
    <w:rsid w:val="001F7547"/>
    <w:rsid w:val="001F7E30"/>
    <w:rsid w:val="00201686"/>
    <w:rsid w:val="00202B33"/>
    <w:rsid w:val="00202EC9"/>
    <w:rsid w:val="00203654"/>
    <w:rsid w:val="00203A13"/>
    <w:rsid w:val="00206871"/>
    <w:rsid w:val="002075CC"/>
    <w:rsid w:val="0021200B"/>
    <w:rsid w:val="002121BE"/>
    <w:rsid w:val="00212E52"/>
    <w:rsid w:val="002138A1"/>
    <w:rsid w:val="002153D6"/>
    <w:rsid w:val="00216E1C"/>
    <w:rsid w:val="0021739E"/>
    <w:rsid w:val="00217F30"/>
    <w:rsid w:val="00221773"/>
    <w:rsid w:val="002277C6"/>
    <w:rsid w:val="00230A54"/>
    <w:rsid w:val="00232FBD"/>
    <w:rsid w:val="00233641"/>
    <w:rsid w:val="00233755"/>
    <w:rsid w:val="00233CFB"/>
    <w:rsid w:val="00234368"/>
    <w:rsid w:val="00234FE6"/>
    <w:rsid w:val="002352D2"/>
    <w:rsid w:val="00235B31"/>
    <w:rsid w:val="0023646A"/>
    <w:rsid w:val="002372FD"/>
    <w:rsid w:val="00237E46"/>
    <w:rsid w:val="00240487"/>
    <w:rsid w:val="002407A2"/>
    <w:rsid w:val="00240827"/>
    <w:rsid w:val="00240980"/>
    <w:rsid w:val="00241796"/>
    <w:rsid w:val="00244765"/>
    <w:rsid w:val="00245116"/>
    <w:rsid w:val="0025044B"/>
    <w:rsid w:val="00250ECD"/>
    <w:rsid w:val="00251287"/>
    <w:rsid w:val="0025162D"/>
    <w:rsid w:val="0025200C"/>
    <w:rsid w:val="00252CC1"/>
    <w:rsid w:val="00252DFF"/>
    <w:rsid w:val="0025561D"/>
    <w:rsid w:val="00255A51"/>
    <w:rsid w:val="00255F41"/>
    <w:rsid w:val="0026067D"/>
    <w:rsid w:val="00263ABB"/>
    <w:rsid w:val="002667E0"/>
    <w:rsid w:val="00267909"/>
    <w:rsid w:val="002716F5"/>
    <w:rsid w:val="00271951"/>
    <w:rsid w:val="0027249C"/>
    <w:rsid w:val="002726D5"/>
    <w:rsid w:val="0027327E"/>
    <w:rsid w:val="002737CB"/>
    <w:rsid w:val="00273D2A"/>
    <w:rsid w:val="0027437A"/>
    <w:rsid w:val="002744F6"/>
    <w:rsid w:val="00274D4F"/>
    <w:rsid w:val="002767AA"/>
    <w:rsid w:val="00276BED"/>
    <w:rsid w:val="002800F3"/>
    <w:rsid w:val="00281FBE"/>
    <w:rsid w:val="002825E5"/>
    <w:rsid w:val="00282F8D"/>
    <w:rsid w:val="0028377D"/>
    <w:rsid w:val="002846AC"/>
    <w:rsid w:val="00284A3A"/>
    <w:rsid w:val="002855FC"/>
    <w:rsid w:val="00285785"/>
    <w:rsid w:val="00285B00"/>
    <w:rsid w:val="00285DE6"/>
    <w:rsid w:val="00286B8A"/>
    <w:rsid w:val="00287B9B"/>
    <w:rsid w:val="00287C28"/>
    <w:rsid w:val="00293F81"/>
    <w:rsid w:val="00295AAB"/>
    <w:rsid w:val="00296513"/>
    <w:rsid w:val="00296916"/>
    <w:rsid w:val="00297632"/>
    <w:rsid w:val="00297B47"/>
    <w:rsid w:val="002A0288"/>
    <w:rsid w:val="002A06AC"/>
    <w:rsid w:val="002A1211"/>
    <w:rsid w:val="002A14E5"/>
    <w:rsid w:val="002A20F4"/>
    <w:rsid w:val="002A22DC"/>
    <w:rsid w:val="002A2320"/>
    <w:rsid w:val="002A37D7"/>
    <w:rsid w:val="002A3A12"/>
    <w:rsid w:val="002A3F96"/>
    <w:rsid w:val="002A486F"/>
    <w:rsid w:val="002A6143"/>
    <w:rsid w:val="002B447E"/>
    <w:rsid w:val="002B5334"/>
    <w:rsid w:val="002B5B60"/>
    <w:rsid w:val="002B7D71"/>
    <w:rsid w:val="002C1259"/>
    <w:rsid w:val="002C26E7"/>
    <w:rsid w:val="002C2BF1"/>
    <w:rsid w:val="002C30B4"/>
    <w:rsid w:val="002C341A"/>
    <w:rsid w:val="002C4137"/>
    <w:rsid w:val="002C5DF2"/>
    <w:rsid w:val="002C60ED"/>
    <w:rsid w:val="002C7142"/>
    <w:rsid w:val="002D1CBE"/>
    <w:rsid w:val="002D54BA"/>
    <w:rsid w:val="002D70F7"/>
    <w:rsid w:val="002D7F17"/>
    <w:rsid w:val="002E0F1D"/>
    <w:rsid w:val="002E355D"/>
    <w:rsid w:val="002E7396"/>
    <w:rsid w:val="002E75CD"/>
    <w:rsid w:val="002E7A87"/>
    <w:rsid w:val="002E7A9C"/>
    <w:rsid w:val="002F05B3"/>
    <w:rsid w:val="002F06DB"/>
    <w:rsid w:val="002F2D37"/>
    <w:rsid w:val="002F41C9"/>
    <w:rsid w:val="002F57D5"/>
    <w:rsid w:val="003012F9"/>
    <w:rsid w:val="0030130C"/>
    <w:rsid w:val="0030148E"/>
    <w:rsid w:val="00301B7A"/>
    <w:rsid w:val="003024A0"/>
    <w:rsid w:val="00310258"/>
    <w:rsid w:val="00310CEB"/>
    <w:rsid w:val="00311EDD"/>
    <w:rsid w:val="003130E1"/>
    <w:rsid w:val="003131B9"/>
    <w:rsid w:val="00314765"/>
    <w:rsid w:val="00314C13"/>
    <w:rsid w:val="0031597A"/>
    <w:rsid w:val="00315C26"/>
    <w:rsid w:val="00315E8D"/>
    <w:rsid w:val="00316DC7"/>
    <w:rsid w:val="00320B17"/>
    <w:rsid w:val="00320B7E"/>
    <w:rsid w:val="00320F10"/>
    <w:rsid w:val="0032395C"/>
    <w:rsid w:val="003240DF"/>
    <w:rsid w:val="003245E8"/>
    <w:rsid w:val="00324869"/>
    <w:rsid w:val="00325681"/>
    <w:rsid w:val="00327863"/>
    <w:rsid w:val="003313F2"/>
    <w:rsid w:val="00331BE1"/>
    <w:rsid w:val="00334667"/>
    <w:rsid w:val="0033540C"/>
    <w:rsid w:val="00335804"/>
    <w:rsid w:val="00336232"/>
    <w:rsid w:val="003371CF"/>
    <w:rsid w:val="00337AD1"/>
    <w:rsid w:val="003406D8"/>
    <w:rsid w:val="00340CB7"/>
    <w:rsid w:val="00340DDB"/>
    <w:rsid w:val="003417F3"/>
    <w:rsid w:val="00342269"/>
    <w:rsid w:val="00342888"/>
    <w:rsid w:val="00346091"/>
    <w:rsid w:val="00346C00"/>
    <w:rsid w:val="00346E85"/>
    <w:rsid w:val="0035096D"/>
    <w:rsid w:val="00350F90"/>
    <w:rsid w:val="00351F57"/>
    <w:rsid w:val="00353920"/>
    <w:rsid w:val="0035607A"/>
    <w:rsid w:val="00356659"/>
    <w:rsid w:val="00357108"/>
    <w:rsid w:val="003576AD"/>
    <w:rsid w:val="003604DC"/>
    <w:rsid w:val="00361B24"/>
    <w:rsid w:val="00362E0E"/>
    <w:rsid w:val="00363179"/>
    <w:rsid w:val="0036319C"/>
    <w:rsid w:val="00363ADA"/>
    <w:rsid w:val="003661BF"/>
    <w:rsid w:val="00367AD3"/>
    <w:rsid w:val="00370C9A"/>
    <w:rsid w:val="00371306"/>
    <w:rsid w:val="00372EFC"/>
    <w:rsid w:val="003758D9"/>
    <w:rsid w:val="00375A5F"/>
    <w:rsid w:val="00376019"/>
    <w:rsid w:val="0037622B"/>
    <w:rsid w:val="00376A89"/>
    <w:rsid w:val="00376CCC"/>
    <w:rsid w:val="00377CB2"/>
    <w:rsid w:val="00380AEA"/>
    <w:rsid w:val="0038110B"/>
    <w:rsid w:val="00381542"/>
    <w:rsid w:val="00382047"/>
    <w:rsid w:val="00382989"/>
    <w:rsid w:val="00382C43"/>
    <w:rsid w:val="00382D9E"/>
    <w:rsid w:val="00382E46"/>
    <w:rsid w:val="00382F07"/>
    <w:rsid w:val="00384333"/>
    <w:rsid w:val="00385B1F"/>
    <w:rsid w:val="0038657D"/>
    <w:rsid w:val="003872AF"/>
    <w:rsid w:val="003905D4"/>
    <w:rsid w:val="00392062"/>
    <w:rsid w:val="00392994"/>
    <w:rsid w:val="00393ABB"/>
    <w:rsid w:val="00394602"/>
    <w:rsid w:val="00395FF2"/>
    <w:rsid w:val="00396BED"/>
    <w:rsid w:val="00396D4B"/>
    <w:rsid w:val="003970C5"/>
    <w:rsid w:val="003973A8"/>
    <w:rsid w:val="00397BD5"/>
    <w:rsid w:val="003A1604"/>
    <w:rsid w:val="003A1BBD"/>
    <w:rsid w:val="003A353B"/>
    <w:rsid w:val="003A52D2"/>
    <w:rsid w:val="003A602D"/>
    <w:rsid w:val="003A6074"/>
    <w:rsid w:val="003A7EB8"/>
    <w:rsid w:val="003B034E"/>
    <w:rsid w:val="003B1181"/>
    <w:rsid w:val="003B1C91"/>
    <w:rsid w:val="003B5A18"/>
    <w:rsid w:val="003B764E"/>
    <w:rsid w:val="003C1CF7"/>
    <w:rsid w:val="003C3B60"/>
    <w:rsid w:val="003C3EBF"/>
    <w:rsid w:val="003C48E1"/>
    <w:rsid w:val="003C6C99"/>
    <w:rsid w:val="003D0855"/>
    <w:rsid w:val="003D1475"/>
    <w:rsid w:val="003D1994"/>
    <w:rsid w:val="003D2419"/>
    <w:rsid w:val="003D2605"/>
    <w:rsid w:val="003D2D4F"/>
    <w:rsid w:val="003D2ED1"/>
    <w:rsid w:val="003D5CB7"/>
    <w:rsid w:val="003D64B4"/>
    <w:rsid w:val="003D73D9"/>
    <w:rsid w:val="003D7634"/>
    <w:rsid w:val="003E1661"/>
    <w:rsid w:val="003E22FA"/>
    <w:rsid w:val="003E2E13"/>
    <w:rsid w:val="003E460F"/>
    <w:rsid w:val="003E467F"/>
    <w:rsid w:val="003E4E91"/>
    <w:rsid w:val="003E5C1C"/>
    <w:rsid w:val="003E635C"/>
    <w:rsid w:val="003E6D5E"/>
    <w:rsid w:val="003E76FC"/>
    <w:rsid w:val="003F05E4"/>
    <w:rsid w:val="003F0FA4"/>
    <w:rsid w:val="003F1DB5"/>
    <w:rsid w:val="003F241B"/>
    <w:rsid w:val="003F3226"/>
    <w:rsid w:val="003F39A8"/>
    <w:rsid w:val="003F5070"/>
    <w:rsid w:val="003F6164"/>
    <w:rsid w:val="003F65B5"/>
    <w:rsid w:val="003F768E"/>
    <w:rsid w:val="003F7FE8"/>
    <w:rsid w:val="00400A80"/>
    <w:rsid w:val="00402443"/>
    <w:rsid w:val="00403642"/>
    <w:rsid w:val="00403DF7"/>
    <w:rsid w:val="004049F8"/>
    <w:rsid w:val="00412CE0"/>
    <w:rsid w:val="00413688"/>
    <w:rsid w:val="00413CF5"/>
    <w:rsid w:val="004144EF"/>
    <w:rsid w:val="00415636"/>
    <w:rsid w:val="004164BA"/>
    <w:rsid w:val="004178CE"/>
    <w:rsid w:val="00420583"/>
    <w:rsid w:val="004209CF"/>
    <w:rsid w:val="00422789"/>
    <w:rsid w:val="004232CC"/>
    <w:rsid w:val="00423764"/>
    <w:rsid w:val="00426817"/>
    <w:rsid w:val="0042712B"/>
    <w:rsid w:val="0043038A"/>
    <w:rsid w:val="00430CBC"/>
    <w:rsid w:val="00433680"/>
    <w:rsid w:val="00434BC5"/>
    <w:rsid w:val="0043705F"/>
    <w:rsid w:val="004376E6"/>
    <w:rsid w:val="004434CF"/>
    <w:rsid w:val="00443C5F"/>
    <w:rsid w:val="0044490C"/>
    <w:rsid w:val="0044509C"/>
    <w:rsid w:val="00447C24"/>
    <w:rsid w:val="00447DA2"/>
    <w:rsid w:val="00447F2D"/>
    <w:rsid w:val="00451283"/>
    <w:rsid w:val="00451D66"/>
    <w:rsid w:val="004546AF"/>
    <w:rsid w:val="00456492"/>
    <w:rsid w:val="004572C3"/>
    <w:rsid w:val="004572E7"/>
    <w:rsid w:val="00457782"/>
    <w:rsid w:val="0045797C"/>
    <w:rsid w:val="00464E8E"/>
    <w:rsid w:val="00465EC6"/>
    <w:rsid w:val="00466206"/>
    <w:rsid w:val="00466DDB"/>
    <w:rsid w:val="004674BA"/>
    <w:rsid w:val="004678B1"/>
    <w:rsid w:val="00470A10"/>
    <w:rsid w:val="00470FC3"/>
    <w:rsid w:val="0047462E"/>
    <w:rsid w:val="00476E3F"/>
    <w:rsid w:val="00477605"/>
    <w:rsid w:val="004778EE"/>
    <w:rsid w:val="00477C79"/>
    <w:rsid w:val="00477D3A"/>
    <w:rsid w:val="00482F0F"/>
    <w:rsid w:val="00485A63"/>
    <w:rsid w:val="00487C99"/>
    <w:rsid w:val="00492AF2"/>
    <w:rsid w:val="00493335"/>
    <w:rsid w:val="00495CED"/>
    <w:rsid w:val="00495D9B"/>
    <w:rsid w:val="0049649F"/>
    <w:rsid w:val="00496E90"/>
    <w:rsid w:val="004A165D"/>
    <w:rsid w:val="004A1BB7"/>
    <w:rsid w:val="004A1E58"/>
    <w:rsid w:val="004A3070"/>
    <w:rsid w:val="004A32B6"/>
    <w:rsid w:val="004A4E79"/>
    <w:rsid w:val="004A5132"/>
    <w:rsid w:val="004A72F5"/>
    <w:rsid w:val="004A7BF4"/>
    <w:rsid w:val="004B09A6"/>
    <w:rsid w:val="004B0DB3"/>
    <w:rsid w:val="004B105F"/>
    <w:rsid w:val="004B2568"/>
    <w:rsid w:val="004B2A71"/>
    <w:rsid w:val="004B4766"/>
    <w:rsid w:val="004B5B6A"/>
    <w:rsid w:val="004B7EAD"/>
    <w:rsid w:val="004C084C"/>
    <w:rsid w:val="004C0B6C"/>
    <w:rsid w:val="004C1B9E"/>
    <w:rsid w:val="004C502A"/>
    <w:rsid w:val="004C508A"/>
    <w:rsid w:val="004C6E6A"/>
    <w:rsid w:val="004D12FC"/>
    <w:rsid w:val="004D7B3D"/>
    <w:rsid w:val="004E39E7"/>
    <w:rsid w:val="004F2CEC"/>
    <w:rsid w:val="004F36C4"/>
    <w:rsid w:val="004F3CA8"/>
    <w:rsid w:val="004F4180"/>
    <w:rsid w:val="004F430D"/>
    <w:rsid w:val="004F5B1F"/>
    <w:rsid w:val="004F5B91"/>
    <w:rsid w:val="004F5F92"/>
    <w:rsid w:val="004F63B7"/>
    <w:rsid w:val="004F6994"/>
    <w:rsid w:val="00501717"/>
    <w:rsid w:val="00501AE0"/>
    <w:rsid w:val="00505DAF"/>
    <w:rsid w:val="00507185"/>
    <w:rsid w:val="00507CE6"/>
    <w:rsid w:val="00510B22"/>
    <w:rsid w:val="00511B9A"/>
    <w:rsid w:val="0051207E"/>
    <w:rsid w:val="005125AE"/>
    <w:rsid w:val="00512632"/>
    <w:rsid w:val="00514C08"/>
    <w:rsid w:val="005154CA"/>
    <w:rsid w:val="005155E1"/>
    <w:rsid w:val="00515B16"/>
    <w:rsid w:val="005168C1"/>
    <w:rsid w:val="00520B9D"/>
    <w:rsid w:val="005221C9"/>
    <w:rsid w:val="00523866"/>
    <w:rsid w:val="00523A5C"/>
    <w:rsid w:val="0053003F"/>
    <w:rsid w:val="0053010C"/>
    <w:rsid w:val="005304E8"/>
    <w:rsid w:val="005315D3"/>
    <w:rsid w:val="00531E83"/>
    <w:rsid w:val="00532B63"/>
    <w:rsid w:val="00532E42"/>
    <w:rsid w:val="00534B2B"/>
    <w:rsid w:val="005356F2"/>
    <w:rsid w:val="00535CA2"/>
    <w:rsid w:val="00537CE1"/>
    <w:rsid w:val="00537FBD"/>
    <w:rsid w:val="005400AE"/>
    <w:rsid w:val="00544D76"/>
    <w:rsid w:val="00544F42"/>
    <w:rsid w:val="00546899"/>
    <w:rsid w:val="00546D91"/>
    <w:rsid w:val="00547038"/>
    <w:rsid w:val="005502F3"/>
    <w:rsid w:val="00551625"/>
    <w:rsid w:val="00554C58"/>
    <w:rsid w:val="00555BA2"/>
    <w:rsid w:val="00557054"/>
    <w:rsid w:val="00557496"/>
    <w:rsid w:val="00557ACB"/>
    <w:rsid w:val="005626CC"/>
    <w:rsid w:val="00565A09"/>
    <w:rsid w:val="00566105"/>
    <w:rsid w:val="005666D1"/>
    <w:rsid w:val="0057378F"/>
    <w:rsid w:val="00573DEF"/>
    <w:rsid w:val="00575767"/>
    <w:rsid w:val="005775CF"/>
    <w:rsid w:val="0057784D"/>
    <w:rsid w:val="00580836"/>
    <w:rsid w:val="00581256"/>
    <w:rsid w:val="00582F08"/>
    <w:rsid w:val="00585210"/>
    <w:rsid w:val="00585BD9"/>
    <w:rsid w:val="005867BE"/>
    <w:rsid w:val="005906BB"/>
    <w:rsid w:val="0059171C"/>
    <w:rsid w:val="00591806"/>
    <w:rsid w:val="00592597"/>
    <w:rsid w:val="00592987"/>
    <w:rsid w:val="00594FC4"/>
    <w:rsid w:val="00596A81"/>
    <w:rsid w:val="00597195"/>
    <w:rsid w:val="005A0454"/>
    <w:rsid w:val="005A0EBA"/>
    <w:rsid w:val="005A1B2C"/>
    <w:rsid w:val="005A375A"/>
    <w:rsid w:val="005A577B"/>
    <w:rsid w:val="005B01F5"/>
    <w:rsid w:val="005B2500"/>
    <w:rsid w:val="005B27EF"/>
    <w:rsid w:val="005B316E"/>
    <w:rsid w:val="005B336B"/>
    <w:rsid w:val="005B7C2C"/>
    <w:rsid w:val="005B7D70"/>
    <w:rsid w:val="005C0C85"/>
    <w:rsid w:val="005C127C"/>
    <w:rsid w:val="005C167B"/>
    <w:rsid w:val="005C28D7"/>
    <w:rsid w:val="005C3B40"/>
    <w:rsid w:val="005C3FAD"/>
    <w:rsid w:val="005C3FF4"/>
    <w:rsid w:val="005C56DC"/>
    <w:rsid w:val="005C672D"/>
    <w:rsid w:val="005C6CF7"/>
    <w:rsid w:val="005D226F"/>
    <w:rsid w:val="005D4D88"/>
    <w:rsid w:val="005D5742"/>
    <w:rsid w:val="005D575D"/>
    <w:rsid w:val="005D60BB"/>
    <w:rsid w:val="005D7AE1"/>
    <w:rsid w:val="005E1192"/>
    <w:rsid w:val="005E1B33"/>
    <w:rsid w:val="005E2A7C"/>
    <w:rsid w:val="005E3F62"/>
    <w:rsid w:val="005E54DB"/>
    <w:rsid w:val="005E5E92"/>
    <w:rsid w:val="005E611A"/>
    <w:rsid w:val="005E740B"/>
    <w:rsid w:val="005F1014"/>
    <w:rsid w:val="005F213B"/>
    <w:rsid w:val="005F5F77"/>
    <w:rsid w:val="005F66BF"/>
    <w:rsid w:val="005F7282"/>
    <w:rsid w:val="005F74D1"/>
    <w:rsid w:val="00600DF1"/>
    <w:rsid w:val="006018CD"/>
    <w:rsid w:val="006021EF"/>
    <w:rsid w:val="0061089C"/>
    <w:rsid w:val="00611A5A"/>
    <w:rsid w:val="00611FEE"/>
    <w:rsid w:val="006136A0"/>
    <w:rsid w:val="00614CA4"/>
    <w:rsid w:val="00614CEF"/>
    <w:rsid w:val="00616176"/>
    <w:rsid w:val="006167FA"/>
    <w:rsid w:val="006173E8"/>
    <w:rsid w:val="00617B6E"/>
    <w:rsid w:val="006209D0"/>
    <w:rsid w:val="00620C98"/>
    <w:rsid w:val="006216DD"/>
    <w:rsid w:val="006220E7"/>
    <w:rsid w:val="00622617"/>
    <w:rsid w:val="00622A22"/>
    <w:rsid w:val="006266FC"/>
    <w:rsid w:val="00630C87"/>
    <w:rsid w:val="006310D4"/>
    <w:rsid w:val="00631B32"/>
    <w:rsid w:val="00634098"/>
    <w:rsid w:val="00634863"/>
    <w:rsid w:val="00635795"/>
    <w:rsid w:val="00635E45"/>
    <w:rsid w:val="00635EE4"/>
    <w:rsid w:val="00636FD0"/>
    <w:rsid w:val="00640311"/>
    <w:rsid w:val="00640D06"/>
    <w:rsid w:val="006411D9"/>
    <w:rsid w:val="00641E69"/>
    <w:rsid w:val="00642715"/>
    <w:rsid w:val="006443FA"/>
    <w:rsid w:val="00645536"/>
    <w:rsid w:val="00646ACB"/>
    <w:rsid w:val="00651EC5"/>
    <w:rsid w:val="00654CF2"/>
    <w:rsid w:val="006563F1"/>
    <w:rsid w:val="00656D2D"/>
    <w:rsid w:val="006602DD"/>
    <w:rsid w:val="006605E8"/>
    <w:rsid w:val="00660843"/>
    <w:rsid w:val="006619E1"/>
    <w:rsid w:val="006620E1"/>
    <w:rsid w:val="0066250F"/>
    <w:rsid w:val="00662A67"/>
    <w:rsid w:val="0066325F"/>
    <w:rsid w:val="006633D6"/>
    <w:rsid w:val="00663D1E"/>
    <w:rsid w:val="0066466E"/>
    <w:rsid w:val="0066484E"/>
    <w:rsid w:val="00664FDD"/>
    <w:rsid w:val="006650CE"/>
    <w:rsid w:val="00665538"/>
    <w:rsid w:val="00671A08"/>
    <w:rsid w:val="006737E2"/>
    <w:rsid w:val="00673928"/>
    <w:rsid w:val="00673FDE"/>
    <w:rsid w:val="0067470F"/>
    <w:rsid w:val="00674BD8"/>
    <w:rsid w:val="006752D8"/>
    <w:rsid w:val="00676541"/>
    <w:rsid w:val="00677147"/>
    <w:rsid w:val="006775CD"/>
    <w:rsid w:val="006778BA"/>
    <w:rsid w:val="00680365"/>
    <w:rsid w:val="0068319B"/>
    <w:rsid w:val="006833C0"/>
    <w:rsid w:val="006857D1"/>
    <w:rsid w:val="006859D2"/>
    <w:rsid w:val="006866A4"/>
    <w:rsid w:val="00686761"/>
    <w:rsid w:val="006874A3"/>
    <w:rsid w:val="00690728"/>
    <w:rsid w:val="0069228F"/>
    <w:rsid w:val="006922C2"/>
    <w:rsid w:val="00692F9C"/>
    <w:rsid w:val="00693686"/>
    <w:rsid w:val="00693886"/>
    <w:rsid w:val="00693A31"/>
    <w:rsid w:val="00694795"/>
    <w:rsid w:val="00694A72"/>
    <w:rsid w:val="00694B96"/>
    <w:rsid w:val="00695012"/>
    <w:rsid w:val="00696D6B"/>
    <w:rsid w:val="006A01C0"/>
    <w:rsid w:val="006A0235"/>
    <w:rsid w:val="006A0F6C"/>
    <w:rsid w:val="006A20FA"/>
    <w:rsid w:val="006A3629"/>
    <w:rsid w:val="006A3A16"/>
    <w:rsid w:val="006A3BF3"/>
    <w:rsid w:val="006A41FE"/>
    <w:rsid w:val="006A68ED"/>
    <w:rsid w:val="006A78C0"/>
    <w:rsid w:val="006B07C6"/>
    <w:rsid w:val="006B1669"/>
    <w:rsid w:val="006B22F5"/>
    <w:rsid w:val="006B34A2"/>
    <w:rsid w:val="006B5316"/>
    <w:rsid w:val="006B5F20"/>
    <w:rsid w:val="006B75FE"/>
    <w:rsid w:val="006B7DE9"/>
    <w:rsid w:val="006C234D"/>
    <w:rsid w:val="006C2D5F"/>
    <w:rsid w:val="006C4A37"/>
    <w:rsid w:val="006C6230"/>
    <w:rsid w:val="006C66BA"/>
    <w:rsid w:val="006C692D"/>
    <w:rsid w:val="006C77D2"/>
    <w:rsid w:val="006C790E"/>
    <w:rsid w:val="006D0FDA"/>
    <w:rsid w:val="006D1E97"/>
    <w:rsid w:val="006D51C3"/>
    <w:rsid w:val="006D6156"/>
    <w:rsid w:val="006E301F"/>
    <w:rsid w:val="006E3222"/>
    <w:rsid w:val="006E3716"/>
    <w:rsid w:val="006E49C5"/>
    <w:rsid w:val="006E6164"/>
    <w:rsid w:val="006E6636"/>
    <w:rsid w:val="006E733B"/>
    <w:rsid w:val="006F1F9D"/>
    <w:rsid w:val="006F20F4"/>
    <w:rsid w:val="006F2714"/>
    <w:rsid w:val="006F29FC"/>
    <w:rsid w:val="006F47A4"/>
    <w:rsid w:val="006F5974"/>
    <w:rsid w:val="006F6520"/>
    <w:rsid w:val="006F71FC"/>
    <w:rsid w:val="007010EA"/>
    <w:rsid w:val="0070250E"/>
    <w:rsid w:val="00703F51"/>
    <w:rsid w:val="007043BC"/>
    <w:rsid w:val="0070577E"/>
    <w:rsid w:val="00705DCE"/>
    <w:rsid w:val="0070644E"/>
    <w:rsid w:val="0070793B"/>
    <w:rsid w:val="00707D5F"/>
    <w:rsid w:val="007136AD"/>
    <w:rsid w:val="00714456"/>
    <w:rsid w:val="00715D76"/>
    <w:rsid w:val="00716ECC"/>
    <w:rsid w:val="00717A25"/>
    <w:rsid w:val="00717DB0"/>
    <w:rsid w:val="0072031C"/>
    <w:rsid w:val="007204A3"/>
    <w:rsid w:val="0072125C"/>
    <w:rsid w:val="00721B17"/>
    <w:rsid w:val="00722B15"/>
    <w:rsid w:val="00722B4B"/>
    <w:rsid w:val="00724080"/>
    <w:rsid w:val="007247EB"/>
    <w:rsid w:val="007259DB"/>
    <w:rsid w:val="00725B0E"/>
    <w:rsid w:val="00727D2E"/>
    <w:rsid w:val="007316E1"/>
    <w:rsid w:val="00731F44"/>
    <w:rsid w:val="00732684"/>
    <w:rsid w:val="00734870"/>
    <w:rsid w:val="007356CC"/>
    <w:rsid w:val="007356E8"/>
    <w:rsid w:val="007358F3"/>
    <w:rsid w:val="00736967"/>
    <w:rsid w:val="0073723D"/>
    <w:rsid w:val="00737892"/>
    <w:rsid w:val="007408BD"/>
    <w:rsid w:val="00743FDF"/>
    <w:rsid w:val="007455EC"/>
    <w:rsid w:val="007509ED"/>
    <w:rsid w:val="00750CAD"/>
    <w:rsid w:val="007518A6"/>
    <w:rsid w:val="0075247A"/>
    <w:rsid w:val="00752E6D"/>
    <w:rsid w:val="00753755"/>
    <w:rsid w:val="007551C1"/>
    <w:rsid w:val="0075689D"/>
    <w:rsid w:val="00757309"/>
    <w:rsid w:val="00761993"/>
    <w:rsid w:val="00763AB7"/>
    <w:rsid w:val="00765B18"/>
    <w:rsid w:val="0076620D"/>
    <w:rsid w:val="0076720D"/>
    <w:rsid w:val="00767AB8"/>
    <w:rsid w:val="00770A9A"/>
    <w:rsid w:val="00770AAE"/>
    <w:rsid w:val="0077172F"/>
    <w:rsid w:val="00773146"/>
    <w:rsid w:val="007744E7"/>
    <w:rsid w:val="00774877"/>
    <w:rsid w:val="007756CD"/>
    <w:rsid w:val="0077709D"/>
    <w:rsid w:val="00777FDB"/>
    <w:rsid w:val="007842C6"/>
    <w:rsid w:val="00784464"/>
    <w:rsid w:val="007857BF"/>
    <w:rsid w:val="00786100"/>
    <w:rsid w:val="00787C22"/>
    <w:rsid w:val="00791C56"/>
    <w:rsid w:val="00795074"/>
    <w:rsid w:val="0079536C"/>
    <w:rsid w:val="007968B8"/>
    <w:rsid w:val="007A1911"/>
    <w:rsid w:val="007A404C"/>
    <w:rsid w:val="007A45B4"/>
    <w:rsid w:val="007A45B7"/>
    <w:rsid w:val="007A4CB4"/>
    <w:rsid w:val="007A6075"/>
    <w:rsid w:val="007A6C2E"/>
    <w:rsid w:val="007B0429"/>
    <w:rsid w:val="007B0C21"/>
    <w:rsid w:val="007B6321"/>
    <w:rsid w:val="007B6C75"/>
    <w:rsid w:val="007B705E"/>
    <w:rsid w:val="007B73B6"/>
    <w:rsid w:val="007B7C29"/>
    <w:rsid w:val="007C10C5"/>
    <w:rsid w:val="007C4F92"/>
    <w:rsid w:val="007C5BF4"/>
    <w:rsid w:val="007C5C7C"/>
    <w:rsid w:val="007C7B33"/>
    <w:rsid w:val="007D171E"/>
    <w:rsid w:val="007D2A13"/>
    <w:rsid w:val="007D2BDB"/>
    <w:rsid w:val="007D5668"/>
    <w:rsid w:val="007D5F77"/>
    <w:rsid w:val="007D6E0D"/>
    <w:rsid w:val="007D71AF"/>
    <w:rsid w:val="007E073E"/>
    <w:rsid w:val="007E254B"/>
    <w:rsid w:val="007E278D"/>
    <w:rsid w:val="007E2D2E"/>
    <w:rsid w:val="007E319E"/>
    <w:rsid w:val="007E39F8"/>
    <w:rsid w:val="007E5214"/>
    <w:rsid w:val="007E6A63"/>
    <w:rsid w:val="007E720C"/>
    <w:rsid w:val="007E73E8"/>
    <w:rsid w:val="007E740F"/>
    <w:rsid w:val="007E7CEA"/>
    <w:rsid w:val="007E7D34"/>
    <w:rsid w:val="007F0103"/>
    <w:rsid w:val="007F18DA"/>
    <w:rsid w:val="007F39DC"/>
    <w:rsid w:val="007F3B49"/>
    <w:rsid w:val="007F4954"/>
    <w:rsid w:val="007F4F9A"/>
    <w:rsid w:val="00800DD7"/>
    <w:rsid w:val="00801817"/>
    <w:rsid w:val="00803321"/>
    <w:rsid w:val="00803997"/>
    <w:rsid w:val="00804B67"/>
    <w:rsid w:val="008059E7"/>
    <w:rsid w:val="00805CB3"/>
    <w:rsid w:val="00806889"/>
    <w:rsid w:val="00807AC2"/>
    <w:rsid w:val="00810C3F"/>
    <w:rsid w:val="008113C1"/>
    <w:rsid w:val="00812101"/>
    <w:rsid w:val="00812620"/>
    <w:rsid w:val="00813650"/>
    <w:rsid w:val="00815538"/>
    <w:rsid w:val="00815AAD"/>
    <w:rsid w:val="00816C69"/>
    <w:rsid w:val="00820AA4"/>
    <w:rsid w:val="00821038"/>
    <w:rsid w:val="00821677"/>
    <w:rsid w:val="008226B1"/>
    <w:rsid w:val="00822871"/>
    <w:rsid w:val="00822FF0"/>
    <w:rsid w:val="00823B13"/>
    <w:rsid w:val="00825344"/>
    <w:rsid w:val="00825781"/>
    <w:rsid w:val="008261ED"/>
    <w:rsid w:val="008302AE"/>
    <w:rsid w:val="00831386"/>
    <w:rsid w:val="008330E9"/>
    <w:rsid w:val="00833192"/>
    <w:rsid w:val="008351E4"/>
    <w:rsid w:val="00835702"/>
    <w:rsid w:val="0083629D"/>
    <w:rsid w:val="00840B7B"/>
    <w:rsid w:val="008423B3"/>
    <w:rsid w:val="00842908"/>
    <w:rsid w:val="00845453"/>
    <w:rsid w:val="00845708"/>
    <w:rsid w:val="00845CC2"/>
    <w:rsid w:val="00846BA0"/>
    <w:rsid w:val="0085021C"/>
    <w:rsid w:val="00851863"/>
    <w:rsid w:val="00851B68"/>
    <w:rsid w:val="00852257"/>
    <w:rsid w:val="0085370F"/>
    <w:rsid w:val="00853D6E"/>
    <w:rsid w:val="008550D9"/>
    <w:rsid w:val="00856387"/>
    <w:rsid w:val="00856D8D"/>
    <w:rsid w:val="00857DD4"/>
    <w:rsid w:val="00860F4D"/>
    <w:rsid w:val="008620B2"/>
    <w:rsid w:val="008634B7"/>
    <w:rsid w:val="00863766"/>
    <w:rsid w:val="00865B55"/>
    <w:rsid w:val="0086671E"/>
    <w:rsid w:val="00866BF5"/>
    <w:rsid w:val="00873DA0"/>
    <w:rsid w:val="00874D27"/>
    <w:rsid w:val="0087558F"/>
    <w:rsid w:val="00876405"/>
    <w:rsid w:val="00876D63"/>
    <w:rsid w:val="00883274"/>
    <w:rsid w:val="008835F8"/>
    <w:rsid w:val="00884304"/>
    <w:rsid w:val="0088507B"/>
    <w:rsid w:val="0088579A"/>
    <w:rsid w:val="00886063"/>
    <w:rsid w:val="00886E6F"/>
    <w:rsid w:val="0088772C"/>
    <w:rsid w:val="0089120A"/>
    <w:rsid w:val="00891D04"/>
    <w:rsid w:val="00891D13"/>
    <w:rsid w:val="00893E0F"/>
    <w:rsid w:val="00893E9A"/>
    <w:rsid w:val="008948E0"/>
    <w:rsid w:val="00895C03"/>
    <w:rsid w:val="0089735F"/>
    <w:rsid w:val="008977BC"/>
    <w:rsid w:val="008A03B7"/>
    <w:rsid w:val="008A0B04"/>
    <w:rsid w:val="008A0CF5"/>
    <w:rsid w:val="008A30EE"/>
    <w:rsid w:val="008A3B89"/>
    <w:rsid w:val="008A52D9"/>
    <w:rsid w:val="008A61AB"/>
    <w:rsid w:val="008A620C"/>
    <w:rsid w:val="008A726E"/>
    <w:rsid w:val="008A7681"/>
    <w:rsid w:val="008B0B10"/>
    <w:rsid w:val="008B0C19"/>
    <w:rsid w:val="008B1379"/>
    <w:rsid w:val="008B13D1"/>
    <w:rsid w:val="008B18E7"/>
    <w:rsid w:val="008B28E1"/>
    <w:rsid w:val="008B3999"/>
    <w:rsid w:val="008B5CD6"/>
    <w:rsid w:val="008B695D"/>
    <w:rsid w:val="008C16A5"/>
    <w:rsid w:val="008C3D56"/>
    <w:rsid w:val="008C6B63"/>
    <w:rsid w:val="008C772B"/>
    <w:rsid w:val="008D0A3E"/>
    <w:rsid w:val="008D1D96"/>
    <w:rsid w:val="008D23A9"/>
    <w:rsid w:val="008D2A0E"/>
    <w:rsid w:val="008D494F"/>
    <w:rsid w:val="008D4CD3"/>
    <w:rsid w:val="008D5A1E"/>
    <w:rsid w:val="008D74B2"/>
    <w:rsid w:val="008D795B"/>
    <w:rsid w:val="008E1FC4"/>
    <w:rsid w:val="008E27AD"/>
    <w:rsid w:val="008E3058"/>
    <w:rsid w:val="008E3D8A"/>
    <w:rsid w:val="008E3D9D"/>
    <w:rsid w:val="008E55B9"/>
    <w:rsid w:val="008E6A94"/>
    <w:rsid w:val="008E7772"/>
    <w:rsid w:val="008E7F52"/>
    <w:rsid w:val="008F398A"/>
    <w:rsid w:val="008F3C11"/>
    <w:rsid w:val="008F4098"/>
    <w:rsid w:val="008F6FE0"/>
    <w:rsid w:val="00900B06"/>
    <w:rsid w:val="009037CD"/>
    <w:rsid w:val="00910B8C"/>
    <w:rsid w:val="00910E36"/>
    <w:rsid w:val="00912236"/>
    <w:rsid w:val="00915632"/>
    <w:rsid w:val="00915745"/>
    <w:rsid w:val="009209EE"/>
    <w:rsid w:val="00921261"/>
    <w:rsid w:val="009212FE"/>
    <w:rsid w:val="00923C7E"/>
    <w:rsid w:val="009253C9"/>
    <w:rsid w:val="00927705"/>
    <w:rsid w:val="00931B2F"/>
    <w:rsid w:val="00931BBB"/>
    <w:rsid w:val="00931E36"/>
    <w:rsid w:val="009323F7"/>
    <w:rsid w:val="00932759"/>
    <w:rsid w:val="00933A53"/>
    <w:rsid w:val="00935BE6"/>
    <w:rsid w:val="0093676C"/>
    <w:rsid w:val="009369CB"/>
    <w:rsid w:val="00936FFA"/>
    <w:rsid w:val="0093738F"/>
    <w:rsid w:val="00937BF2"/>
    <w:rsid w:val="00940884"/>
    <w:rsid w:val="00942C25"/>
    <w:rsid w:val="0094585B"/>
    <w:rsid w:val="00945B11"/>
    <w:rsid w:val="00945E62"/>
    <w:rsid w:val="009460F4"/>
    <w:rsid w:val="009463A1"/>
    <w:rsid w:val="009471D4"/>
    <w:rsid w:val="0094740D"/>
    <w:rsid w:val="00951246"/>
    <w:rsid w:val="00952A1E"/>
    <w:rsid w:val="00953D5F"/>
    <w:rsid w:val="00953DB2"/>
    <w:rsid w:val="009547D7"/>
    <w:rsid w:val="0095498B"/>
    <w:rsid w:val="009552E2"/>
    <w:rsid w:val="0095598B"/>
    <w:rsid w:val="00955DEE"/>
    <w:rsid w:val="00955E34"/>
    <w:rsid w:val="00955EF7"/>
    <w:rsid w:val="00961BD5"/>
    <w:rsid w:val="009627CD"/>
    <w:rsid w:val="00963791"/>
    <w:rsid w:val="00964179"/>
    <w:rsid w:val="0096467E"/>
    <w:rsid w:val="00965098"/>
    <w:rsid w:val="0096630A"/>
    <w:rsid w:val="00971081"/>
    <w:rsid w:val="00971AD6"/>
    <w:rsid w:val="00972B46"/>
    <w:rsid w:val="00974AC6"/>
    <w:rsid w:val="00975B86"/>
    <w:rsid w:val="00975F85"/>
    <w:rsid w:val="009771CF"/>
    <w:rsid w:val="0097734F"/>
    <w:rsid w:val="00977E26"/>
    <w:rsid w:val="0098148C"/>
    <w:rsid w:val="0098187E"/>
    <w:rsid w:val="00984055"/>
    <w:rsid w:val="00987677"/>
    <w:rsid w:val="0099172E"/>
    <w:rsid w:val="00991B5C"/>
    <w:rsid w:val="0099303A"/>
    <w:rsid w:val="0099327F"/>
    <w:rsid w:val="00993708"/>
    <w:rsid w:val="00994406"/>
    <w:rsid w:val="00996ABF"/>
    <w:rsid w:val="0099713C"/>
    <w:rsid w:val="009971A1"/>
    <w:rsid w:val="009A1D8F"/>
    <w:rsid w:val="009A60A5"/>
    <w:rsid w:val="009A78B0"/>
    <w:rsid w:val="009B1348"/>
    <w:rsid w:val="009B1C4E"/>
    <w:rsid w:val="009B3A0D"/>
    <w:rsid w:val="009B4707"/>
    <w:rsid w:val="009B57C2"/>
    <w:rsid w:val="009B61BA"/>
    <w:rsid w:val="009B6E0C"/>
    <w:rsid w:val="009B75CE"/>
    <w:rsid w:val="009B75D7"/>
    <w:rsid w:val="009C0031"/>
    <w:rsid w:val="009C1A53"/>
    <w:rsid w:val="009C298D"/>
    <w:rsid w:val="009C30FA"/>
    <w:rsid w:val="009C318F"/>
    <w:rsid w:val="009C4AD6"/>
    <w:rsid w:val="009C6948"/>
    <w:rsid w:val="009C7E5B"/>
    <w:rsid w:val="009D01D2"/>
    <w:rsid w:val="009D039D"/>
    <w:rsid w:val="009D1FD4"/>
    <w:rsid w:val="009D4E08"/>
    <w:rsid w:val="009D5D4C"/>
    <w:rsid w:val="009D60B7"/>
    <w:rsid w:val="009D78AB"/>
    <w:rsid w:val="009E4EDD"/>
    <w:rsid w:val="009F0B29"/>
    <w:rsid w:val="009F0D1E"/>
    <w:rsid w:val="009F14A0"/>
    <w:rsid w:val="009F4294"/>
    <w:rsid w:val="009F6654"/>
    <w:rsid w:val="00A002BB"/>
    <w:rsid w:val="00A00A94"/>
    <w:rsid w:val="00A00C9E"/>
    <w:rsid w:val="00A0133D"/>
    <w:rsid w:val="00A01721"/>
    <w:rsid w:val="00A029E3"/>
    <w:rsid w:val="00A02EAA"/>
    <w:rsid w:val="00A04227"/>
    <w:rsid w:val="00A04361"/>
    <w:rsid w:val="00A0482B"/>
    <w:rsid w:val="00A04CD3"/>
    <w:rsid w:val="00A05300"/>
    <w:rsid w:val="00A05385"/>
    <w:rsid w:val="00A05796"/>
    <w:rsid w:val="00A06DEF"/>
    <w:rsid w:val="00A06FCC"/>
    <w:rsid w:val="00A11338"/>
    <w:rsid w:val="00A1239A"/>
    <w:rsid w:val="00A12D0D"/>
    <w:rsid w:val="00A1356E"/>
    <w:rsid w:val="00A14DC2"/>
    <w:rsid w:val="00A14ED5"/>
    <w:rsid w:val="00A1502B"/>
    <w:rsid w:val="00A151AA"/>
    <w:rsid w:val="00A15E4E"/>
    <w:rsid w:val="00A17BB1"/>
    <w:rsid w:val="00A214F2"/>
    <w:rsid w:val="00A216DB"/>
    <w:rsid w:val="00A21A7E"/>
    <w:rsid w:val="00A21AAE"/>
    <w:rsid w:val="00A21B20"/>
    <w:rsid w:val="00A224D1"/>
    <w:rsid w:val="00A23137"/>
    <w:rsid w:val="00A250A9"/>
    <w:rsid w:val="00A25D12"/>
    <w:rsid w:val="00A300DF"/>
    <w:rsid w:val="00A32C36"/>
    <w:rsid w:val="00A3338F"/>
    <w:rsid w:val="00A34066"/>
    <w:rsid w:val="00A353F9"/>
    <w:rsid w:val="00A35671"/>
    <w:rsid w:val="00A35FAB"/>
    <w:rsid w:val="00A3663B"/>
    <w:rsid w:val="00A41586"/>
    <w:rsid w:val="00A41817"/>
    <w:rsid w:val="00A427C7"/>
    <w:rsid w:val="00A42876"/>
    <w:rsid w:val="00A44C80"/>
    <w:rsid w:val="00A45C56"/>
    <w:rsid w:val="00A470DF"/>
    <w:rsid w:val="00A477CB"/>
    <w:rsid w:val="00A51A2D"/>
    <w:rsid w:val="00A51E94"/>
    <w:rsid w:val="00A52B00"/>
    <w:rsid w:val="00A536A5"/>
    <w:rsid w:val="00A571D5"/>
    <w:rsid w:val="00A57C92"/>
    <w:rsid w:val="00A60C22"/>
    <w:rsid w:val="00A61440"/>
    <w:rsid w:val="00A6263D"/>
    <w:rsid w:val="00A643AE"/>
    <w:rsid w:val="00A6543E"/>
    <w:rsid w:val="00A65C0F"/>
    <w:rsid w:val="00A67C96"/>
    <w:rsid w:val="00A70F54"/>
    <w:rsid w:val="00A728AD"/>
    <w:rsid w:val="00A738B3"/>
    <w:rsid w:val="00A74077"/>
    <w:rsid w:val="00A75045"/>
    <w:rsid w:val="00A751E0"/>
    <w:rsid w:val="00A76504"/>
    <w:rsid w:val="00A76577"/>
    <w:rsid w:val="00A76B59"/>
    <w:rsid w:val="00A77BBA"/>
    <w:rsid w:val="00A77D46"/>
    <w:rsid w:val="00A77DD5"/>
    <w:rsid w:val="00A80722"/>
    <w:rsid w:val="00A8280E"/>
    <w:rsid w:val="00A83C32"/>
    <w:rsid w:val="00A86A6B"/>
    <w:rsid w:val="00A86C16"/>
    <w:rsid w:val="00A8724C"/>
    <w:rsid w:val="00A9025E"/>
    <w:rsid w:val="00A9134F"/>
    <w:rsid w:val="00A9195A"/>
    <w:rsid w:val="00A91975"/>
    <w:rsid w:val="00A91CF5"/>
    <w:rsid w:val="00A922F5"/>
    <w:rsid w:val="00A9412E"/>
    <w:rsid w:val="00A961EC"/>
    <w:rsid w:val="00A96FAC"/>
    <w:rsid w:val="00A97E33"/>
    <w:rsid w:val="00AA04D0"/>
    <w:rsid w:val="00AA0607"/>
    <w:rsid w:val="00AA2F07"/>
    <w:rsid w:val="00AA3203"/>
    <w:rsid w:val="00AA442C"/>
    <w:rsid w:val="00AA444E"/>
    <w:rsid w:val="00AA637B"/>
    <w:rsid w:val="00AA7A69"/>
    <w:rsid w:val="00AB0471"/>
    <w:rsid w:val="00AB1F55"/>
    <w:rsid w:val="00AB4362"/>
    <w:rsid w:val="00AB4A27"/>
    <w:rsid w:val="00AB59CA"/>
    <w:rsid w:val="00AC09A6"/>
    <w:rsid w:val="00AC0C2B"/>
    <w:rsid w:val="00AC152D"/>
    <w:rsid w:val="00AC156D"/>
    <w:rsid w:val="00AC1CBE"/>
    <w:rsid w:val="00AC3152"/>
    <w:rsid w:val="00AC3D4A"/>
    <w:rsid w:val="00AC57D8"/>
    <w:rsid w:val="00AC691E"/>
    <w:rsid w:val="00AC74F2"/>
    <w:rsid w:val="00AD2598"/>
    <w:rsid w:val="00AD3EFD"/>
    <w:rsid w:val="00AD4097"/>
    <w:rsid w:val="00AD44FA"/>
    <w:rsid w:val="00AD4574"/>
    <w:rsid w:val="00AD5824"/>
    <w:rsid w:val="00AD667A"/>
    <w:rsid w:val="00AD66D9"/>
    <w:rsid w:val="00AD73C0"/>
    <w:rsid w:val="00AE02B2"/>
    <w:rsid w:val="00AE15A3"/>
    <w:rsid w:val="00AE2151"/>
    <w:rsid w:val="00AE2987"/>
    <w:rsid w:val="00AE464A"/>
    <w:rsid w:val="00AE6206"/>
    <w:rsid w:val="00AE7CD5"/>
    <w:rsid w:val="00AF0397"/>
    <w:rsid w:val="00AF3334"/>
    <w:rsid w:val="00AF4109"/>
    <w:rsid w:val="00AF4464"/>
    <w:rsid w:val="00AF5AF6"/>
    <w:rsid w:val="00AF5D86"/>
    <w:rsid w:val="00B005B7"/>
    <w:rsid w:val="00B00D85"/>
    <w:rsid w:val="00B016F5"/>
    <w:rsid w:val="00B0221F"/>
    <w:rsid w:val="00B02895"/>
    <w:rsid w:val="00B0307F"/>
    <w:rsid w:val="00B039B0"/>
    <w:rsid w:val="00B046A1"/>
    <w:rsid w:val="00B05CAC"/>
    <w:rsid w:val="00B069BF"/>
    <w:rsid w:val="00B07CCB"/>
    <w:rsid w:val="00B10EA6"/>
    <w:rsid w:val="00B11BED"/>
    <w:rsid w:val="00B14311"/>
    <w:rsid w:val="00B1494D"/>
    <w:rsid w:val="00B14E29"/>
    <w:rsid w:val="00B15411"/>
    <w:rsid w:val="00B163B4"/>
    <w:rsid w:val="00B16D55"/>
    <w:rsid w:val="00B20393"/>
    <w:rsid w:val="00B20421"/>
    <w:rsid w:val="00B20BE2"/>
    <w:rsid w:val="00B23EBC"/>
    <w:rsid w:val="00B2592D"/>
    <w:rsid w:val="00B274BF"/>
    <w:rsid w:val="00B27EFC"/>
    <w:rsid w:val="00B32626"/>
    <w:rsid w:val="00B33B79"/>
    <w:rsid w:val="00B33C70"/>
    <w:rsid w:val="00B340D9"/>
    <w:rsid w:val="00B349B6"/>
    <w:rsid w:val="00B34A40"/>
    <w:rsid w:val="00B34AE3"/>
    <w:rsid w:val="00B358E9"/>
    <w:rsid w:val="00B35911"/>
    <w:rsid w:val="00B369B1"/>
    <w:rsid w:val="00B37770"/>
    <w:rsid w:val="00B40B7E"/>
    <w:rsid w:val="00B4166A"/>
    <w:rsid w:val="00B419BA"/>
    <w:rsid w:val="00B43B9D"/>
    <w:rsid w:val="00B44606"/>
    <w:rsid w:val="00B469D0"/>
    <w:rsid w:val="00B47324"/>
    <w:rsid w:val="00B50530"/>
    <w:rsid w:val="00B50B24"/>
    <w:rsid w:val="00B50F09"/>
    <w:rsid w:val="00B526EF"/>
    <w:rsid w:val="00B52982"/>
    <w:rsid w:val="00B53559"/>
    <w:rsid w:val="00B54EA0"/>
    <w:rsid w:val="00B55923"/>
    <w:rsid w:val="00B600E1"/>
    <w:rsid w:val="00B6091D"/>
    <w:rsid w:val="00B62C0E"/>
    <w:rsid w:val="00B634CC"/>
    <w:rsid w:val="00B6589C"/>
    <w:rsid w:val="00B7053E"/>
    <w:rsid w:val="00B70A69"/>
    <w:rsid w:val="00B710A4"/>
    <w:rsid w:val="00B71CCA"/>
    <w:rsid w:val="00B71DCB"/>
    <w:rsid w:val="00B7224E"/>
    <w:rsid w:val="00B7261F"/>
    <w:rsid w:val="00B748CD"/>
    <w:rsid w:val="00B74BD9"/>
    <w:rsid w:val="00B7503B"/>
    <w:rsid w:val="00B753C2"/>
    <w:rsid w:val="00B764DE"/>
    <w:rsid w:val="00B80664"/>
    <w:rsid w:val="00B8134F"/>
    <w:rsid w:val="00B81A3D"/>
    <w:rsid w:val="00B822EA"/>
    <w:rsid w:val="00B82E66"/>
    <w:rsid w:val="00B83F66"/>
    <w:rsid w:val="00B84650"/>
    <w:rsid w:val="00B86316"/>
    <w:rsid w:val="00B866BC"/>
    <w:rsid w:val="00B871CE"/>
    <w:rsid w:val="00B8729F"/>
    <w:rsid w:val="00B9199A"/>
    <w:rsid w:val="00B92953"/>
    <w:rsid w:val="00B94071"/>
    <w:rsid w:val="00B958F3"/>
    <w:rsid w:val="00B95AA5"/>
    <w:rsid w:val="00B965B3"/>
    <w:rsid w:val="00B97795"/>
    <w:rsid w:val="00BA05D6"/>
    <w:rsid w:val="00BA086E"/>
    <w:rsid w:val="00BA3AC9"/>
    <w:rsid w:val="00BA4E29"/>
    <w:rsid w:val="00BA5304"/>
    <w:rsid w:val="00BA6F77"/>
    <w:rsid w:val="00BB1738"/>
    <w:rsid w:val="00BB1E24"/>
    <w:rsid w:val="00BB325C"/>
    <w:rsid w:val="00BB35DE"/>
    <w:rsid w:val="00BB39C6"/>
    <w:rsid w:val="00BB3F71"/>
    <w:rsid w:val="00BB50B4"/>
    <w:rsid w:val="00BB54CF"/>
    <w:rsid w:val="00BB6133"/>
    <w:rsid w:val="00BC0AC8"/>
    <w:rsid w:val="00BC2460"/>
    <w:rsid w:val="00BC3C0C"/>
    <w:rsid w:val="00BC525E"/>
    <w:rsid w:val="00BD2B1F"/>
    <w:rsid w:val="00BD2C91"/>
    <w:rsid w:val="00BD2EFD"/>
    <w:rsid w:val="00BD31F2"/>
    <w:rsid w:val="00BD463F"/>
    <w:rsid w:val="00BD6124"/>
    <w:rsid w:val="00BE1072"/>
    <w:rsid w:val="00BE14E7"/>
    <w:rsid w:val="00BE24DA"/>
    <w:rsid w:val="00BE2D0F"/>
    <w:rsid w:val="00BE30B1"/>
    <w:rsid w:val="00BE370B"/>
    <w:rsid w:val="00BE426B"/>
    <w:rsid w:val="00BE5EF3"/>
    <w:rsid w:val="00BE6681"/>
    <w:rsid w:val="00BE72D8"/>
    <w:rsid w:val="00BF096A"/>
    <w:rsid w:val="00BF0E65"/>
    <w:rsid w:val="00BF1B23"/>
    <w:rsid w:val="00BF2573"/>
    <w:rsid w:val="00BF2CAE"/>
    <w:rsid w:val="00BF3C70"/>
    <w:rsid w:val="00BF4581"/>
    <w:rsid w:val="00BF4EE3"/>
    <w:rsid w:val="00BF6A75"/>
    <w:rsid w:val="00BF7757"/>
    <w:rsid w:val="00BF7925"/>
    <w:rsid w:val="00C01D3F"/>
    <w:rsid w:val="00C042E0"/>
    <w:rsid w:val="00C04E4F"/>
    <w:rsid w:val="00C05A0D"/>
    <w:rsid w:val="00C064A1"/>
    <w:rsid w:val="00C06E93"/>
    <w:rsid w:val="00C0755F"/>
    <w:rsid w:val="00C10B87"/>
    <w:rsid w:val="00C11375"/>
    <w:rsid w:val="00C12FDB"/>
    <w:rsid w:val="00C136AC"/>
    <w:rsid w:val="00C14040"/>
    <w:rsid w:val="00C167C9"/>
    <w:rsid w:val="00C175C9"/>
    <w:rsid w:val="00C17B7D"/>
    <w:rsid w:val="00C20142"/>
    <w:rsid w:val="00C213A2"/>
    <w:rsid w:val="00C21886"/>
    <w:rsid w:val="00C22867"/>
    <w:rsid w:val="00C233A4"/>
    <w:rsid w:val="00C241B6"/>
    <w:rsid w:val="00C2431D"/>
    <w:rsid w:val="00C24649"/>
    <w:rsid w:val="00C2660B"/>
    <w:rsid w:val="00C27EC0"/>
    <w:rsid w:val="00C27F6D"/>
    <w:rsid w:val="00C32D9C"/>
    <w:rsid w:val="00C32E3C"/>
    <w:rsid w:val="00C33812"/>
    <w:rsid w:val="00C33E10"/>
    <w:rsid w:val="00C347DD"/>
    <w:rsid w:val="00C351D0"/>
    <w:rsid w:val="00C355AA"/>
    <w:rsid w:val="00C3746E"/>
    <w:rsid w:val="00C37C43"/>
    <w:rsid w:val="00C41D98"/>
    <w:rsid w:val="00C42201"/>
    <w:rsid w:val="00C42993"/>
    <w:rsid w:val="00C43E35"/>
    <w:rsid w:val="00C44CA2"/>
    <w:rsid w:val="00C45CCC"/>
    <w:rsid w:val="00C465A8"/>
    <w:rsid w:val="00C52BBD"/>
    <w:rsid w:val="00C52F7C"/>
    <w:rsid w:val="00C535BD"/>
    <w:rsid w:val="00C53EDD"/>
    <w:rsid w:val="00C54226"/>
    <w:rsid w:val="00C564A6"/>
    <w:rsid w:val="00C567C9"/>
    <w:rsid w:val="00C6005F"/>
    <w:rsid w:val="00C60403"/>
    <w:rsid w:val="00C60FED"/>
    <w:rsid w:val="00C61C49"/>
    <w:rsid w:val="00C61DEA"/>
    <w:rsid w:val="00C63FA8"/>
    <w:rsid w:val="00C64E39"/>
    <w:rsid w:val="00C65876"/>
    <w:rsid w:val="00C702CB"/>
    <w:rsid w:val="00C7098C"/>
    <w:rsid w:val="00C709A4"/>
    <w:rsid w:val="00C71AF7"/>
    <w:rsid w:val="00C7204C"/>
    <w:rsid w:val="00C72888"/>
    <w:rsid w:val="00C72A93"/>
    <w:rsid w:val="00C72F8F"/>
    <w:rsid w:val="00C74590"/>
    <w:rsid w:val="00C75954"/>
    <w:rsid w:val="00C801EC"/>
    <w:rsid w:val="00C82B9E"/>
    <w:rsid w:val="00C84CA9"/>
    <w:rsid w:val="00C85DFB"/>
    <w:rsid w:val="00C87212"/>
    <w:rsid w:val="00C87A4D"/>
    <w:rsid w:val="00C90266"/>
    <w:rsid w:val="00C95741"/>
    <w:rsid w:val="00C97E9B"/>
    <w:rsid w:val="00CA02BD"/>
    <w:rsid w:val="00CA0A49"/>
    <w:rsid w:val="00CA2D9F"/>
    <w:rsid w:val="00CA3119"/>
    <w:rsid w:val="00CA3B5E"/>
    <w:rsid w:val="00CA3D68"/>
    <w:rsid w:val="00CA4C95"/>
    <w:rsid w:val="00CA6E99"/>
    <w:rsid w:val="00CA7045"/>
    <w:rsid w:val="00CB3342"/>
    <w:rsid w:val="00CB41D2"/>
    <w:rsid w:val="00CB6931"/>
    <w:rsid w:val="00CB6BF7"/>
    <w:rsid w:val="00CB6CB7"/>
    <w:rsid w:val="00CB7571"/>
    <w:rsid w:val="00CB760F"/>
    <w:rsid w:val="00CC160A"/>
    <w:rsid w:val="00CC2FB6"/>
    <w:rsid w:val="00CC58E6"/>
    <w:rsid w:val="00CC6A62"/>
    <w:rsid w:val="00CC6FCA"/>
    <w:rsid w:val="00CD1D50"/>
    <w:rsid w:val="00CD41C9"/>
    <w:rsid w:val="00CD43B5"/>
    <w:rsid w:val="00CD460D"/>
    <w:rsid w:val="00CD5F59"/>
    <w:rsid w:val="00CD65CD"/>
    <w:rsid w:val="00CD730F"/>
    <w:rsid w:val="00CE0ED3"/>
    <w:rsid w:val="00CE22D6"/>
    <w:rsid w:val="00CE3047"/>
    <w:rsid w:val="00CE5CC5"/>
    <w:rsid w:val="00CE6E4D"/>
    <w:rsid w:val="00CE7079"/>
    <w:rsid w:val="00CF0015"/>
    <w:rsid w:val="00CF1752"/>
    <w:rsid w:val="00CF261C"/>
    <w:rsid w:val="00CF2E5A"/>
    <w:rsid w:val="00CF3EF9"/>
    <w:rsid w:val="00CF4730"/>
    <w:rsid w:val="00CF6CBC"/>
    <w:rsid w:val="00CF7D46"/>
    <w:rsid w:val="00D0102A"/>
    <w:rsid w:val="00D017F1"/>
    <w:rsid w:val="00D020BC"/>
    <w:rsid w:val="00D04A7A"/>
    <w:rsid w:val="00D05199"/>
    <w:rsid w:val="00D0534D"/>
    <w:rsid w:val="00D05E5B"/>
    <w:rsid w:val="00D07033"/>
    <w:rsid w:val="00D0766F"/>
    <w:rsid w:val="00D110E9"/>
    <w:rsid w:val="00D1228E"/>
    <w:rsid w:val="00D13BC7"/>
    <w:rsid w:val="00D15F34"/>
    <w:rsid w:val="00D16C95"/>
    <w:rsid w:val="00D1770E"/>
    <w:rsid w:val="00D17DD7"/>
    <w:rsid w:val="00D20D95"/>
    <w:rsid w:val="00D211A3"/>
    <w:rsid w:val="00D22DB5"/>
    <w:rsid w:val="00D26546"/>
    <w:rsid w:val="00D3016B"/>
    <w:rsid w:val="00D31663"/>
    <w:rsid w:val="00D31BD4"/>
    <w:rsid w:val="00D31D8A"/>
    <w:rsid w:val="00D3315C"/>
    <w:rsid w:val="00D3346D"/>
    <w:rsid w:val="00D35B1C"/>
    <w:rsid w:val="00D36D20"/>
    <w:rsid w:val="00D41AC1"/>
    <w:rsid w:val="00D42524"/>
    <w:rsid w:val="00D42B68"/>
    <w:rsid w:val="00D43BA5"/>
    <w:rsid w:val="00D4463A"/>
    <w:rsid w:val="00D45D35"/>
    <w:rsid w:val="00D47428"/>
    <w:rsid w:val="00D5303E"/>
    <w:rsid w:val="00D5650E"/>
    <w:rsid w:val="00D57777"/>
    <w:rsid w:val="00D57E58"/>
    <w:rsid w:val="00D63A20"/>
    <w:rsid w:val="00D640B8"/>
    <w:rsid w:val="00D6430A"/>
    <w:rsid w:val="00D64A23"/>
    <w:rsid w:val="00D653B0"/>
    <w:rsid w:val="00D66354"/>
    <w:rsid w:val="00D672D6"/>
    <w:rsid w:val="00D70990"/>
    <w:rsid w:val="00D731C5"/>
    <w:rsid w:val="00D7360F"/>
    <w:rsid w:val="00D74E09"/>
    <w:rsid w:val="00D76301"/>
    <w:rsid w:val="00D76A65"/>
    <w:rsid w:val="00D76B2D"/>
    <w:rsid w:val="00D76BC0"/>
    <w:rsid w:val="00D77CBE"/>
    <w:rsid w:val="00D82EAC"/>
    <w:rsid w:val="00D85A01"/>
    <w:rsid w:val="00D8627F"/>
    <w:rsid w:val="00D86D18"/>
    <w:rsid w:val="00D87022"/>
    <w:rsid w:val="00D9065A"/>
    <w:rsid w:val="00D90746"/>
    <w:rsid w:val="00D917FF"/>
    <w:rsid w:val="00D929B0"/>
    <w:rsid w:val="00D947A0"/>
    <w:rsid w:val="00D955CC"/>
    <w:rsid w:val="00D96315"/>
    <w:rsid w:val="00DA1882"/>
    <w:rsid w:val="00DA378D"/>
    <w:rsid w:val="00DA3EA2"/>
    <w:rsid w:val="00DA4DBC"/>
    <w:rsid w:val="00DA5321"/>
    <w:rsid w:val="00DA5D71"/>
    <w:rsid w:val="00DA6C16"/>
    <w:rsid w:val="00DA6ED2"/>
    <w:rsid w:val="00DA7788"/>
    <w:rsid w:val="00DA79DF"/>
    <w:rsid w:val="00DB1149"/>
    <w:rsid w:val="00DB1745"/>
    <w:rsid w:val="00DB1F70"/>
    <w:rsid w:val="00DB24B8"/>
    <w:rsid w:val="00DB2664"/>
    <w:rsid w:val="00DC05E4"/>
    <w:rsid w:val="00DC0C98"/>
    <w:rsid w:val="00DC1D42"/>
    <w:rsid w:val="00DC2DA6"/>
    <w:rsid w:val="00DC4F9F"/>
    <w:rsid w:val="00DC5057"/>
    <w:rsid w:val="00DC6E05"/>
    <w:rsid w:val="00DD03FA"/>
    <w:rsid w:val="00DD090E"/>
    <w:rsid w:val="00DD0991"/>
    <w:rsid w:val="00DD0C7B"/>
    <w:rsid w:val="00DD119F"/>
    <w:rsid w:val="00DD300B"/>
    <w:rsid w:val="00DD4B4A"/>
    <w:rsid w:val="00DD6574"/>
    <w:rsid w:val="00DD6EB7"/>
    <w:rsid w:val="00DD7886"/>
    <w:rsid w:val="00DD7FFB"/>
    <w:rsid w:val="00DE231B"/>
    <w:rsid w:val="00DE3009"/>
    <w:rsid w:val="00DE4FDF"/>
    <w:rsid w:val="00DE5E79"/>
    <w:rsid w:val="00DF014C"/>
    <w:rsid w:val="00DF1122"/>
    <w:rsid w:val="00DF26E9"/>
    <w:rsid w:val="00DF32C7"/>
    <w:rsid w:val="00DF6675"/>
    <w:rsid w:val="00DF6D02"/>
    <w:rsid w:val="00DF705D"/>
    <w:rsid w:val="00DF78C1"/>
    <w:rsid w:val="00E006E8"/>
    <w:rsid w:val="00E025EE"/>
    <w:rsid w:val="00E04615"/>
    <w:rsid w:val="00E067A1"/>
    <w:rsid w:val="00E06AD1"/>
    <w:rsid w:val="00E06C5E"/>
    <w:rsid w:val="00E07688"/>
    <w:rsid w:val="00E104DD"/>
    <w:rsid w:val="00E105DA"/>
    <w:rsid w:val="00E10ECB"/>
    <w:rsid w:val="00E11BBA"/>
    <w:rsid w:val="00E13C88"/>
    <w:rsid w:val="00E150BF"/>
    <w:rsid w:val="00E15587"/>
    <w:rsid w:val="00E2219D"/>
    <w:rsid w:val="00E2313A"/>
    <w:rsid w:val="00E232BD"/>
    <w:rsid w:val="00E24E86"/>
    <w:rsid w:val="00E257C2"/>
    <w:rsid w:val="00E27310"/>
    <w:rsid w:val="00E301E7"/>
    <w:rsid w:val="00E320B9"/>
    <w:rsid w:val="00E3216C"/>
    <w:rsid w:val="00E32E3E"/>
    <w:rsid w:val="00E33EF6"/>
    <w:rsid w:val="00E35F3C"/>
    <w:rsid w:val="00E4015E"/>
    <w:rsid w:val="00E415DE"/>
    <w:rsid w:val="00E42506"/>
    <w:rsid w:val="00E43895"/>
    <w:rsid w:val="00E44AA4"/>
    <w:rsid w:val="00E451CF"/>
    <w:rsid w:val="00E47989"/>
    <w:rsid w:val="00E47D39"/>
    <w:rsid w:val="00E504D9"/>
    <w:rsid w:val="00E50BE4"/>
    <w:rsid w:val="00E51E5F"/>
    <w:rsid w:val="00E51F1E"/>
    <w:rsid w:val="00E56F20"/>
    <w:rsid w:val="00E5759B"/>
    <w:rsid w:val="00E6341D"/>
    <w:rsid w:val="00E63CD2"/>
    <w:rsid w:val="00E654B8"/>
    <w:rsid w:val="00E6625D"/>
    <w:rsid w:val="00E662D4"/>
    <w:rsid w:val="00E66D7B"/>
    <w:rsid w:val="00E66F19"/>
    <w:rsid w:val="00E67A18"/>
    <w:rsid w:val="00E70D6E"/>
    <w:rsid w:val="00E716E5"/>
    <w:rsid w:val="00E7229E"/>
    <w:rsid w:val="00E7230D"/>
    <w:rsid w:val="00E72351"/>
    <w:rsid w:val="00E729E6"/>
    <w:rsid w:val="00E74379"/>
    <w:rsid w:val="00E74CC8"/>
    <w:rsid w:val="00E77631"/>
    <w:rsid w:val="00E80001"/>
    <w:rsid w:val="00E8091E"/>
    <w:rsid w:val="00E8102E"/>
    <w:rsid w:val="00E813A9"/>
    <w:rsid w:val="00E81BC5"/>
    <w:rsid w:val="00E85A8F"/>
    <w:rsid w:val="00E960CE"/>
    <w:rsid w:val="00E968F6"/>
    <w:rsid w:val="00E96EA3"/>
    <w:rsid w:val="00E97A84"/>
    <w:rsid w:val="00E97D87"/>
    <w:rsid w:val="00EA05C1"/>
    <w:rsid w:val="00EA23A2"/>
    <w:rsid w:val="00EA2577"/>
    <w:rsid w:val="00EA3CEC"/>
    <w:rsid w:val="00EA5DA5"/>
    <w:rsid w:val="00EA681B"/>
    <w:rsid w:val="00EA6DA8"/>
    <w:rsid w:val="00EB06BC"/>
    <w:rsid w:val="00EB1C2F"/>
    <w:rsid w:val="00EB2E51"/>
    <w:rsid w:val="00EB32A1"/>
    <w:rsid w:val="00EB36D4"/>
    <w:rsid w:val="00EB3BFE"/>
    <w:rsid w:val="00EB48FA"/>
    <w:rsid w:val="00EB67D7"/>
    <w:rsid w:val="00EB69AD"/>
    <w:rsid w:val="00EC0E89"/>
    <w:rsid w:val="00EC412E"/>
    <w:rsid w:val="00EC5A7D"/>
    <w:rsid w:val="00EC6763"/>
    <w:rsid w:val="00ED1675"/>
    <w:rsid w:val="00ED2FCF"/>
    <w:rsid w:val="00ED3FB4"/>
    <w:rsid w:val="00ED49A7"/>
    <w:rsid w:val="00ED4EEF"/>
    <w:rsid w:val="00ED5BD7"/>
    <w:rsid w:val="00ED5E77"/>
    <w:rsid w:val="00ED5F80"/>
    <w:rsid w:val="00ED797B"/>
    <w:rsid w:val="00ED7DB1"/>
    <w:rsid w:val="00EE0762"/>
    <w:rsid w:val="00EE2160"/>
    <w:rsid w:val="00EE2554"/>
    <w:rsid w:val="00EE2AC2"/>
    <w:rsid w:val="00EE393A"/>
    <w:rsid w:val="00EE39D9"/>
    <w:rsid w:val="00EE4E4F"/>
    <w:rsid w:val="00EE5608"/>
    <w:rsid w:val="00EE68FD"/>
    <w:rsid w:val="00EE6987"/>
    <w:rsid w:val="00EE7449"/>
    <w:rsid w:val="00EF0133"/>
    <w:rsid w:val="00EF0766"/>
    <w:rsid w:val="00EF33A1"/>
    <w:rsid w:val="00EF354C"/>
    <w:rsid w:val="00EF636E"/>
    <w:rsid w:val="00EF6B59"/>
    <w:rsid w:val="00F00BA8"/>
    <w:rsid w:val="00F0147A"/>
    <w:rsid w:val="00F05405"/>
    <w:rsid w:val="00F0551E"/>
    <w:rsid w:val="00F06F53"/>
    <w:rsid w:val="00F06F9D"/>
    <w:rsid w:val="00F07DD2"/>
    <w:rsid w:val="00F10B06"/>
    <w:rsid w:val="00F11990"/>
    <w:rsid w:val="00F1359B"/>
    <w:rsid w:val="00F13B82"/>
    <w:rsid w:val="00F15114"/>
    <w:rsid w:val="00F15256"/>
    <w:rsid w:val="00F15DE7"/>
    <w:rsid w:val="00F20D08"/>
    <w:rsid w:val="00F20D33"/>
    <w:rsid w:val="00F21AA4"/>
    <w:rsid w:val="00F22D96"/>
    <w:rsid w:val="00F25104"/>
    <w:rsid w:val="00F252F2"/>
    <w:rsid w:val="00F25A9E"/>
    <w:rsid w:val="00F26645"/>
    <w:rsid w:val="00F274FE"/>
    <w:rsid w:val="00F3172B"/>
    <w:rsid w:val="00F31898"/>
    <w:rsid w:val="00F32060"/>
    <w:rsid w:val="00F32173"/>
    <w:rsid w:val="00F323AF"/>
    <w:rsid w:val="00F32714"/>
    <w:rsid w:val="00F3334F"/>
    <w:rsid w:val="00F3343D"/>
    <w:rsid w:val="00F34D93"/>
    <w:rsid w:val="00F36DC7"/>
    <w:rsid w:val="00F40F2A"/>
    <w:rsid w:val="00F43975"/>
    <w:rsid w:val="00F457BD"/>
    <w:rsid w:val="00F45C11"/>
    <w:rsid w:val="00F47348"/>
    <w:rsid w:val="00F47A87"/>
    <w:rsid w:val="00F50633"/>
    <w:rsid w:val="00F5344C"/>
    <w:rsid w:val="00F5395D"/>
    <w:rsid w:val="00F53DC1"/>
    <w:rsid w:val="00F567B6"/>
    <w:rsid w:val="00F56CD3"/>
    <w:rsid w:val="00F57F21"/>
    <w:rsid w:val="00F60C64"/>
    <w:rsid w:val="00F60F15"/>
    <w:rsid w:val="00F60FF2"/>
    <w:rsid w:val="00F6186A"/>
    <w:rsid w:val="00F6319E"/>
    <w:rsid w:val="00F64558"/>
    <w:rsid w:val="00F6674F"/>
    <w:rsid w:val="00F66816"/>
    <w:rsid w:val="00F66F0B"/>
    <w:rsid w:val="00F71872"/>
    <w:rsid w:val="00F72958"/>
    <w:rsid w:val="00F72CED"/>
    <w:rsid w:val="00F7420D"/>
    <w:rsid w:val="00F759B7"/>
    <w:rsid w:val="00F7646E"/>
    <w:rsid w:val="00F773B8"/>
    <w:rsid w:val="00F81A06"/>
    <w:rsid w:val="00F81A81"/>
    <w:rsid w:val="00F85F6D"/>
    <w:rsid w:val="00F86611"/>
    <w:rsid w:val="00F917F3"/>
    <w:rsid w:val="00F91D85"/>
    <w:rsid w:val="00F92020"/>
    <w:rsid w:val="00F932E8"/>
    <w:rsid w:val="00F9443B"/>
    <w:rsid w:val="00F962A6"/>
    <w:rsid w:val="00F96E47"/>
    <w:rsid w:val="00F97585"/>
    <w:rsid w:val="00FA07C9"/>
    <w:rsid w:val="00FA3431"/>
    <w:rsid w:val="00FA4219"/>
    <w:rsid w:val="00FA4FDE"/>
    <w:rsid w:val="00FA5398"/>
    <w:rsid w:val="00FA6D16"/>
    <w:rsid w:val="00FB0042"/>
    <w:rsid w:val="00FB0937"/>
    <w:rsid w:val="00FB12B1"/>
    <w:rsid w:val="00FB1572"/>
    <w:rsid w:val="00FB25EA"/>
    <w:rsid w:val="00FB341F"/>
    <w:rsid w:val="00FB3716"/>
    <w:rsid w:val="00FB47C1"/>
    <w:rsid w:val="00FB677B"/>
    <w:rsid w:val="00FC1CE2"/>
    <w:rsid w:val="00FC273F"/>
    <w:rsid w:val="00FC3835"/>
    <w:rsid w:val="00FC3A1C"/>
    <w:rsid w:val="00FC59AD"/>
    <w:rsid w:val="00FC7032"/>
    <w:rsid w:val="00FC7CC7"/>
    <w:rsid w:val="00FD153B"/>
    <w:rsid w:val="00FD2042"/>
    <w:rsid w:val="00FD2D00"/>
    <w:rsid w:val="00FD41D0"/>
    <w:rsid w:val="00FD57B3"/>
    <w:rsid w:val="00FD6309"/>
    <w:rsid w:val="00FD68ED"/>
    <w:rsid w:val="00FE0917"/>
    <w:rsid w:val="00FE17A9"/>
    <w:rsid w:val="00FE1F31"/>
    <w:rsid w:val="00FE1F6E"/>
    <w:rsid w:val="00FE269E"/>
    <w:rsid w:val="00FE36DF"/>
    <w:rsid w:val="00FE407A"/>
    <w:rsid w:val="00FE46EB"/>
    <w:rsid w:val="00FE4930"/>
    <w:rsid w:val="00FE7C7D"/>
    <w:rsid w:val="00FF0DF8"/>
    <w:rsid w:val="00FF3080"/>
    <w:rsid w:val="00FF3B5E"/>
    <w:rsid w:val="00FF407F"/>
    <w:rsid w:val="00FF5CDF"/>
    <w:rsid w:val="00FF6072"/>
    <w:rsid w:val="00FF627B"/>
    <w:rsid w:val="00FF6F24"/>
    <w:rsid w:val="00FF7663"/>
    <w:rsid w:val="00FF7DE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4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42876"/>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4">
    <w:name w:val="Название Знак"/>
    <w:basedOn w:val="a0"/>
    <w:link w:val="a3"/>
    <w:rsid w:val="00A42876"/>
    <w:rPr>
      <w:rFonts w:ascii="Arial" w:eastAsia="Times New Roman" w:hAnsi="Arial" w:cs="Arial"/>
      <w:b/>
      <w:bCs/>
      <w:kern w:val="28"/>
      <w:sz w:val="32"/>
      <w:szCs w:val="32"/>
      <w:lang w:eastAsia="ru-RU"/>
    </w:rPr>
  </w:style>
  <w:style w:type="paragraph" w:styleId="a5">
    <w:name w:val="Body Text"/>
    <w:basedOn w:val="a"/>
    <w:link w:val="a6"/>
    <w:rsid w:val="00A42876"/>
    <w:pPr>
      <w:spacing w:after="120" w:line="240" w:lineRule="auto"/>
    </w:pPr>
    <w:rPr>
      <w:rFonts w:eastAsia="Times New Roman"/>
      <w:lang w:eastAsia="ru-RU"/>
    </w:rPr>
  </w:style>
  <w:style w:type="character" w:customStyle="1" w:styleId="a6">
    <w:name w:val="Основной текст Знак"/>
    <w:basedOn w:val="a0"/>
    <w:link w:val="a5"/>
    <w:rsid w:val="00A42876"/>
    <w:rPr>
      <w:rFonts w:eastAsia="Times New Roman"/>
      <w:lang w:eastAsia="ru-RU"/>
    </w:rPr>
  </w:style>
  <w:style w:type="paragraph" w:styleId="a7">
    <w:name w:val="header"/>
    <w:basedOn w:val="a"/>
    <w:link w:val="a8"/>
    <w:rsid w:val="00A42876"/>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rsid w:val="00A42876"/>
    <w:rPr>
      <w:rFonts w:eastAsia="Times New Roman"/>
      <w:lang w:eastAsia="ru-RU"/>
    </w:rPr>
  </w:style>
  <w:style w:type="character" w:styleId="a9">
    <w:name w:val="page number"/>
    <w:basedOn w:val="a0"/>
    <w:rsid w:val="00A42876"/>
  </w:style>
  <w:style w:type="paragraph" w:styleId="aa">
    <w:name w:val="footer"/>
    <w:basedOn w:val="a"/>
    <w:link w:val="ab"/>
    <w:uiPriority w:val="99"/>
    <w:semiHidden/>
    <w:unhideWhenUsed/>
    <w:rsid w:val="00CB693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B6931"/>
  </w:style>
  <w:style w:type="paragraph" w:styleId="ac">
    <w:name w:val="Balloon Text"/>
    <w:basedOn w:val="a"/>
    <w:link w:val="ad"/>
    <w:uiPriority w:val="99"/>
    <w:semiHidden/>
    <w:unhideWhenUsed/>
    <w:rsid w:val="006D61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D6156"/>
    <w:rPr>
      <w:rFonts w:ascii="Tahoma" w:hAnsi="Tahoma" w:cs="Tahoma"/>
      <w:sz w:val="16"/>
      <w:szCs w:val="16"/>
    </w:rPr>
  </w:style>
  <w:style w:type="paragraph" w:styleId="ae">
    <w:name w:val="List Paragraph"/>
    <w:basedOn w:val="a"/>
    <w:uiPriority w:val="34"/>
    <w:qFormat/>
    <w:rsid w:val="006D61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CE173B42-FC1D-4303-90F5-3CF2DA06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8</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dc:creator>
  <cp:keywords/>
  <dc:description/>
  <cp:lastModifiedBy>Eka</cp:lastModifiedBy>
  <cp:revision>15</cp:revision>
  <dcterms:created xsi:type="dcterms:W3CDTF">2013-01-10T07:36:00Z</dcterms:created>
  <dcterms:modified xsi:type="dcterms:W3CDTF">2016-04-24T02:35:00Z</dcterms:modified>
</cp:coreProperties>
</file>