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FC4" w:rsidRPr="00D95FC4" w:rsidRDefault="00D95FC4" w:rsidP="00A9686E">
      <w:pPr>
        <w:spacing w:after="0" w:line="240" w:lineRule="auto"/>
        <w:rPr>
          <w:color w:val="231F20"/>
          <w:sz w:val="16"/>
          <w:szCs w:val="16"/>
        </w:rPr>
      </w:pPr>
      <w:r w:rsidRPr="00D95FC4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 ТІЛЬКИ ПАНКРЕАТОЛОГІЯ</w:t>
      </w:r>
      <w:r>
        <w:rPr>
          <w:rFonts w:ascii="AutoradiographicRg-Regular" w:hAnsi="AutoradiographicRg-Regular"/>
          <w:color w:val="231F20"/>
        </w:rPr>
        <w:br/>
      </w:r>
      <w:r>
        <w:rPr>
          <w:rFonts w:ascii="FranklinGothic-Book" w:hAnsi="FranklinGothic-Book"/>
          <w:color w:val="231F20"/>
          <w:sz w:val="16"/>
          <w:szCs w:val="16"/>
        </w:rPr>
        <w:t>У</w:t>
      </w:r>
      <w:r>
        <w:rPr>
          <w:color w:val="231F20"/>
          <w:sz w:val="16"/>
          <w:szCs w:val="16"/>
          <w:lang w:val="uk-UA"/>
        </w:rPr>
        <w:t>Д</w:t>
      </w:r>
      <w:r>
        <w:rPr>
          <w:rFonts w:ascii="FranklinGothic-Book" w:hAnsi="FranklinGothic-Book"/>
          <w:color w:val="231F20"/>
          <w:sz w:val="16"/>
          <w:szCs w:val="16"/>
        </w:rPr>
        <w:t>К 616.33</w:t>
      </w:r>
      <w:r>
        <w:rPr>
          <w:rFonts w:ascii="FranklinGothic-Book" w:hAnsi="FranklinGothic-Book"/>
          <w:color w:val="231F20"/>
          <w:sz w:val="16"/>
          <w:szCs w:val="16"/>
        </w:rPr>
        <w:softHyphen/>
        <w:t>002.2</w:t>
      </w:r>
      <w:r>
        <w:rPr>
          <w:rFonts w:ascii="FranklinGothic-Book" w:hAnsi="FranklinGothic-Book"/>
          <w:color w:val="231F20"/>
          <w:sz w:val="16"/>
          <w:szCs w:val="16"/>
        </w:rPr>
        <w:softHyphen/>
        <w:t>001.8</w:t>
      </w:r>
      <w:r>
        <w:rPr>
          <w:rFonts w:ascii="FranklinGothic-Book" w:hAnsi="FranklinGothic-Book"/>
          <w:color w:val="231F20"/>
          <w:sz w:val="16"/>
          <w:szCs w:val="16"/>
        </w:rPr>
        <w:br/>
      </w:r>
      <w:proofErr w:type="spellStart"/>
      <w:r>
        <w:rPr>
          <w:rFonts w:ascii="FranklinGothic-Book" w:hAnsi="FranklinGothic-Book"/>
          <w:color w:val="231F20"/>
          <w:sz w:val="16"/>
          <w:szCs w:val="16"/>
        </w:rPr>
        <w:t>doi</w:t>
      </w:r>
      <w:proofErr w:type="spellEnd"/>
      <w:r>
        <w:rPr>
          <w:rFonts w:ascii="FranklinGothic-Book" w:hAnsi="FranklinGothic-Book"/>
          <w:color w:val="231F20"/>
          <w:sz w:val="16"/>
          <w:szCs w:val="16"/>
        </w:rPr>
        <w:t>: 10.33149/vkp.2019.03.06</w:t>
      </w:r>
    </w:p>
    <w:p w:rsidR="00D95FC4" w:rsidRPr="00D95FC4" w:rsidRDefault="00D95FC4" w:rsidP="00A9686E">
      <w:pPr>
        <w:spacing w:after="0" w:line="240" w:lineRule="auto"/>
        <w:rPr>
          <w:color w:val="231F20"/>
          <w:sz w:val="16"/>
          <w:szCs w:val="16"/>
        </w:rPr>
      </w:pPr>
    </w:p>
    <w:p w:rsidR="00D95FC4" w:rsidRDefault="00D95FC4" w:rsidP="00D95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5FC4">
        <w:rPr>
          <w:rFonts w:ascii="Times New Roman" w:hAnsi="Times New Roman" w:cs="Times New Roman"/>
          <w:b/>
          <w:sz w:val="32"/>
          <w:szCs w:val="32"/>
          <w:lang w:val="uk-UA"/>
        </w:rPr>
        <w:t>Проблемні питання вчення про хронічний гастрит</w:t>
      </w:r>
    </w:p>
    <w:p w:rsidR="00D95FC4" w:rsidRPr="00D95FC4" w:rsidRDefault="00D95FC4" w:rsidP="00D95F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95FC4" w:rsidRPr="00F137AC" w:rsidRDefault="00F137AC" w:rsidP="00D95F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D95FC4" w:rsidRPr="00F137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С. </w:t>
      </w:r>
      <w:proofErr w:type="spellStart"/>
      <w:r w:rsidR="00D95FC4" w:rsidRPr="00F137AC">
        <w:rPr>
          <w:rFonts w:ascii="Times New Roman" w:hAnsi="Times New Roman" w:cs="Times New Roman"/>
          <w:b/>
          <w:sz w:val="28"/>
          <w:szCs w:val="28"/>
          <w:lang w:val="uk-UA"/>
        </w:rPr>
        <w:t>Циммерман</w:t>
      </w:r>
      <w:proofErr w:type="spellEnd"/>
      <w:r w:rsidR="00D95FC4" w:rsidRPr="00F137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Ю. </w:t>
      </w:r>
      <w:r w:rsidRPr="00F137A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D95FC4" w:rsidRPr="00F137AC">
        <w:rPr>
          <w:rFonts w:ascii="Times New Roman" w:hAnsi="Times New Roman" w:cs="Times New Roman"/>
          <w:b/>
          <w:sz w:val="28"/>
          <w:szCs w:val="28"/>
          <w:lang w:val="uk-UA"/>
        </w:rPr>
        <w:t>. Захарова</w:t>
      </w:r>
    </w:p>
    <w:p w:rsidR="00D95FC4" w:rsidRDefault="00D95FC4" w:rsidP="00D95F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5FC4">
        <w:rPr>
          <w:rFonts w:ascii="Times New Roman" w:hAnsi="Times New Roman" w:cs="Times New Roman"/>
          <w:sz w:val="28"/>
          <w:szCs w:val="28"/>
          <w:lang w:val="uk-UA"/>
        </w:rPr>
        <w:t xml:space="preserve">Пермський державний медичний університет ім. акад. 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95FC4">
        <w:rPr>
          <w:rFonts w:ascii="Times New Roman" w:hAnsi="Times New Roman" w:cs="Times New Roman"/>
          <w:sz w:val="28"/>
          <w:szCs w:val="28"/>
          <w:lang w:val="uk-UA"/>
        </w:rPr>
        <w:t xml:space="preserve">. А. Вагнера, Перм, </w:t>
      </w:r>
      <w:r w:rsidR="00F137A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95FC4">
        <w:rPr>
          <w:rFonts w:ascii="Times New Roman" w:hAnsi="Times New Roman" w:cs="Times New Roman"/>
          <w:sz w:val="28"/>
          <w:szCs w:val="28"/>
          <w:lang w:val="uk-UA"/>
        </w:rPr>
        <w:t>осія</w:t>
      </w:r>
    </w:p>
    <w:p w:rsidR="00F137AC" w:rsidRPr="00D95FC4" w:rsidRDefault="00F137AC" w:rsidP="00D95F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95FC4" w:rsidRPr="00D95FC4" w:rsidRDefault="00D95FC4" w:rsidP="00D95F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</w:t>
      </w:r>
      <w:r w:rsidRPr="00D95FC4">
        <w:rPr>
          <w:rFonts w:ascii="Times New Roman" w:hAnsi="Times New Roman" w:cs="Times New Roman"/>
          <w:sz w:val="28"/>
          <w:szCs w:val="28"/>
          <w:lang w:val="uk-UA"/>
        </w:rPr>
        <w:t>: хронічний гастрит, дефініція, історія вивчення, етіологія, патогенез, діагностика, лікування</w:t>
      </w:r>
    </w:p>
    <w:p w:rsidR="00D95FC4" w:rsidRPr="00F137AC" w:rsidRDefault="00D95FC4" w:rsidP="00F137A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i/>
          <w:sz w:val="28"/>
          <w:szCs w:val="28"/>
          <w:lang w:val="uk-UA"/>
        </w:rPr>
        <w:t>Хвороба стара, і нічого в ній не змінюється,</w:t>
      </w:r>
    </w:p>
    <w:p w:rsidR="00D95FC4" w:rsidRPr="00F137AC" w:rsidRDefault="00D95FC4" w:rsidP="00F137A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i/>
          <w:sz w:val="28"/>
          <w:szCs w:val="28"/>
          <w:lang w:val="uk-UA"/>
        </w:rPr>
        <w:t>змінюємося ми, в міру того як вчимося розпізнавати те,</w:t>
      </w:r>
    </w:p>
    <w:p w:rsidR="00D95FC4" w:rsidRPr="00F137AC" w:rsidRDefault="00D95FC4" w:rsidP="00F137A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i/>
          <w:sz w:val="28"/>
          <w:szCs w:val="28"/>
          <w:lang w:val="uk-UA"/>
        </w:rPr>
        <w:t>що раніше не було доступн</w:t>
      </w:r>
      <w:r w:rsidR="00776B9E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F13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розумінню.</w:t>
      </w:r>
    </w:p>
    <w:p w:rsidR="008A3FA2" w:rsidRDefault="00D95FC4" w:rsidP="00F13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Ж. </w:t>
      </w:r>
      <w:r w:rsidR="00F137AC" w:rsidRPr="00F137A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Шарко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(1825-1893) [12].</w:t>
      </w:r>
    </w:p>
    <w:p w:rsidR="00F137AC" w:rsidRDefault="00F137AC" w:rsidP="00F13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C0257">
        <w:rPr>
          <w:rFonts w:ascii="Times New Roman" w:hAnsi="Times New Roman" w:cs="Times New Roman"/>
          <w:b/>
          <w:sz w:val="28"/>
          <w:szCs w:val="28"/>
          <w:lang w:val="uk-UA"/>
        </w:rPr>
        <w:t>Дефініція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. Ми розглядаємо хронічний</w:t>
      </w:r>
      <w:r w:rsidR="00BC0257" w:rsidRP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гастрит - ХГ (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chronic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gastritis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) як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поліетіологічне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поліпатогенетичн</w:t>
      </w:r>
      <w:r w:rsidR="00611A10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 </w:t>
      </w:r>
      <w:proofErr w:type="spellStart"/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 хронічним, повільно прогресуючим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>еребіг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ом, в основі якого лежить специфічний запальний процес </w:t>
      </w:r>
      <w:r w:rsidR="00D802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лімфоплазмоц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тарно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інфільтрацією його слизової оболонки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нейтрофільним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компонентом, що вказує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на його активність, і з розвитком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срегенераторних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дис</w:t>
      </w:r>
      <w:proofErr w:type="spellEnd"/>
      <w:r w:rsidR="00776B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 атрофічн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змін, </w:t>
      </w:r>
      <w:r w:rsidR="00D802B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призводять до його секреторно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недостатності, що виявляється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гіпо</w:t>
      </w:r>
      <w:proofErr w:type="spellEnd"/>
      <w:r w:rsidR="00776B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ахлорг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др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ією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 шлунково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ахілі</w:t>
      </w:r>
      <w:r w:rsidR="00776B9E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[15].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BC0257">
        <w:rPr>
          <w:rFonts w:ascii="Times New Roman" w:hAnsi="Times New Roman" w:cs="Times New Roman"/>
          <w:b/>
          <w:sz w:val="28"/>
          <w:szCs w:val="28"/>
          <w:lang w:val="uk-UA"/>
        </w:rPr>
        <w:t>Коротка історія вчення про ХГ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. Вчення про ХГ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бере свій початок з 1808 року, коли відомий французький лікар Ф.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Бруссе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(F.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Broussais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>) - учасник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наполеонівських воєн - встановив наявність грубих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морфологічних змін в слизовій оболонці </w:t>
      </w:r>
      <w:proofErr w:type="spellStart"/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) у загиблих </w:t>
      </w:r>
      <w:r w:rsidR="00D802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боях солдатів і офіцерів наполеонівських військ, які за життя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пред'являли скарги на різні шлункові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симптоми [29].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Однак через 30 років з'ясувалося, що виявлені Ф.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Бруссе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морфологічні зміни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є результатом посмертного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самоперевар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тканин </w:t>
      </w:r>
      <w:proofErr w:type="spellStart"/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активним шлунковим соком. Це стало причиною того, що діагноз ХГ (за образним висловом Ю. І.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Фішзон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Рисса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[12]) придбав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«погану репутацію»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і на довгі десятиліття зник </w:t>
      </w:r>
      <w:r w:rsidR="00E310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з ужитку.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Замість ХГ, починаючи з 1879 р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, стали користуватися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діагнозом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«нервова диспепсія»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nervose</w:t>
      </w:r>
      <w:proofErr w:type="spellEnd"/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dispepsie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), або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«невроз </w:t>
      </w:r>
      <w:proofErr w:type="spellStart"/>
      <w:r w:rsidR="00DA12F6">
        <w:rPr>
          <w:rFonts w:ascii="Times New Roman" w:hAnsi="Times New Roman" w:cs="Times New Roman"/>
          <w:b/>
          <w:i/>
          <w:sz w:val="28"/>
          <w:szCs w:val="28"/>
          <w:lang w:val="uk-UA"/>
        </w:rPr>
        <w:t>шлунка</w:t>
      </w:r>
      <w:proofErr w:type="spellEnd"/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»,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розглядаючи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його як функціональний патологічний процес,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не має морфологічного субстрату [36].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У 1928 р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G. E.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Konjetzny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зробив нову спробу довести наявність у ХГ морфологічних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змін в резектованих шлунках з приводу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виразки і раку, розробивши методику, що унеможливлює посмертн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ушкодження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тканин шлунка шлунковим соком [35], але через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допущен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ним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методичн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помил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його дослідження не були сприйняті медичн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спільнотою.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Тільки в 1947 р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 впровадженням </w:t>
      </w:r>
      <w:r w:rsidR="00D802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клінічну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практику напів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жорстк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их гастроскопі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802BF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дозволяють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проводити прижиттєву прицільну біопсію з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різних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відділів 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, діагноз ХГ як клініко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морфологіч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поняття був «відновлений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в своїх правах»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[40].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Важливим етапом у розвитку вчення про ХГ ста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доказ присутності в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антральному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відділі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ендокринних клітин, що виробляють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гормон </w:t>
      </w:r>
      <w:proofErr w:type="spellStart"/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гастрин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- потужний фізіологічний стимулятор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кислотоутворення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</w:t>
      </w:r>
      <w:r w:rsidR="00BC77F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, - зроблене англійськими фізіологами R. A.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Gregory</w:t>
      </w:r>
      <w:proofErr w:type="spellEnd"/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і H. J.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Tracy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в 1963 р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[32]. Вони встановили хімічну структуру (формулу)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гастрину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і синтезували його аналог -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пентагастрин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>, за допомогою якого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араз вивчають секреторну функцію </w:t>
      </w:r>
      <w:proofErr w:type="spellStart"/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Поширеність ХГ становить 15-30%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в загальній популяції і 80-85% серед усіх захворювань </w:t>
      </w:r>
      <w:proofErr w:type="spellStart"/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[2, 12, 17, 21], - це найпоширеніше гастроентерологічне захворювання.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З огляду на зв'язок певних форм (типів) ХГ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з розвитком виразкової хвороби (ВХ) і раку шлунка (Р</w:t>
      </w:r>
      <w:r w:rsidR="00B446EE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), проблему ХГ слід розглядати як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надзвичайно важливу, що має велике медико-соціальн</w:t>
      </w:r>
      <w:r w:rsidR="00BC77F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значення.</w:t>
      </w:r>
    </w:p>
    <w:p w:rsidR="00F137AC" w:rsidRP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2C3080">
        <w:rPr>
          <w:rFonts w:ascii="Times New Roman" w:hAnsi="Times New Roman" w:cs="Times New Roman"/>
          <w:b/>
          <w:sz w:val="28"/>
          <w:szCs w:val="28"/>
          <w:lang w:val="uk-UA"/>
        </w:rPr>
        <w:t>I. Етіологія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. Ми вважаємо обґрунтованим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розрізняти причинні і сприятливі фактори розвитку ХГ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. До останніх ми відносимо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зловживання міцними алкогольними напоями та палінням, систематичні грубі дієтичні похибки і т. п. Вони самі по собі не можуть стати причиною ХГ, але сприяють його розвитку [2, 6, 17, 31, 44].</w:t>
      </w:r>
    </w:p>
    <w:p w:rsidR="009D1ADB" w:rsidRPr="00551B7E" w:rsidRDefault="00F137AC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F137AC">
        <w:rPr>
          <w:rFonts w:ascii="Times New Roman" w:hAnsi="Times New Roman" w:cs="Times New Roman"/>
          <w:sz w:val="28"/>
          <w:szCs w:val="28"/>
          <w:lang w:val="uk-UA"/>
        </w:rPr>
        <w:t>У 1983 р</w:t>
      </w:r>
      <w:r w:rsidR="002C308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австралійські вчені J. R.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Warren</w:t>
      </w:r>
      <w:proofErr w:type="spellEnd"/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і B. J. </w:t>
      </w:r>
      <w:proofErr w:type="spellStart"/>
      <w:r w:rsidRPr="00F137AC">
        <w:rPr>
          <w:rFonts w:ascii="Times New Roman" w:hAnsi="Times New Roman" w:cs="Times New Roman"/>
          <w:sz w:val="28"/>
          <w:szCs w:val="28"/>
          <w:lang w:val="uk-UA"/>
        </w:rPr>
        <w:t>Marchall</w:t>
      </w:r>
      <w:proofErr w:type="spellEnd"/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виявили в </w:t>
      </w:r>
      <w:r w:rsidR="00DA12F6">
        <w:rPr>
          <w:rFonts w:ascii="Times New Roman" w:hAnsi="Times New Roman" w:cs="Times New Roman"/>
          <w:sz w:val="28"/>
          <w:szCs w:val="28"/>
          <w:lang w:val="uk-UA"/>
        </w:rPr>
        <w:t>шлунк</w:t>
      </w:r>
      <w:r w:rsidR="00BC77F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хворих </w:t>
      </w:r>
      <w:r w:rsidR="00BC77F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ХГ</w:t>
      </w:r>
      <w:r w:rsidR="00BC0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C77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137AC">
        <w:rPr>
          <w:rFonts w:ascii="Times New Roman" w:hAnsi="Times New Roman" w:cs="Times New Roman"/>
          <w:sz w:val="28"/>
          <w:szCs w:val="28"/>
          <w:lang w:val="uk-UA"/>
        </w:rPr>
        <w:t xml:space="preserve"> потім і у хворих на ВХ) </w:t>
      </w:r>
      <w:r w:rsidRPr="00BC0257">
        <w:rPr>
          <w:rFonts w:ascii="Times New Roman" w:hAnsi="Times New Roman" w:cs="Times New Roman"/>
          <w:b/>
          <w:i/>
          <w:sz w:val="28"/>
          <w:szCs w:val="28"/>
          <w:lang w:val="uk-UA"/>
        </w:rPr>
        <w:t>раніше невідому</w:t>
      </w:r>
      <w:r w:rsidR="009D1ADB" w:rsidRPr="009D1AD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бактерію, названу згодом </w:t>
      </w:r>
      <w:proofErr w:type="spellStart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Helicobacter</w:t>
      </w:r>
      <w:proofErr w:type="spellEnd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pylori</w:t>
      </w:r>
      <w:proofErr w:type="spellEnd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proofErr w:type="spellStart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Нр</w:t>
      </w:r>
      <w:proofErr w:type="spellEnd"/>
      <w:r w:rsidR="009D1ADB"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="009D1ADB"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[43].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Було встановлено, що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- це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грамнегативна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мікроаерофільна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сп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ралевидна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бактерія, що має на одному своєму кінці 4-5 джгутиків, завдяки яким вона здатна швидко пересуватися в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надепітеліально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слизу в пошуках</w:t>
      </w:r>
      <w:r w:rsidRPr="001A6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оптимальних умов для існування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A63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- це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неінвазивний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мікроб, життєдіяльність яко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обмежена виключно шлунковим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компартментом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. Поза шлунк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може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існувати тільки в </w:t>
      </w: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осередках шлункової </w:t>
      </w:r>
      <w:proofErr w:type="spellStart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метаплазії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(ділянках порушення процесів клітинного оновлення).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«Вік» </w:t>
      </w:r>
      <w:proofErr w:type="spellStart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, згідно з останніми даними,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не перевищує 50 тис. років. У несприятливих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для існування умовах спіралеподібні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форми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helical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) перетворюються в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кокко</w:t>
      </w:r>
      <w:r>
        <w:rPr>
          <w:rFonts w:ascii="Times New Roman" w:hAnsi="Times New Roman" w:cs="Times New Roman"/>
          <w:sz w:val="28"/>
          <w:szCs w:val="28"/>
          <w:lang w:val="uk-UA"/>
        </w:rPr>
        <w:t>подібні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coccoid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like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), які втрачають репродуктивну здатність, але забезпечують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стійкість в невластивих для їх проживання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обставинах [4].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На пізніх стадіях еволюції частина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придбала «острівець патогенності»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pathogenecity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associated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island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- PAI), розташований на ділянці хромосомної ДНК. Вважають, що його поява є результатом горизонтальної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передачі «острівця» від якогось іншого мікроорганізму [4, 11]. У PAI зосереджені гени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цитотоксичност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cytotoxin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associated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gene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A),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vac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vacuolating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associated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cytotoxin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A),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ice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nduced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contact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epithelium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) і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bab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A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blood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associated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binding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adhesion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). Найважлив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іш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им маркером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цитотоксичност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(патогенності)</w:t>
      </w:r>
      <w:r w:rsidRPr="00550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визнан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ген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А [45].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0C0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інфекція </w:t>
      </w:r>
      <w:r>
        <w:rPr>
          <w:rFonts w:ascii="Times New Roman" w:hAnsi="Times New Roman" w:cs="Times New Roman"/>
          <w:sz w:val="28"/>
          <w:szCs w:val="28"/>
          <w:lang w:val="uk-UA"/>
        </w:rPr>
        <w:t>дуже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поширена: до</w:t>
      </w:r>
      <w:r w:rsidRPr="00550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60% населення земної кулі інфіковано цими</w:t>
      </w:r>
      <w:r w:rsidRPr="00550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бактеріями. Так, в розвинених країнах Європи та Північної Америки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інфіковано 35-50% популяції, а в країнах, що розвиваються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>, 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Африки, Азії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і Латинської Америки - понад 90%, в Росії -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70-90% [24, 26]. Однак клінічні наслідки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їх життєдіяльності у вигляді різних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гастродуоденальних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 зустрічаються лише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в 1% випадків [4]. До 70% людей, інфікованих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, - це здорові бактеріоносії, часто </w:t>
      </w:r>
      <w:r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усього життя [28].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>Прихильники провідн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рол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3C400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інфекці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 розвитку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гастродуоденальних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захворювань стверджують, ніби в шлунку у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немає конкурентів, -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, завдяки їхній унікальній здатності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рекомбінантни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мутацій, зуміли адаптуватися до існування в </w:t>
      </w:r>
      <w:bookmarkStart w:id="0" w:name="_GoBack"/>
      <w:bookmarkEnd w:id="0"/>
      <w:r w:rsidRPr="00551B7E">
        <w:rPr>
          <w:rFonts w:ascii="Times New Roman" w:hAnsi="Times New Roman" w:cs="Times New Roman"/>
          <w:sz w:val="28"/>
          <w:szCs w:val="28"/>
          <w:lang w:val="uk-UA"/>
        </w:rPr>
        <w:t>умовах високої кислотності і ферментативної активності шлункового соку, що володіє бактерицидними властивостями. У разі виявлення в шлунку інш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бактеріальної мікрофлори вони оголошують її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транзиторною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[4].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3C400C">
        <w:rPr>
          <w:rFonts w:ascii="Times New Roman" w:hAnsi="Times New Roman" w:cs="Times New Roman"/>
          <w:i/>
          <w:sz w:val="28"/>
          <w:szCs w:val="28"/>
          <w:lang w:val="uk-UA"/>
        </w:rPr>
        <w:t>Щоб перевірити справедливість цього твердження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нами був вивчений мікробний пейзаж </w:t>
      </w:r>
      <w:proofErr w:type="spellStart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шлунка</w:t>
      </w:r>
      <w:proofErr w:type="spellEnd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хворих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ХГ сучасними методами мікробіологічного дослідження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Був обстежений 71 пацієнт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з ХГ в різних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вікових категоріях. Всього було виділено з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біологічних зразків 105 різноманітних бактерій, що колонізують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при ХГ. Прицільну біопсію в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антральному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відділі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 після обробки ротової порожнини антисептиком. За допомогою стерильних щипців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гастрофіброскоп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забирали два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біоптат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антрума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і тіла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, поміщали їх в 0,3-0,5 мл буферного фізіологічного розчину і негайно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15 хв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) доставляли в лабораторію.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>Первинний посів досліджуваних зразків на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поживні середовища проводили відповідно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нормативни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[7, 8]. З метою видової ідентифікації висіяних мікроорганізмів використовували стандартні поживні середовища, тест-системи експрес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діагност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фірми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Lachema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Biomerieux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». Для підтвердження біологічної сумісності штамів як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додаткових методів порівнювали їх фенотип</w:t>
      </w:r>
      <w:r>
        <w:rPr>
          <w:rFonts w:ascii="Times New Roman" w:hAnsi="Times New Roman" w:cs="Times New Roman"/>
          <w:sz w:val="28"/>
          <w:szCs w:val="28"/>
          <w:lang w:val="uk-UA"/>
        </w:rPr>
        <w:t>ові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тинкторіальн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культуральні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, біохімічні) ознаки [1, 34],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фаголізабельність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чутливість до антимікробних препаратів.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Нами було встановлено, що в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антрум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при ХГ різна мікрофлора визначається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в 80,3% випадків, в тому числі у вигляді бактеріальних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асоціацій - в 55,7%.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Переважаючими видами мікрофлори</w:t>
      </w:r>
      <w:r w:rsidRPr="003C40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</w:t>
      </w:r>
      <w:proofErr w:type="spellStart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антральному</w:t>
      </w:r>
      <w:proofErr w:type="spellEnd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відділі </w:t>
      </w:r>
      <w:proofErr w:type="spellStart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шлунка</w:t>
      </w:r>
      <w:proofErr w:type="spellEnd"/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 ХГ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виявилися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Streptococcus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spp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. (52,5%), виявлені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в концентрації 4,4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КУО / г,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Staphylococcus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spp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(23%) в концентрації 2,2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КУО / г і гриби роду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Candida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(19,7%) в концентрації 1,7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КУО / г.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були виявлені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18% (3,3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КУО / г). В середньому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концентрація мікробних клітин в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біоптатах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при ХГ склала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3,4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Lg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КУО / г [18].</w:t>
      </w:r>
    </w:p>
    <w:p w:rsidR="009D1ADB" w:rsidRPr="00551B7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 вивченні патогенних властивостей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виділеної бактеріальної мікрофлори у 27,3% ± 6,0%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була встановлена їх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уреазна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активність,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у 36,3% ± 3,5% - наявність природних або придбаних в процесі адаптації до агресивного середовища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патогенних властивостей, а у 45,5% ± 3,7% - резистентність до антибіотиків. Ці дані знаходять</w:t>
      </w:r>
      <w:r w:rsidRPr="003C400C">
        <w:rPr>
          <w:rFonts w:ascii="Times New Roman" w:hAnsi="Times New Roman" w:cs="Times New Roman"/>
          <w:sz w:val="28"/>
          <w:szCs w:val="28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підтвердження як у нас в країні [22], так і за кордоном [27], і ігнорувати їх неприпустимо. Виявлена в шлунку різноманітна бактеріальна</w:t>
      </w:r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мукозна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мікрофлора володіє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адгезивн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стю</w:t>
      </w:r>
      <w:proofErr w:type="spellEnd"/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і, в значній частині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випадків,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інвазивністю</w:t>
      </w:r>
      <w:proofErr w:type="spellEnd"/>
      <w:r w:rsidRPr="003C4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C400C">
        <w:rPr>
          <w:rFonts w:ascii="Times New Roman" w:hAnsi="Times New Roman" w:cs="Times New Roman"/>
          <w:sz w:val="28"/>
          <w:szCs w:val="28"/>
        </w:rPr>
        <w:t>н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а відміну від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>) і патогенн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і, найімовірніше, може брати участь у розвитку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інфекці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-запаль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ного процесу в шлунку (ХГ),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ряд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551B7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і без них.</w:t>
      </w:r>
    </w:p>
    <w:p w:rsidR="009D1ADB" w:rsidRPr="00507007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3C400C"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Класифікація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будь-якого захворювання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 xml:space="preserve"> зокрема ХГ) періодично оновлюється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1B7E">
        <w:rPr>
          <w:rFonts w:ascii="Times New Roman" w:hAnsi="Times New Roman" w:cs="Times New Roman"/>
          <w:sz w:val="28"/>
          <w:szCs w:val="28"/>
          <w:lang w:val="uk-UA"/>
        </w:rPr>
        <w:t>в зв'язку з досягненнями науки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>по з'ясуванн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>його етіології, патогенезу, морфологічних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>змін в ураженому органі, клінічних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>проявів.</w:t>
      </w:r>
    </w:p>
    <w:p w:rsidR="009D1ADB" w:rsidRPr="00951A1E" w:rsidRDefault="009D1ADB" w:rsidP="009D1A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07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етап в класифікації ХГ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</w:t>
      </w:r>
      <w:r w:rsidRPr="00507007">
        <w:rPr>
          <w:rFonts w:ascii="Times New Roman" w:hAnsi="Times New Roman" w:cs="Times New Roman"/>
          <w:b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07007">
        <w:rPr>
          <w:rFonts w:ascii="Times New Roman" w:hAnsi="Times New Roman" w:cs="Times New Roman"/>
          <w:b/>
          <w:sz w:val="28"/>
          <w:szCs w:val="28"/>
          <w:lang w:val="uk-UA"/>
        </w:rPr>
        <w:t>ся в 1989 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07007">
        <w:rPr>
          <w:rFonts w:ascii="Times New Roman" w:hAnsi="Times New Roman" w:cs="Times New Roman"/>
          <w:sz w:val="28"/>
          <w:szCs w:val="28"/>
          <w:lang w:val="uk-UA"/>
        </w:rPr>
        <w:t>, коли кілька німецьких вчених,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1ADB">
        <w:rPr>
          <w:rFonts w:ascii="Times New Roman" w:hAnsi="Times New Roman" w:cs="Times New Roman"/>
          <w:sz w:val="28"/>
          <w:szCs w:val="28"/>
          <w:lang w:val="uk-UA"/>
        </w:rPr>
        <w:t>об'єднаних в Робочу групу спілки</w:t>
      </w:r>
      <w:r w:rsidRPr="009D1AD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патологів, розробили нову класифікацію ХГ,</w:t>
      </w:r>
      <w:r w:rsidRPr="00023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виділивши 6 її типів: 1) 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тоімунний ХГ (тип А);</w:t>
      </w:r>
      <w:r w:rsidRPr="00023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2) бактеріальний ХГ (тип В), асоційований</w:t>
      </w:r>
      <w:r w:rsidRPr="00023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0236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інфекці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; 3) змішаний ХГ (тип АВ);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хімікотокс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(тип С); 5)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лімфоцитарний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ХГ; 6) особливі форми ХГ (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гранулематозний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, еозинофільний, Крон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гастр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інфекційний гастрит, виключаючи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). При цьому автори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класифікації запропонували розрізняти в діагнозі ХГ етіологічну і описову складові, а також приводити його морфологічну характеристику [33, 41].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Саме ця класифікація лягла в основу прийнятої в серпні 1990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на IX Міжнародному конгресі гастроентерологів в Австралії (м Сідней)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2369D">
        <w:rPr>
          <w:rFonts w:ascii="Times New Roman" w:hAnsi="Times New Roman" w:cs="Times New Roman"/>
          <w:b/>
          <w:i/>
          <w:sz w:val="28"/>
          <w:szCs w:val="28"/>
          <w:lang w:val="uk-UA"/>
        </w:rPr>
        <w:t>Сіднейської класифікаційної системи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209B">
        <w:rPr>
          <w:rFonts w:ascii="Times New Roman" w:hAnsi="Times New Roman" w:cs="Times New Roman"/>
          <w:b/>
          <w:i/>
          <w:sz w:val="28"/>
          <w:szCs w:val="28"/>
          <w:lang w:val="uk-UA"/>
        </w:rPr>
        <w:t>ХГ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рунтується на трьох принципах: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етіологічному (патогенетич</w:t>
      </w:r>
      <w:r>
        <w:rPr>
          <w:rFonts w:ascii="Times New Roman" w:hAnsi="Times New Roman" w:cs="Times New Roman"/>
          <w:sz w:val="28"/>
          <w:szCs w:val="28"/>
          <w:lang w:val="uk-UA"/>
        </w:rPr>
        <w:t>ному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), що отримав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граматичн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назву «префікс», топографічн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у («корінь», або «ядро») і морфологічн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у («суфікс») [37].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02369D">
        <w:rPr>
          <w:rFonts w:ascii="Times New Roman" w:hAnsi="Times New Roman" w:cs="Times New Roman"/>
          <w:b/>
          <w:i/>
          <w:sz w:val="28"/>
          <w:szCs w:val="28"/>
          <w:lang w:val="uk-UA"/>
        </w:rPr>
        <w:t>Активність ХГ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визначається морфологічно - по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ності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нейтрофільно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 в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лімфоплазмоц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тарн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запальн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інфільтрації СОШ, яка вказує на наявність хронічного запального процесу. Крім того, відзначають наявність і тип кишкової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[5].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також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напівкількісна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оцінка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ності контамінації СОШ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: слабка,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помірна, важка.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1ADB" w:rsidRPr="00DA6AE7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За етіологі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(або патогенез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) в класифікації розрізняють: 1) 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тоімунний ХГ (його етіологія невідома); 2)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асоці</w:t>
      </w:r>
      <w:r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ваний ХГ;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ідіопатичний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ХГ; 4)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рефлюкс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гастр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 оперованого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A6AE7">
        <w:rPr>
          <w:rFonts w:ascii="Times New Roman" w:hAnsi="Times New Roman" w:cs="Times New Roman"/>
          <w:sz w:val="28"/>
          <w:szCs w:val="28"/>
          <w:lang w:val="uk-UA"/>
        </w:rPr>
        <w:t xml:space="preserve">5) особливі форми ХГ: </w:t>
      </w:r>
      <w:proofErr w:type="spellStart"/>
      <w:r w:rsidRPr="00DA6AE7">
        <w:rPr>
          <w:rFonts w:ascii="Times New Roman" w:hAnsi="Times New Roman" w:cs="Times New Roman"/>
          <w:sz w:val="28"/>
          <w:szCs w:val="28"/>
          <w:lang w:val="uk-UA"/>
        </w:rPr>
        <w:t>гранулематозний</w:t>
      </w:r>
      <w:proofErr w:type="spellEnd"/>
      <w:r w:rsidRPr="00DA6AE7">
        <w:rPr>
          <w:rFonts w:ascii="Times New Roman" w:hAnsi="Times New Roman" w:cs="Times New Roman"/>
          <w:sz w:val="28"/>
          <w:szCs w:val="28"/>
          <w:lang w:val="uk-UA"/>
        </w:rPr>
        <w:t>, включаючи Крон-гастр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A6AE7">
        <w:rPr>
          <w:rFonts w:ascii="Times New Roman" w:hAnsi="Times New Roman" w:cs="Times New Roman"/>
          <w:sz w:val="28"/>
          <w:szCs w:val="28"/>
          <w:lang w:val="uk-UA"/>
        </w:rPr>
        <w:t xml:space="preserve">т, </w:t>
      </w:r>
      <w:proofErr w:type="spellStart"/>
      <w:r w:rsidRPr="00DA6AE7">
        <w:rPr>
          <w:rFonts w:ascii="Times New Roman" w:hAnsi="Times New Roman" w:cs="Times New Roman"/>
          <w:sz w:val="28"/>
          <w:szCs w:val="28"/>
          <w:lang w:val="uk-UA"/>
        </w:rPr>
        <w:t>саркоїдоз</w:t>
      </w:r>
      <w:proofErr w:type="spellEnd"/>
      <w:r w:rsidRPr="00DA6AE7">
        <w:rPr>
          <w:rFonts w:ascii="Times New Roman" w:hAnsi="Times New Roman" w:cs="Times New Roman"/>
          <w:sz w:val="28"/>
          <w:szCs w:val="28"/>
          <w:lang w:val="uk-UA"/>
        </w:rPr>
        <w:t xml:space="preserve"> і туберкульоз; еозинофільний і </w:t>
      </w:r>
      <w:proofErr w:type="spellStart"/>
      <w:r w:rsidRPr="00DA6AE7">
        <w:rPr>
          <w:rFonts w:ascii="Times New Roman" w:hAnsi="Times New Roman" w:cs="Times New Roman"/>
          <w:sz w:val="28"/>
          <w:szCs w:val="28"/>
          <w:lang w:val="uk-UA"/>
        </w:rPr>
        <w:t>лімфоцитарний</w:t>
      </w:r>
      <w:proofErr w:type="spellEnd"/>
      <w:r w:rsidRPr="00DA6AE7">
        <w:rPr>
          <w:rFonts w:ascii="Times New Roman" w:hAnsi="Times New Roman" w:cs="Times New Roman"/>
          <w:sz w:val="28"/>
          <w:szCs w:val="28"/>
          <w:lang w:val="uk-UA"/>
        </w:rPr>
        <w:t xml:space="preserve"> ХГ, асоційований в частині випадків з целіакію (</w:t>
      </w:r>
      <w:proofErr w:type="spellStart"/>
      <w:r w:rsidRPr="00DA6AE7">
        <w:rPr>
          <w:rFonts w:ascii="Times New Roman" w:hAnsi="Times New Roman" w:cs="Times New Roman"/>
          <w:sz w:val="28"/>
          <w:szCs w:val="28"/>
          <w:lang w:val="uk-UA"/>
        </w:rPr>
        <w:t>глютеновою</w:t>
      </w:r>
      <w:proofErr w:type="spellEnd"/>
      <w:r w:rsidRPr="00DA6A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6AE7">
        <w:rPr>
          <w:rFonts w:ascii="Times New Roman" w:hAnsi="Times New Roman" w:cs="Times New Roman"/>
          <w:sz w:val="28"/>
          <w:szCs w:val="28"/>
          <w:lang w:val="uk-UA"/>
        </w:rPr>
        <w:t>ентеропатією</w:t>
      </w:r>
      <w:proofErr w:type="spellEnd"/>
      <w:r w:rsidRPr="00DA6AE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8F7F66">
        <w:rPr>
          <w:rFonts w:ascii="Times New Roman" w:hAnsi="Times New Roman" w:cs="Times New Roman"/>
          <w:b/>
          <w:i/>
          <w:sz w:val="28"/>
          <w:szCs w:val="28"/>
          <w:lang w:val="uk-UA"/>
        </w:rPr>
        <w:t>Атрофічний ХГ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в своєму розвитку проходить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ряд стадій: неатрофіч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антральний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ХГ, який з часом поширюється в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антрокардіальном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напрямку, захоплюючи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фундальний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антрокардіальна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експансія ХГ),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а потім протягом багатьох років поступово розвивається і прогресує атрофічний процес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вражаючи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фундальний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антральний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відділи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отальний атрофічний ХГ), і, нарешті,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мультифокальний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ХГ, що передує розвитку Р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Атрофічний процес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захоплює парієнтальні і головні клітини шлункових залоз і супроводжується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гіпо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ахлорг</w:t>
      </w:r>
      <w:r>
        <w:rPr>
          <w:rFonts w:ascii="Times New Roman" w:hAnsi="Times New Roman" w:cs="Times New Roman"/>
          <w:sz w:val="28"/>
          <w:szCs w:val="28"/>
          <w:lang w:val="uk-UA"/>
        </w:rPr>
        <w:t>ідрією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, шлунково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ахілією 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пергастринем</w:t>
      </w:r>
      <w:r>
        <w:rPr>
          <w:rFonts w:ascii="Times New Roman" w:hAnsi="Times New Roman" w:cs="Times New Roman"/>
          <w:sz w:val="28"/>
          <w:szCs w:val="28"/>
          <w:lang w:val="uk-UA"/>
        </w:rPr>
        <w:t>ією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У 1994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нами була опублікована стаття з критикою окремих положень </w:t>
      </w:r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>«Сіднейської класифікаційної системи»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[14]. Так, ми вважали за доцільне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відновити розмежування ХГ на типи А, В і С, оскільки вони вдало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відображають особливості їх походження: тип 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тоімунний, тип В - бактеріальний; тип С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хімікотокс</w:t>
      </w:r>
      <w:r>
        <w:rPr>
          <w:rFonts w:ascii="Times New Roman" w:hAnsi="Times New Roman" w:cs="Times New Roman"/>
          <w:sz w:val="28"/>
          <w:szCs w:val="28"/>
          <w:lang w:val="uk-UA"/>
        </w:rPr>
        <w:t>ични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(від слова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chemical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хімікотокс</w:t>
      </w:r>
      <w:r>
        <w:rPr>
          <w:rFonts w:ascii="Times New Roman" w:hAnsi="Times New Roman" w:cs="Times New Roman"/>
          <w:sz w:val="28"/>
          <w:szCs w:val="28"/>
          <w:lang w:val="uk-UA"/>
        </w:rPr>
        <w:t>ичного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(тип С) ми рекомендували включити лікарський ХГ, індукований прийомом нестероїдних протизапальних засобів (НПЗЗ).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Найважливішим доповненням до </w:t>
      </w:r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>«Сіднейської класифікаційної систем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ми вважали включення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двох нових розділів: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За функціональним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: 1) ХГ зі збереженою і підвищеною секрецією і 2) ХГ із секреторною недостатністю (помірний,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ний, тотальний).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За клінічним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: 1) ХГ з больовим синдромом (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gastritis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dolorosa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); 2) ХГ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з диспепсичним синдромом і 3) ХГ латентного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езсимптомного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перебігу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[14, 20].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Ми вважаємо, що відсутність функціонального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і клінічного розділів в Сіднейськ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класифікації ХГ - це її серйозний недолік,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твердження, ніби ХГ завжди перебігає </w:t>
      </w:r>
      <w:proofErr w:type="spellStart"/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безсимптомно</w:t>
      </w:r>
      <w:proofErr w:type="spellEnd"/>
      <w:r w:rsidRPr="00E502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- помилковим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не відповідає клінічним реалі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[2, 17, 21].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C40FD">
        <w:rPr>
          <w:rFonts w:ascii="Times New Roman" w:hAnsi="Times New Roman" w:cs="Times New Roman"/>
          <w:b/>
          <w:i/>
          <w:sz w:val="28"/>
          <w:szCs w:val="28"/>
          <w:lang w:val="uk-UA"/>
        </w:rPr>
        <w:t>У 1996 році був опублікований Х'юстонський варіант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Сіднейської класифікації ХГ, підготовлений групою провідних американських гастроентеролог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морфолог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в, в якому виділені три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розділи: 1) тип гастриту; 2) етіологічні чинники ХГ; 3) синоніми.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C40FD">
        <w:rPr>
          <w:rFonts w:ascii="Times New Roman" w:hAnsi="Times New Roman" w:cs="Times New Roman"/>
          <w:b/>
          <w:i/>
          <w:sz w:val="28"/>
          <w:szCs w:val="28"/>
          <w:lang w:val="uk-UA"/>
        </w:rPr>
        <w:t>У першому його розділі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пропонується розрізняти: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1) неатрофіч</w:t>
      </w:r>
      <w:r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й ХГ; 2) атрофічний ХГ; 3) особливі форми ХГ: а) хімічний; б) радіаційний;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лімфоцитарний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гранулематозний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; д) інфекційний (виключаючи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). В якості етіологічних факторів неатрофіч</w:t>
      </w:r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фігурують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інфекція і інші (?).</w:t>
      </w:r>
    </w:p>
    <w:p w:rsidR="009D1ADB" w:rsidRPr="00951A1E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При 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тоімунному атроф</w:t>
      </w:r>
      <w:r>
        <w:rPr>
          <w:rFonts w:ascii="Times New Roman" w:hAnsi="Times New Roman" w:cs="Times New Roman"/>
          <w:sz w:val="28"/>
          <w:szCs w:val="28"/>
          <w:lang w:val="uk-UA"/>
        </w:rPr>
        <w:t>ічному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фундальном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ХГ, етіологія якого невідома, позначен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його 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тоімунний патогенез.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ричинами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хімічного ХГ названі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дуодено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гастральн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рефлюкс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рефлюкс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гастр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т), ліки (НПЗЗ)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та інші хімічні подразники.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тіологією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радіаційного ХГ слугує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променеве ураження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. Серед можливих етіологічних факторів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мфоцитарного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вказані імунні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порушення,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інфекція і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глютен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, оскільки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в 40% випадків ця форма (тип) ХГ поєднується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з целіакі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ю (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глютеновою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ентеропатією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). Причиною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гранулематозного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можуть стати хвороба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Крона (Крон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гастр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т),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саркоїдоз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гранулематоз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Вегенера, сторонні тіла в шлунку. При еозинофільному ХГ мають значення харчові та інші алергени, а при інфекційному ХГ - різні бактерії (виключаючи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), віруси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патогенні гриби.</w:t>
      </w:r>
    </w:p>
    <w:p w:rsidR="00540900" w:rsidRPr="00D16689" w:rsidRDefault="009D1ADB" w:rsidP="005409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1A1E">
        <w:rPr>
          <w:rFonts w:ascii="Times New Roman" w:hAnsi="Times New Roman" w:cs="Times New Roman"/>
          <w:sz w:val="28"/>
          <w:szCs w:val="28"/>
          <w:lang w:val="uk-UA"/>
        </w:rPr>
        <w:t>У переліку синонімів різних типів ХГ вказані: 1) при неатрофіч</w:t>
      </w:r>
      <w:r>
        <w:rPr>
          <w:rFonts w:ascii="Times New Roman" w:hAnsi="Times New Roman" w:cs="Times New Roman"/>
          <w:sz w:val="28"/>
          <w:szCs w:val="28"/>
          <w:lang w:val="uk-UA"/>
        </w:rPr>
        <w:t>ному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ХГ -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антральний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поверхневий, дифузний,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інтерстиціальний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40FD">
        <w:rPr>
          <w:rFonts w:ascii="Times New Roman" w:hAnsi="Times New Roman" w:cs="Times New Roman"/>
          <w:b/>
          <w:i/>
          <w:sz w:val="28"/>
          <w:szCs w:val="28"/>
          <w:lang w:val="uk-UA"/>
        </w:rPr>
        <w:t>гіперсекреторний</w:t>
      </w:r>
      <w:proofErr w:type="spellEnd"/>
      <w:r w:rsidRPr="00DC40FD">
        <w:rPr>
          <w:rFonts w:ascii="Times New Roman" w:hAnsi="Times New Roman" w:cs="Times New Roman"/>
          <w:b/>
          <w:i/>
          <w:sz w:val="28"/>
          <w:szCs w:val="28"/>
          <w:lang w:val="uk-UA"/>
        </w:rPr>
        <w:t>, тип 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; 2) при атрофічному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тоімунному ХГ -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фундальний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, дифузний, асоційований з 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мегалобластно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 (В12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дефіц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тно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, перн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>озно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) анемією, </w:t>
      </w:r>
      <w:r w:rsidRPr="00DC40FD">
        <w:rPr>
          <w:rFonts w:ascii="Times New Roman" w:hAnsi="Times New Roman" w:cs="Times New Roman"/>
          <w:b/>
          <w:i/>
          <w:sz w:val="28"/>
          <w:szCs w:val="28"/>
          <w:lang w:val="uk-UA"/>
        </w:rPr>
        <w:t>тип А</w:t>
      </w:r>
      <w:r w:rsidRPr="00951A1E">
        <w:rPr>
          <w:rFonts w:ascii="Times New Roman" w:hAnsi="Times New Roman" w:cs="Times New Roman"/>
          <w:sz w:val="28"/>
          <w:szCs w:val="28"/>
          <w:lang w:val="uk-UA"/>
        </w:rPr>
        <w:t xml:space="preserve">; 3) при хімічному ХГ - реактивний, </w:t>
      </w:r>
      <w:proofErr w:type="spellStart"/>
      <w:r w:rsidRPr="00951A1E">
        <w:rPr>
          <w:rFonts w:ascii="Times New Roman" w:hAnsi="Times New Roman" w:cs="Times New Roman"/>
          <w:sz w:val="28"/>
          <w:szCs w:val="28"/>
          <w:lang w:val="uk-UA"/>
        </w:rPr>
        <w:t>рефлюкс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0900">
        <w:rPr>
          <w:rFonts w:ascii="Times New Roman" w:hAnsi="Times New Roman" w:cs="Times New Roman"/>
          <w:sz w:val="28"/>
          <w:szCs w:val="28"/>
          <w:lang w:val="uk-UA"/>
        </w:rPr>
        <w:t xml:space="preserve">гастрит, </w:t>
      </w:r>
      <w:r w:rsidRPr="0054090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тип С </w:t>
      </w:r>
      <w:r w:rsidRPr="0054090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540900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5409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0900" w:rsidRPr="005409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Х'юстон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варіант класифікації ХГ доповнений </w:t>
      </w:r>
      <w:r w:rsidR="00540900" w:rsidRPr="007253A8">
        <w:rPr>
          <w:rFonts w:ascii="Times New Roman" w:hAnsi="Times New Roman" w:cs="Times New Roman"/>
          <w:b/>
          <w:i/>
          <w:sz w:val="28"/>
          <w:szCs w:val="28"/>
          <w:lang w:val="uk-UA"/>
        </w:rPr>
        <w:t>візуально-аналоговою шкалою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, що дозволяє зменшити суб'єктивність оцінки морфологічних змін при різних типах ХГ.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У ній вказані еталони </w:t>
      </w:r>
      <w:proofErr w:type="spellStart"/>
      <w:r w:rsidR="00540900">
        <w:rPr>
          <w:rFonts w:ascii="Times New Roman" w:hAnsi="Times New Roman" w:cs="Times New Roman"/>
          <w:sz w:val="28"/>
          <w:szCs w:val="28"/>
          <w:lang w:val="uk-UA"/>
        </w:rPr>
        <w:t>напівкількісної</w:t>
      </w:r>
      <w:proofErr w:type="spellEnd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оцінки гістологічної картини 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: її </w:t>
      </w:r>
      <w:proofErr w:type="spellStart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лімфоплазмоц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тарно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нейтрофільної</w:t>
      </w:r>
      <w:proofErr w:type="spellEnd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запальної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інфільтрації, ступені (стадії)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lastRenderedPageBreak/>
        <w:t>атрофічного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процесу, наявності та вира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ності кишкової </w:t>
      </w:r>
      <w:proofErr w:type="spellStart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 її контамінації </w:t>
      </w:r>
      <w:proofErr w:type="spellStart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Нр</w:t>
      </w:r>
      <w:proofErr w:type="spellEnd"/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[30].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>Таким чином, в Х'юстон</w:t>
      </w:r>
      <w:r>
        <w:rPr>
          <w:rFonts w:ascii="Times New Roman" w:hAnsi="Times New Roman" w:cs="Times New Roman"/>
          <w:sz w:val="28"/>
          <w:szCs w:val="28"/>
          <w:lang w:val="uk-UA"/>
        </w:rPr>
        <w:t>ський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варіант класифікації ХГ 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виявилися включеними майже всі рекомендовані нами доповнення в «Сідне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йську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класифікацію»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: 1) відновлено поділ ХГ на типи А, В і С; 2) до складу хімічного ХГ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додатково включений лікарський ХГ, індукований тривалим прийомом НПЗЗ; 3) в якості одного з синонімів неатрофіч</w:t>
      </w:r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ХГ названий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гіперсекреторний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ХГ (функціональна його характеристика) [19].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У 2002 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група міжнародних експертів-морфологів з вивчення атрофічного процесу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розробила нову морфологічну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класифікацію атрофічного ХГ, виділивши два її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основні типи: 1)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неметапласт</w:t>
      </w:r>
      <w:r>
        <w:rPr>
          <w:rFonts w:ascii="Times New Roman" w:hAnsi="Times New Roman" w:cs="Times New Roman"/>
          <w:sz w:val="28"/>
          <w:szCs w:val="28"/>
          <w:lang w:val="uk-UA"/>
        </w:rPr>
        <w:t>ичну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 2)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метапластич</w:t>
      </w:r>
      <w:r>
        <w:rPr>
          <w:rFonts w:ascii="Times New Roman" w:hAnsi="Times New Roman" w:cs="Times New Roman"/>
          <w:sz w:val="28"/>
          <w:szCs w:val="28"/>
          <w:lang w:val="uk-UA"/>
        </w:rPr>
        <w:t>ну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; в кожному з яких встановлені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три категорії: 1) атрофія відсутня; 2) невизначена (непідтверджена) атрофія; 3) атрофія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підтверджена.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 </w:t>
      </w:r>
      <w:proofErr w:type="spellStart"/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метапластичному</w:t>
      </w:r>
      <w:proofErr w:type="spellEnd"/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типі атрофії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часткова або повна втрата </w:t>
      </w:r>
      <w:r w:rsidRPr="00CB62A4">
        <w:rPr>
          <w:rFonts w:ascii="Times New Roman" w:hAnsi="Times New Roman" w:cs="Times New Roman"/>
          <w:sz w:val="28"/>
          <w:szCs w:val="28"/>
          <w:lang w:val="uk-UA"/>
        </w:rPr>
        <w:t>шлункових залоз, які заміщаються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кишковим епітелієм (кишкова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) або (рідше) п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лорич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им епітелієм. 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При </w:t>
      </w:r>
      <w:proofErr w:type="spellStart"/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неметапласт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чному</w:t>
      </w:r>
      <w:proofErr w:type="spellEnd"/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типі атрофії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шлункові залози збережені,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але істотно зменшений обсяг зал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зистої тканини - залози зустрічаються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і, як правило,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є неглибокими; спостерігається фіброз і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бромускулярна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проліферація власної пластинки СОШ.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Кишкову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та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пілоричну </w:t>
      </w:r>
      <w:proofErr w:type="spellStart"/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метаплаз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слід розглядати як безумовн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ознак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атрофічного процесу в 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00" w:rsidRPr="00D16689" w:rsidRDefault="00E310BA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540900"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тяжк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істю</w:t>
      </w:r>
      <w:r w:rsidR="00540900"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процесу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обидва типи атрофії поділяються на три ступен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: 1) незначн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егк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), коли втрачено менше 30% шлункових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>залоз; 2) помірн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(30-60%); 3) важк</w:t>
      </w:r>
      <w:r w:rsidR="00540900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540900"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(більше 60%) [13, 38].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Поява кишкової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є свідченням переходу фенотипу шлункових залоз до тонко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то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стокиш</w:t>
      </w:r>
      <w:r>
        <w:rPr>
          <w:rFonts w:ascii="Times New Roman" w:hAnsi="Times New Roman" w:cs="Times New Roman"/>
          <w:sz w:val="28"/>
          <w:szCs w:val="28"/>
          <w:lang w:val="uk-UA"/>
        </w:rPr>
        <w:t>кового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фенотипу. При цьому I тип - це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тонкокиш</w:t>
      </w:r>
      <w:r>
        <w:rPr>
          <w:rFonts w:ascii="Times New Roman" w:hAnsi="Times New Roman" w:cs="Times New Roman"/>
          <w:sz w:val="28"/>
          <w:szCs w:val="28"/>
          <w:lang w:val="uk-UA"/>
        </w:rPr>
        <w:t>кова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(повна)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, при якій в шлунку з'являються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келихоподібн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клітини, що продукують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сіаломуцин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, і клітини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Панета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; II тип відрізняється неповно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кишкової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метаплазією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, яка характеризується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наявністю призматичного епітелію і келихоподібних (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goblet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) клітин, які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секретують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нейтральні або кислі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сіаломуцин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, а III тип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то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стокиш</w:t>
      </w:r>
      <w:r>
        <w:rPr>
          <w:rFonts w:ascii="Times New Roman" w:hAnsi="Times New Roman" w:cs="Times New Roman"/>
          <w:sz w:val="28"/>
          <w:szCs w:val="28"/>
          <w:lang w:val="uk-UA"/>
        </w:rPr>
        <w:t>ково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>
        <w:rPr>
          <w:rFonts w:ascii="Times New Roman" w:hAnsi="Times New Roman" w:cs="Times New Roman"/>
          <w:sz w:val="28"/>
          <w:szCs w:val="28"/>
          <w:lang w:val="uk-UA"/>
        </w:rPr>
        <w:t>іє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секретує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сульфамуц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ни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(клітини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Панета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відсутні) [3, 13].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Нарешті, 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>в 2008 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6F16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основному та ж група експертів-морфологів представила нову систему оцінки атрофічного процесу в шлунку при ХГ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, що отримала найменування </w:t>
      </w:r>
      <w:r w:rsidRPr="00074A84">
        <w:rPr>
          <w:rFonts w:ascii="Times New Roman" w:hAnsi="Times New Roman" w:cs="Times New Roman"/>
          <w:b/>
          <w:i/>
          <w:sz w:val="28"/>
          <w:szCs w:val="28"/>
          <w:lang w:val="uk-UA"/>
        </w:rPr>
        <w:t>«система OLGA»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Operative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Link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Gastritis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Assessment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основна мета якої - профілактика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некардіального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00" w:rsidRPr="00074A84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Реалізують її шляхом отримання трьох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оптат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антрума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074A84">
        <w:rPr>
          <w:rFonts w:ascii="Times New Roman" w:hAnsi="Times New Roman" w:cs="Times New Roman"/>
          <w:b/>
          <w:i/>
          <w:sz w:val="28"/>
          <w:szCs w:val="28"/>
          <w:lang w:val="uk-UA"/>
        </w:rPr>
        <w:t>двох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з його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фундального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відділу (тіло і дно). Надалі </w:t>
      </w:r>
      <w:r w:rsidRPr="00074A84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визначають інтегральний показник: стадію і ступінь атрофічного процесу в СОШ.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074A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Стадію атрофії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 за допомогою 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нової візуально-аналогової шкали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Для цього необхідно в кожному з 5 отриманих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оптат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оцінити 10 правильно орієнтованих шлункових залоз і визначити, скільки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них піддалося атрофії. </w:t>
      </w: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об 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трофії, отримане число множать на 10,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а потім ділять на 3 (по числу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біоптатів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, взятих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антрума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) і на 2 (по числу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біоптатів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з тіла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>) і таким чином визначають середній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%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трофії. Після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% переводять в бали: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1) якщо немає атрофії - «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0 балів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»; 2) при легкій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атрофії (втрачено менше 30% шлункових залоз) - «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1 бал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»; 3) при помірній атрофії (30-60% атрофованих залоз) - «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2 бали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»; 4)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важк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атрофії (понад 60% атрофованих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залоз) - «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3 бали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>Відповідно до системи OLGA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, інтегральним показником морфологічних ознак атрофічного ХГ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і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ності запального процесу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є ступінь і стадія атрофічного процесу.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Оцінюючи ступінь атрофічного ХГ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, визначають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ність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лімфоплазмоц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тарно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запальної інфільтрації і її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нейтроф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компонента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стадію атрофічного ХГ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 по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ності атрофічного процесу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, яка ділиться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4 ступеня від 0 до 4 [39].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AF7FD7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Перевагами системи OLGA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1) можливість визначення стадії атрофічного процесу, що дозволяє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об'єктивізувати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ступінь ризику розвитку Р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: чим вира</w:t>
      </w:r>
      <w:r>
        <w:rPr>
          <w:rFonts w:ascii="Times New Roman" w:hAnsi="Times New Roman" w:cs="Times New Roman"/>
          <w:sz w:val="28"/>
          <w:szCs w:val="28"/>
          <w:lang w:val="uk-UA"/>
        </w:rPr>
        <w:t>зніший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атрофічний процес і більш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площа ураження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тим вищ</w:t>
      </w:r>
      <w:r>
        <w:rPr>
          <w:rFonts w:ascii="Times New Roman" w:hAnsi="Times New Roman" w:cs="Times New Roman"/>
          <w:sz w:val="28"/>
          <w:szCs w:val="28"/>
          <w:lang w:val="uk-UA"/>
        </w:rPr>
        <w:t>им є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ризик розвитку </w:t>
      </w:r>
      <w:proofErr w:type="spellStart"/>
      <w:r w:rsidRPr="00D16689">
        <w:rPr>
          <w:rFonts w:ascii="Times New Roman" w:hAnsi="Times New Roman" w:cs="Times New Roman"/>
          <w:sz w:val="28"/>
          <w:szCs w:val="28"/>
          <w:lang w:val="uk-UA"/>
        </w:rPr>
        <w:t>некардіального</w:t>
      </w:r>
      <w:proofErr w:type="spellEnd"/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2) з її допомогою при оцінці результатів (ефективності) лікувальних заходів можна визначити, наскільки знизилися ступінь запального процесу і його активність після проведеного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курсу лікування [3].</w:t>
      </w:r>
    </w:p>
    <w:p w:rsidR="00540900" w:rsidRPr="00D16689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>III. У заключній частині статті ми визнали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виправданим </w:t>
      </w:r>
      <w:r w:rsidRPr="00AF7FD7">
        <w:rPr>
          <w:rFonts w:ascii="Times New Roman" w:hAnsi="Times New Roman" w:cs="Times New Roman"/>
          <w:i/>
          <w:sz w:val="28"/>
          <w:szCs w:val="28"/>
          <w:lang w:val="uk-UA"/>
        </w:rPr>
        <w:t>ще раз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обговорити проблему співвідношення діагнозу «ХГ»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з синдромом функціональної (</w:t>
      </w:r>
      <w:proofErr w:type="spellStart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гастродуоденальної</w:t>
      </w:r>
      <w:proofErr w:type="spellEnd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) диспепсії - СФД (</w:t>
      </w:r>
      <w:proofErr w:type="spellStart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functional</w:t>
      </w:r>
      <w:proofErr w:type="spellEnd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gastroduodenal</w:t>
      </w:r>
      <w:proofErr w:type="spellEnd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>disorders</w:t>
      </w:r>
      <w:proofErr w:type="spellEnd"/>
      <w:r w:rsidRPr="00F121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FGD)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[16].</w:t>
      </w:r>
    </w:p>
    <w:p w:rsidR="00540900" w:rsidRPr="00EF3DAC" w:rsidRDefault="00540900" w:rsidP="005409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«Римським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», перегляд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689">
        <w:rPr>
          <w:rFonts w:ascii="Times New Roman" w:hAnsi="Times New Roman" w:cs="Times New Roman"/>
          <w:sz w:val="28"/>
          <w:szCs w:val="28"/>
          <w:lang w:val="uk-UA"/>
        </w:rPr>
        <w:t>яких був опублікований в 2006 році (Римські критерії III), СФД - це функціональний клінічний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900">
        <w:rPr>
          <w:rFonts w:ascii="Times New Roman" w:hAnsi="Times New Roman" w:cs="Times New Roman"/>
          <w:sz w:val="28"/>
          <w:szCs w:val="28"/>
          <w:lang w:val="uk-UA"/>
        </w:rPr>
        <w:t>симптомокомплекс, що не має</w:t>
      </w:r>
      <w:r w:rsidRPr="005409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0F1F2E">
        <w:rPr>
          <w:rFonts w:ascii="Times New Roman" w:hAnsi="Times New Roman" w:cs="Times New Roman"/>
          <w:sz w:val="28"/>
          <w:szCs w:val="28"/>
          <w:lang w:val="uk-UA"/>
        </w:rPr>
        <w:t xml:space="preserve">морфологічного субстрату, який характеризується появою </w:t>
      </w:r>
      <w:proofErr w:type="spellStart"/>
      <w:r w:rsidRPr="000F1F2E">
        <w:rPr>
          <w:rFonts w:ascii="Times New Roman" w:hAnsi="Times New Roman" w:cs="Times New Roman"/>
          <w:sz w:val="28"/>
          <w:szCs w:val="28"/>
          <w:lang w:val="uk-UA"/>
        </w:rPr>
        <w:t>епігастралгії</w:t>
      </w:r>
      <w:proofErr w:type="spellEnd"/>
      <w:r w:rsidRPr="000F1F2E">
        <w:rPr>
          <w:rFonts w:ascii="Times New Roman" w:hAnsi="Times New Roman" w:cs="Times New Roman"/>
          <w:sz w:val="28"/>
          <w:szCs w:val="28"/>
          <w:lang w:val="uk-UA"/>
        </w:rPr>
        <w:t xml:space="preserve"> та диспепсичних явищ, індукованих прийомом їжі і локалізовани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F1F2E">
        <w:rPr>
          <w:rFonts w:ascii="Times New Roman" w:hAnsi="Times New Roman" w:cs="Times New Roman"/>
          <w:sz w:val="28"/>
          <w:szCs w:val="28"/>
          <w:lang w:val="uk-UA"/>
        </w:rPr>
        <w:t xml:space="preserve"> в надчеревній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ділянці, ближче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до серединної лінії [42].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0F1F2E">
        <w:rPr>
          <w:rFonts w:ascii="Times New Roman" w:hAnsi="Times New Roman" w:cs="Times New Roman"/>
          <w:b/>
          <w:sz w:val="28"/>
          <w:szCs w:val="28"/>
          <w:lang w:val="uk-UA"/>
        </w:rPr>
        <w:t>Однією з найважливіших умов діагностики СФД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є його розмежування з будь-якими органічними захворюваннями, </w:t>
      </w: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є причиною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9B0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органічної диспепсії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. При перерахуванні органічних захворювань верхніх відділів травного тракту, що виключають діагноз СФД,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які супроводжуються органічно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диспепсією, автори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49B0">
        <w:rPr>
          <w:rFonts w:ascii="Times New Roman" w:hAnsi="Times New Roman" w:cs="Times New Roman"/>
          <w:sz w:val="28"/>
          <w:szCs w:val="28"/>
          <w:lang w:val="uk-UA"/>
        </w:rPr>
        <w:t>укладач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і Римських критеріїв називають ВХ, Р</w:t>
      </w:r>
      <w:r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гастроезофагеальн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рефлюксн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та її ускладнення, хронічний холецистит і хронічний панкреатит. Звертає на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увагу, що в цьому переліку чомусь відсутн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ХГ - найчастіший органічний патологічний процес в гастроентерологічн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клініці. І це не випадковий недогляд. Автори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49B0">
        <w:rPr>
          <w:rFonts w:ascii="Times New Roman" w:hAnsi="Times New Roman" w:cs="Times New Roman"/>
          <w:sz w:val="28"/>
          <w:szCs w:val="28"/>
          <w:lang w:val="uk-UA"/>
        </w:rPr>
        <w:t>укладач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і стверджують, ніби ХГ </w:t>
      </w:r>
      <w:r w:rsidRPr="00644CD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завжди перебігає </w:t>
      </w:r>
      <w:proofErr w:type="spellStart"/>
      <w:r w:rsidRPr="00644CD6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безсимптомно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, а в разі появи при ХГ диспепсичних явищ </w:t>
      </w:r>
      <w:r w:rsidRPr="00644CD6">
        <w:rPr>
          <w:rFonts w:ascii="Times New Roman" w:hAnsi="Times New Roman" w:cs="Times New Roman"/>
          <w:b/>
          <w:i/>
          <w:sz w:val="28"/>
          <w:szCs w:val="28"/>
          <w:lang w:val="uk-UA"/>
        </w:rPr>
        <w:t>рекомендують діагностувати «ХГ із СФД»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, об'єднуючи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в одному діагнозі органічний процес (ХГ)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з функціональним синдромом (СФД). При цьому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вважають, що ХГ - це чисто морфологічний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діагноз, що не супроводжується клінічними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проявами. </w:t>
      </w:r>
      <w:r w:rsidRPr="007C1252">
        <w:rPr>
          <w:rFonts w:ascii="Times New Roman" w:hAnsi="Times New Roman" w:cs="Times New Roman"/>
          <w:b/>
          <w:i/>
          <w:sz w:val="28"/>
          <w:szCs w:val="28"/>
          <w:lang w:val="uk-UA"/>
        </w:rPr>
        <w:t>Клініцисти, які вивчають ХГ, добре знають, що це не так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: в значній частині випадків ХГ п</w:t>
      </w:r>
      <w:r>
        <w:rPr>
          <w:rFonts w:ascii="Times New Roman" w:hAnsi="Times New Roman" w:cs="Times New Roman"/>
          <w:sz w:val="28"/>
          <w:szCs w:val="28"/>
          <w:lang w:val="uk-UA"/>
        </w:rPr>
        <w:t>еребіг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ає і з больовим синдромом (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gastritis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dolorosa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>), і з диспепсичними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явищами [2, 12, 17, 21, 23].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lastRenderedPageBreak/>
        <w:t>Крім того, як відомо, чисто функціональних захворювань в природі не існує: всі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мають свій морфологічний субстрат (еквівалент) у вигляді порушень клітинних мембран, ядерних і цитоплазматичних органел, рецепторного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ін. [9]. Видатний клініцист і вчений В. Х. Василенко чітко сказав про це в своєму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блискучому за формою і змістом афоризмі: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252">
        <w:rPr>
          <w:rFonts w:ascii="Times New Roman" w:hAnsi="Times New Roman" w:cs="Times New Roman"/>
          <w:b/>
          <w:i/>
          <w:sz w:val="28"/>
          <w:szCs w:val="28"/>
          <w:lang w:val="uk-UA"/>
        </w:rPr>
        <w:t>«Функція без структури немислима, а структура без функції безглузда»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[10].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>Цікаво відзначити, що в історії вчення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про ХГ вже був тривалий період (з 1879 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1947), коли замість діагнозу ХГ користувалися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діагнозом </w:t>
      </w:r>
      <w:r w:rsidRPr="007C1252">
        <w:rPr>
          <w:rFonts w:ascii="Times New Roman" w:hAnsi="Times New Roman" w:cs="Times New Roman"/>
          <w:b/>
          <w:i/>
          <w:sz w:val="28"/>
          <w:szCs w:val="28"/>
          <w:lang w:val="uk-UA"/>
        </w:rPr>
        <w:t>«нервова диспепсія»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nervose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dispepsie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>) [36].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>Можна з достатньою підставою припустити, що незабаром концепція про чисто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функціональн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гастроінтестинальн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розлад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буде здана в історичний медичний архів, а </w:t>
      </w:r>
      <w:r w:rsidRPr="0068111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замість діагнозу «СФД» знову буде фігурувати діагноз «ХГ»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, який в значній частині випадків п</w:t>
      </w:r>
      <w:r>
        <w:rPr>
          <w:rFonts w:ascii="Times New Roman" w:hAnsi="Times New Roman" w:cs="Times New Roman"/>
          <w:sz w:val="28"/>
          <w:szCs w:val="28"/>
          <w:lang w:val="uk-UA"/>
        </w:rPr>
        <w:t>еребіг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ає з больовим синдромом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і диспепсичними явищами.</w:t>
      </w:r>
    </w:p>
    <w:p w:rsidR="00540900" w:rsidRPr="00681110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1110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Мікрофлора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при ХГ представлена численними видами бактерій (частіше у вигляді бактеріальних асоціацій), причому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Hp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>, як правило,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не є домінуючим мікроорганізмом,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колонізу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шлунок, а виявлена в шлунку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мукозна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мікрофлора володіє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адгезивн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і (в значній частині випадків)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інвазивністю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а відміну від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Hp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>) і патогенн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властивост</w:t>
      </w:r>
      <w:r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включаючи її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уреазн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активність.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При ХГ в шлунку спостерігається не ізольований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геликобактер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оз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>, а дисбактеріоз, здатний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обумовити розвиток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інфекці</w:t>
      </w:r>
      <w:r>
        <w:rPr>
          <w:rFonts w:ascii="Times New Roman" w:hAnsi="Times New Roman" w:cs="Times New Roman"/>
          <w:sz w:val="28"/>
          <w:szCs w:val="28"/>
          <w:lang w:val="uk-UA"/>
        </w:rPr>
        <w:t>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запального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процесу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(ХГ), причому вирішальна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proofErr w:type="spellStart"/>
      <w:r w:rsidRPr="00EF3DAC">
        <w:rPr>
          <w:rFonts w:ascii="Times New Roman" w:hAnsi="Times New Roman" w:cs="Times New Roman"/>
          <w:sz w:val="28"/>
          <w:szCs w:val="28"/>
          <w:lang w:val="uk-UA"/>
        </w:rPr>
        <w:t>Hp</w:t>
      </w:r>
      <w:proofErr w:type="spellEnd"/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в його розвитку викликає об</w:t>
      </w: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рунтовані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сумнів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>Класифікації ХГ в різні історичні періоди змінювалися в зв'язку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встановленням нових наукових даних про його етіологію, патогенез і характер морфологічних змін в </w:t>
      </w:r>
      <w:r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>СФД, як і будь-яке інше захворювання, 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свій морфологічний субстрат, підтверджуючи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єдність структури і функції.</w:t>
      </w:r>
    </w:p>
    <w:p w:rsidR="00540900" w:rsidRPr="00EF3DAC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sz w:val="28"/>
          <w:szCs w:val="28"/>
          <w:lang w:val="uk-UA"/>
        </w:rPr>
        <w:t>Слід очікувати, що незабаром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«СФД» зникне як самостійний діагноз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 xml:space="preserve">і стане одним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F3DAC">
        <w:rPr>
          <w:rFonts w:ascii="Times New Roman" w:hAnsi="Times New Roman" w:cs="Times New Roman"/>
          <w:sz w:val="28"/>
          <w:szCs w:val="28"/>
          <w:lang w:val="uk-UA"/>
        </w:rPr>
        <w:t>з клінічних проявів ХГ.</w:t>
      </w:r>
    </w:p>
    <w:p w:rsidR="00540900" w:rsidRPr="00681110" w:rsidRDefault="00540900" w:rsidP="005409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0900" w:rsidRPr="005B50A5" w:rsidRDefault="00540900" w:rsidP="005409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3DAC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40900" w:rsidRPr="00540900" w:rsidRDefault="00540900" w:rsidP="00540900">
      <w:pPr>
        <w:spacing w:after="0" w:line="240" w:lineRule="auto"/>
        <w:ind w:firstLine="34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D1ADB" w:rsidRPr="00540900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D1ADB" w:rsidRPr="009D1ADB" w:rsidRDefault="009D1ADB" w:rsidP="009D1ADB">
      <w:pPr>
        <w:spacing w:after="0" w:line="240" w:lineRule="auto"/>
        <w:ind w:firstLine="34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137AC" w:rsidRDefault="00F137AC" w:rsidP="00BC0257">
      <w:pPr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  <w:lang w:val="uk-UA"/>
        </w:rPr>
      </w:pPr>
    </w:p>
    <w:p w:rsidR="00F137AC" w:rsidRDefault="00F137AC" w:rsidP="00F13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137AC" w:rsidRDefault="00F137AC" w:rsidP="00F13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137AC" w:rsidRPr="00F137AC" w:rsidRDefault="00F137AC" w:rsidP="00F137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110C9" w:rsidRPr="00875625" w:rsidRDefault="00387029" w:rsidP="008A3F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7562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10C9" w:rsidRPr="00875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1582" w:rsidRPr="00875625" w:rsidRDefault="0094158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41582" w:rsidRPr="00875625" w:rsidSect="00E310B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utoradiographicRg-Regular">
    <w:altName w:val="Cambria"/>
    <w:panose1 w:val="00000000000000000000"/>
    <w:charset w:val="00"/>
    <w:family w:val="roman"/>
    <w:notTrueType/>
    <w:pitch w:val="default"/>
  </w:font>
  <w:font w:name="FranklinGothic-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C9"/>
    <w:rsid w:val="00002F51"/>
    <w:rsid w:val="00005F9B"/>
    <w:rsid w:val="000076D9"/>
    <w:rsid w:val="00014068"/>
    <w:rsid w:val="00034785"/>
    <w:rsid w:val="00047FF7"/>
    <w:rsid w:val="00050587"/>
    <w:rsid w:val="000A2378"/>
    <w:rsid w:val="000B0DB5"/>
    <w:rsid w:val="001130CC"/>
    <w:rsid w:val="0011432F"/>
    <w:rsid w:val="001146CE"/>
    <w:rsid w:val="00164744"/>
    <w:rsid w:val="00167F0C"/>
    <w:rsid w:val="0018532B"/>
    <w:rsid w:val="001A266B"/>
    <w:rsid w:val="001A3090"/>
    <w:rsid w:val="001B11D6"/>
    <w:rsid w:val="001B162B"/>
    <w:rsid w:val="001D0E25"/>
    <w:rsid w:val="001E0E9F"/>
    <w:rsid w:val="00212988"/>
    <w:rsid w:val="00245658"/>
    <w:rsid w:val="00245DE9"/>
    <w:rsid w:val="00274CA9"/>
    <w:rsid w:val="00283371"/>
    <w:rsid w:val="0029331A"/>
    <w:rsid w:val="002A5A0C"/>
    <w:rsid w:val="002C3080"/>
    <w:rsid w:val="002E1F88"/>
    <w:rsid w:val="00302474"/>
    <w:rsid w:val="00303409"/>
    <w:rsid w:val="00327C69"/>
    <w:rsid w:val="00337D0D"/>
    <w:rsid w:val="003563B2"/>
    <w:rsid w:val="00387029"/>
    <w:rsid w:val="003A38D4"/>
    <w:rsid w:val="003B244F"/>
    <w:rsid w:val="003C15E8"/>
    <w:rsid w:val="003C1D73"/>
    <w:rsid w:val="003C2C84"/>
    <w:rsid w:val="00407FCA"/>
    <w:rsid w:val="0041548C"/>
    <w:rsid w:val="004308B1"/>
    <w:rsid w:val="004419BD"/>
    <w:rsid w:val="00461C6B"/>
    <w:rsid w:val="0047414D"/>
    <w:rsid w:val="00480203"/>
    <w:rsid w:val="004A0B8F"/>
    <w:rsid w:val="004A4DC6"/>
    <w:rsid w:val="004A4E64"/>
    <w:rsid w:val="004D58C3"/>
    <w:rsid w:val="004E2BF2"/>
    <w:rsid w:val="004E413F"/>
    <w:rsid w:val="00534A65"/>
    <w:rsid w:val="00536116"/>
    <w:rsid w:val="00540900"/>
    <w:rsid w:val="00551D3D"/>
    <w:rsid w:val="005913F8"/>
    <w:rsid w:val="005965A6"/>
    <w:rsid w:val="005C6046"/>
    <w:rsid w:val="005D69A8"/>
    <w:rsid w:val="00611A10"/>
    <w:rsid w:val="00621E8B"/>
    <w:rsid w:val="00641367"/>
    <w:rsid w:val="00641E70"/>
    <w:rsid w:val="0067384E"/>
    <w:rsid w:val="006A30DE"/>
    <w:rsid w:val="006B6CF5"/>
    <w:rsid w:val="006C2C60"/>
    <w:rsid w:val="006C37CC"/>
    <w:rsid w:val="006E31AD"/>
    <w:rsid w:val="007077CF"/>
    <w:rsid w:val="007110C9"/>
    <w:rsid w:val="00736D42"/>
    <w:rsid w:val="00753523"/>
    <w:rsid w:val="00767E58"/>
    <w:rsid w:val="0077190C"/>
    <w:rsid w:val="007732D9"/>
    <w:rsid w:val="007742C0"/>
    <w:rsid w:val="00776B9E"/>
    <w:rsid w:val="00790E3A"/>
    <w:rsid w:val="007B67E6"/>
    <w:rsid w:val="007C0226"/>
    <w:rsid w:val="007C1915"/>
    <w:rsid w:val="007C5921"/>
    <w:rsid w:val="007D256C"/>
    <w:rsid w:val="007F5768"/>
    <w:rsid w:val="0082427C"/>
    <w:rsid w:val="00834879"/>
    <w:rsid w:val="00847A6D"/>
    <w:rsid w:val="00847B2F"/>
    <w:rsid w:val="00875625"/>
    <w:rsid w:val="008878B6"/>
    <w:rsid w:val="008A3FA2"/>
    <w:rsid w:val="008E4F3C"/>
    <w:rsid w:val="009305A0"/>
    <w:rsid w:val="00941582"/>
    <w:rsid w:val="0094556E"/>
    <w:rsid w:val="00976A5D"/>
    <w:rsid w:val="0097785A"/>
    <w:rsid w:val="009779F9"/>
    <w:rsid w:val="00986243"/>
    <w:rsid w:val="00992718"/>
    <w:rsid w:val="0099337A"/>
    <w:rsid w:val="009A03E1"/>
    <w:rsid w:val="009A3CD9"/>
    <w:rsid w:val="009A45A1"/>
    <w:rsid w:val="009B537C"/>
    <w:rsid w:val="009B5D06"/>
    <w:rsid w:val="009B74FD"/>
    <w:rsid w:val="009D1ADB"/>
    <w:rsid w:val="009D1F7F"/>
    <w:rsid w:val="009F5881"/>
    <w:rsid w:val="00A06CB2"/>
    <w:rsid w:val="00A13AE8"/>
    <w:rsid w:val="00A25836"/>
    <w:rsid w:val="00A37A4A"/>
    <w:rsid w:val="00A50469"/>
    <w:rsid w:val="00A737E1"/>
    <w:rsid w:val="00A9686E"/>
    <w:rsid w:val="00AB0F51"/>
    <w:rsid w:val="00AE4B38"/>
    <w:rsid w:val="00B32F6A"/>
    <w:rsid w:val="00B36F3B"/>
    <w:rsid w:val="00B446EE"/>
    <w:rsid w:val="00B456BB"/>
    <w:rsid w:val="00B57C4B"/>
    <w:rsid w:val="00B60768"/>
    <w:rsid w:val="00B726AB"/>
    <w:rsid w:val="00B87180"/>
    <w:rsid w:val="00B92518"/>
    <w:rsid w:val="00B96269"/>
    <w:rsid w:val="00BB1E6F"/>
    <w:rsid w:val="00BC0257"/>
    <w:rsid w:val="00BC77FB"/>
    <w:rsid w:val="00BD4BA9"/>
    <w:rsid w:val="00BD65B8"/>
    <w:rsid w:val="00BD7C29"/>
    <w:rsid w:val="00BF5014"/>
    <w:rsid w:val="00C06D2A"/>
    <w:rsid w:val="00C36EA4"/>
    <w:rsid w:val="00C50A64"/>
    <w:rsid w:val="00C528D1"/>
    <w:rsid w:val="00C53FF7"/>
    <w:rsid w:val="00C64422"/>
    <w:rsid w:val="00C65C8D"/>
    <w:rsid w:val="00C9187A"/>
    <w:rsid w:val="00C975AC"/>
    <w:rsid w:val="00CE4B19"/>
    <w:rsid w:val="00CE6C02"/>
    <w:rsid w:val="00CE7A5A"/>
    <w:rsid w:val="00CE7C2B"/>
    <w:rsid w:val="00D12D74"/>
    <w:rsid w:val="00D21E7D"/>
    <w:rsid w:val="00D32B73"/>
    <w:rsid w:val="00D34B8C"/>
    <w:rsid w:val="00D4565A"/>
    <w:rsid w:val="00D802BF"/>
    <w:rsid w:val="00D936AB"/>
    <w:rsid w:val="00D95FC4"/>
    <w:rsid w:val="00DA12F6"/>
    <w:rsid w:val="00DB7A47"/>
    <w:rsid w:val="00DD5D7F"/>
    <w:rsid w:val="00DF16EB"/>
    <w:rsid w:val="00E01783"/>
    <w:rsid w:val="00E12A23"/>
    <w:rsid w:val="00E16544"/>
    <w:rsid w:val="00E24740"/>
    <w:rsid w:val="00E310BA"/>
    <w:rsid w:val="00E379D5"/>
    <w:rsid w:val="00E42B15"/>
    <w:rsid w:val="00E516EE"/>
    <w:rsid w:val="00E52627"/>
    <w:rsid w:val="00E559FB"/>
    <w:rsid w:val="00E61E51"/>
    <w:rsid w:val="00E62CAC"/>
    <w:rsid w:val="00E64BAA"/>
    <w:rsid w:val="00E7323C"/>
    <w:rsid w:val="00E7399E"/>
    <w:rsid w:val="00E9659E"/>
    <w:rsid w:val="00ED56D7"/>
    <w:rsid w:val="00ED6092"/>
    <w:rsid w:val="00EF2C4A"/>
    <w:rsid w:val="00F04404"/>
    <w:rsid w:val="00F12F5B"/>
    <w:rsid w:val="00F137AC"/>
    <w:rsid w:val="00F16911"/>
    <w:rsid w:val="00F23FA8"/>
    <w:rsid w:val="00F50908"/>
    <w:rsid w:val="00F629FA"/>
    <w:rsid w:val="00F7179B"/>
    <w:rsid w:val="00F80CE4"/>
    <w:rsid w:val="00F92ECF"/>
    <w:rsid w:val="00FB0A91"/>
    <w:rsid w:val="00FB5A52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BAAB"/>
  <w15:docId w15:val="{22408609-8A72-4D71-AD64-77CE9290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2019-08-27T17:14:00Z</dcterms:created>
  <dcterms:modified xsi:type="dcterms:W3CDTF">2019-08-28T09:55:00Z</dcterms:modified>
</cp:coreProperties>
</file>