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4443F" w14:textId="77777777" w:rsidR="002007CA" w:rsidRPr="00C0356E" w:rsidRDefault="002007CA" w:rsidP="002007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>ОГЛЯДИ</w:t>
      </w:r>
    </w:p>
    <w:p w14:paraId="35AAD5E4" w14:textId="77777777" w:rsidR="002007CA" w:rsidRPr="00C0356E" w:rsidRDefault="002007CA" w:rsidP="00200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0356E">
        <w:rPr>
          <w:rFonts w:ascii="Times New Roman" w:hAnsi="Times New Roman" w:cs="Times New Roman"/>
          <w:sz w:val="24"/>
          <w:szCs w:val="24"/>
          <w:lang w:val="uk-UA"/>
        </w:rPr>
        <w:t>УДК 616.37</w:t>
      </w:r>
      <w:r w:rsidRPr="00C0356E">
        <w:rPr>
          <w:rFonts w:ascii="Times New Roman" w:hAnsi="Times New Roman" w:cs="Times New Roman"/>
          <w:sz w:val="24"/>
          <w:szCs w:val="24"/>
          <w:lang w:val="uk-UA"/>
        </w:rPr>
        <w:softHyphen/>
        <w:t>021.5 : 616.34</w:t>
      </w:r>
      <w:r w:rsidRPr="00C0356E">
        <w:rPr>
          <w:rFonts w:ascii="Times New Roman" w:hAnsi="Times New Roman" w:cs="Times New Roman"/>
          <w:sz w:val="24"/>
          <w:szCs w:val="24"/>
          <w:lang w:val="uk-UA"/>
        </w:rPr>
        <w:softHyphen/>
        <w:t>002</w:t>
      </w:r>
      <w:r w:rsidRPr="00C0356E">
        <w:rPr>
          <w:rFonts w:ascii="Times New Roman" w:hAnsi="Times New Roman" w:cs="Times New Roman"/>
          <w:sz w:val="24"/>
          <w:szCs w:val="24"/>
          <w:lang w:val="uk-UA"/>
        </w:rPr>
        <w:br/>
      </w:r>
      <w:proofErr w:type="spellStart"/>
      <w:r w:rsidRPr="00C0356E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C0356E">
        <w:rPr>
          <w:rFonts w:ascii="Times New Roman" w:hAnsi="Times New Roman" w:cs="Times New Roman"/>
          <w:sz w:val="24"/>
          <w:szCs w:val="24"/>
          <w:lang w:val="uk-UA"/>
        </w:rPr>
        <w:t>: 10.33149/</w:t>
      </w:r>
      <w:proofErr w:type="spellStart"/>
      <w:r w:rsidRPr="00C0356E">
        <w:rPr>
          <w:rFonts w:ascii="Times New Roman" w:hAnsi="Times New Roman" w:cs="Times New Roman"/>
          <w:sz w:val="24"/>
          <w:szCs w:val="24"/>
        </w:rPr>
        <w:t>vkp</w:t>
      </w:r>
      <w:proofErr w:type="spellEnd"/>
      <w:r w:rsidRPr="00C0356E">
        <w:rPr>
          <w:rFonts w:ascii="Times New Roman" w:hAnsi="Times New Roman" w:cs="Times New Roman"/>
          <w:sz w:val="24"/>
          <w:szCs w:val="24"/>
          <w:lang w:val="uk-UA"/>
        </w:rPr>
        <w:t>.2019.03.02</w:t>
      </w:r>
    </w:p>
    <w:p w14:paraId="75DC5DB9" w14:textId="77777777" w:rsidR="002007CA" w:rsidRPr="00C0356E" w:rsidRDefault="002007CA" w:rsidP="002007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Патологія підшлункової залози при запальних захворюваннях </w:t>
      </w:r>
      <w:proofErr w:type="spellStart"/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кишковика</w:t>
      </w:r>
      <w:proofErr w:type="spellEnd"/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14:paraId="22047081" w14:textId="77777777" w:rsidR="002007CA" w:rsidRPr="00C0356E" w:rsidRDefault="002007CA" w:rsidP="002007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C0356E">
        <w:rPr>
          <w:rFonts w:ascii="Times New Roman" w:hAnsi="Times New Roman" w:cs="Times New Roman"/>
          <w:b/>
          <w:sz w:val="28"/>
          <w:szCs w:val="28"/>
        </w:rPr>
        <w:t>S</w:t>
      </w: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C0356E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proofErr w:type="spellStart"/>
      <w:r w:rsidRPr="00C0356E">
        <w:rPr>
          <w:rFonts w:ascii="Times New Roman" w:hAnsi="Times New Roman" w:cs="Times New Roman"/>
          <w:b/>
          <w:sz w:val="28"/>
          <w:szCs w:val="28"/>
        </w:rPr>
        <w:t>ousekis</w:t>
      </w:r>
      <w:proofErr w:type="spellEnd"/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C0356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C0356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C0356E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proofErr w:type="spellStart"/>
      <w:r w:rsidRPr="00C0356E">
        <w:rPr>
          <w:rFonts w:ascii="Times New Roman" w:hAnsi="Times New Roman" w:cs="Times New Roman"/>
          <w:b/>
          <w:sz w:val="28"/>
          <w:szCs w:val="28"/>
        </w:rPr>
        <w:t>heopistos</w:t>
      </w:r>
      <w:proofErr w:type="spellEnd"/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C0356E">
        <w:rPr>
          <w:rFonts w:ascii="Times New Roman" w:hAnsi="Times New Roman" w:cs="Times New Roman"/>
          <w:b/>
          <w:sz w:val="28"/>
          <w:szCs w:val="28"/>
        </w:rPr>
        <w:t>K</w:t>
      </w: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C0356E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Pr="00C0356E">
        <w:rPr>
          <w:rFonts w:ascii="Times New Roman" w:hAnsi="Times New Roman" w:cs="Times New Roman"/>
          <w:b/>
          <w:sz w:val="28"/>
          <w:szCs w:val="28"/>
        </w:rPr>
        <w:t>Katsanos</w:t>
      </w:r>
      <w:proofErr w:type="spellEnd"/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C0356E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C0356E">
        <w:rPr>
          <w:rFonts w:ascii="Times New Roman" w:hAnsi="Times New Roman" w:cs="Times New Roman"/>
          <w:b/>
          <w:sz w:val="28"/>
          <w:szCs w:val="28"/>
        </w:rPr>
        <w:t>K</w:t>
      </w: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Pr="00C0356E">
        <w:rPr>
          <w:rFonts w:ascii="Times New Roman" w:hAnsi="Times New Roman" w:cs="Times New Roman"/>
          <w:b/>
          <w:sz w:val="28"/>
          <w:szCs w:val="28"/>
        </w:rPr>
        <w:t>Christodouloua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br/>
        <w:t>Медична школа Яніни, Яніна, Греція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br/>
      </w:r>
    </w:p>
    <w:p w14:paraId="1F5CC6BA" w14:textId="04252876" w:rsidR="002007CA" w:rsidRPr="00C0356E" w:rsidRDefault="002007CA" w:rsidP="002007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Статтю </w:t>
      </w:r>
      <w:r w:rsidRPr="00C0356E">
        <w:rPr>
          <w:rFonts w:ascii="Times New Roman" w:hAnsi="Times New Roman" w:cs="Times New Roman"/>
          <w:sz w:val="28"/>
          <w:szCs w:val="28"/>
        </w:rPr>
        <w:t>оп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убл</w:t>
      </w:r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>ковано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в журналі </w:t>
      </w:r>
      <w:r w:rsidRPr="00C0356E">
        <w:rPr>
          <w:rFonts w:ascii="Times New Roman" w:hAnsi="Times New Roman" w:cs="Times New Roman"/>
          <w:i/>
          <w:iCs/>
          <w:sz w:val="28"/>
          <w:szCs w:val="28"/>
        </w:rPr>
        <w:t>J</w:t>
      </w:r>
      <w:r w:rsidRPr="00C035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proofErr w:type="spellStart"/>
      <w:r w:rsidRPr="00C0356E">
        <w:rPr>
          <w:rFonts w:ascii="Times New Roman" w:hAnsi="Times New Roman" w:cs="Times New Roman"/>
          <w:i/>
          <w:iCs/>
          <w:sz w:val="28"/>
          <w:szCs w:val="28"/>
        </w:rPr>
        <w:t>Clin</w:t>
      </w:r>
      <w:proofErr w:type="spellEnd"/>
      <w:r w:rsidRPr="00C035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proofErr w:type="spellStart"/>
      <w:r w:rsidRPr="00C0356E">
        <w:rPr>
          <w:rFonts w:ascii="Times New Roman" w:hAnsi="Times New Roman" w:cs="Times New Roman"/>
          <w:i/>
          <w:iCs/>
          <w:sz w:val="28"/>
          <w:szCs w:val="28"/>
        </w:rPr>
        <w:t>Med</w:t>
      </w:r>
      <w:proofErr w:type="spellEnd"/>
      <w:r w:rsidRPr="00C035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proofErr w:type="spellStart"/>
      <w:r w:rsidRPr="00C0356E">
        <w:rPr>
          <w:rFonts w:ascii="Times New Roman" w:hAnsi="Times New Roman" w:cs="Times New Roman"/>
          <w:i/>
          <w:iCs/>
          <w:sz w:val="28"/>
          <w:szCs w:val="28"/>
        </w:rPr>
        <w:t>Res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. 2018. </w:t>
      </w:r>
      <w:proofErr w:type="spellStart"/>
      <w:r w:rsidRPr="00C0356E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. 10, № 10. </w:t>
      </w:r>
      <w:r w:rsidRPr="00C0356E">
        <w:rPr>
          <w:rFonts w:ascii="Times New Roman" w:hAnsi="Times New Roman" w:cs="Times New Roman"/>
          <w:sz w:val="28"/>
          <w:szCs w:val="28"/>
        </w:rPr>
        <w:t>P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>. 743–751.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br/>
      </w:r>
    </w:p>
    <w:p w14:paraId="45409A72" w14:textId="77777777" w:rsidR="002007CA" w:rsidRPr="00C0356E" w:rsidRDefault="002007CA" w:rsidP="002007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: запальні захворювання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кишковика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, гострий панкреатит, автоімунний панкреатит,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позакишкові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прояви, підшлункова залоза</w:t>
      </w:r>
    </w:p>
    <w:p w14:paraId="5A71EF30" w14:textId="77777777" w:rsidR="002007CA" w:rsidRPr="00C0356E" w:rsidRDefault="002007CA" w:rsidP="002007C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F1F43B" w14:textId="77777777" w:rsidR="002007CA" w:rsidRPr="00C0356E" w:rsidRDefault="002007CA" w:rsidP="002007CA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14:paraId="60335592" w14:textId="77777777" w:rsidR="002007CA" w:rsidRPr="00C0356E" w:rsidRDefault="002007CA" w:rsidP="002007C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Запальні захворювання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кишковика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(ЗЗК) характеризуються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ідіопатичним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хронічним рецидивним запаленням в травному тракті. Існують дві основні форми ЗЗК: хвороба Крона (ХК) і виразковий коліт (ВК). Будучи системними захворюваннями, вони можуть проявлятися різними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позакишковими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ураженнями; частота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позакишкових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проявів при ЗЗК коливається від 6 до 47% [74]. Розлади і порушення з боку підшлункової залози (ПЗ) є нерідкими у пацієнтів із ЗЗК і часто недооцінюються. Вони являють собою гетерогенну групу панкреатичних проявів, яка включає гострий панкреатит (ГП), автоімунний панкреатит (АІП), хронічний панкреатит (ХП),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безсимптомні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зміни ПЗ при візуалізації 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безсимптомне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рівня ферментів ПЗ [46] (табл. 1).</w:t>
      </w:r>
    </w:p>
    <w:p w14:paraId="2C66AF96" w14:textId="77777777" w:rsidR="002007CA" w:rsidRPr="00C0356E" w:rsidRDefault="002007CA" w:rsidP="002007CA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Start"/>
      <w:r w:rsidRPr="00C0356E">
        <w:rPr>
          <w:rFonts w:ascii="Times New Roman" w:hAnsi="Times New Roman" w:cs="Times New Roman"/>
          <w:sz w:val="28"/>
          <w:szCs w:val="28"/>
        </w:rPr>
        <w:t>аблиц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0356E">
        <w:rPr>
          <w:rFonts w:ascii="Times New Roman" w:hAnsi="Times New Roman" w:cs="Times New Roman"/>
          <w:sz w:val="28"/>
          <w:szCs w:val="28"/>
        </w:rPr>
        <w:t xml:space="preserve"> 1</w:t>
      </w:r>
      <w:r w:rsidRPr="00C0356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0356E">
        <w:rPr>
          <w:rFonts w:ascii="Times New Roman" w:hAnsi="Times New Roman" w:cs="Times New Roman"/>
          <w:sz w:val="28"/>
          <w:szCs w:val="28"/>
        </w:rPr>
        <w:t>Панкреатич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C03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56E">
        <w:rPr>
          <w:rFonts w:ascii="Times New Roman" w:hAnsi="Times New Roman" w:cs="Times New Roman"/>
          <w:sz w:val="28"/>
          <w:szCs w:val="28"/>
        </w:rPr>
        <w:t>прояв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0356E">
        <w:rPr>
          <w:rFonts w:ascii="Times New Roman" w:hAnsi="Times New Roman" w:cs="Times New Roman"/>
          <w:sz w:val="28"/>
          <w:szCs w:val="28"/>
        </w:rPr>
        <w:t xml:space="preserve"> при ЗЗК</w:t>
      </w:r>
    </w:p>
    <w:p w14:paraId="7A6AD665" w14:textId="77777777" w:rsidR="002007CA" w:rsidRPr="00C0356E" w:rsidRDefault="002007CA" w:rsidP="002007C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6622"/>
        <w:gridCol w:w="1363"/>
        <w:gridCol w:w="1363"/>
      </w:tblGrid>
      <w:tr w:rsidR="00C0356E" w:rsidRPr="00C0356E" w14:paraId="47D31C92" w14:textId="77777777" w:rsidTr="00C0356E">
        <w:tc>
          <w:tcPr>
            <w:tcW w:w="6622" w:type="dxa"/>
          </w:tcPr>
          <w:p w14:paraId="6FAFD6C7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63" w:type="dxa"/>
          </w:tcPr>
          <w:p w14:paraId="47CF7452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ХК</w:t>
            </w:r>
          </w:p>
        </w:tc>
        <w:tc>
          <w:tcPr>
            <w:tcW w:w="1363" w:type="dxa"/>
          </w:tcPr>
          <w:p w14:paraId="7CAE5A82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</w:t>
            </w:r>
          </w:p>
        </w:tc>
      </w:tr>
      <w:tr w:rsidR="00C0356E" w:rsidRPr="00C0356E" w14:paraId="22FEFDE3" w14:textId="77777777" w:rsidTr="00C0356E">
        <w:tc>
          <w:tcPr>
            <w:tcW w:w="6622" w:type="dxa"/>
          </w:tcPr>
          <w:p w14:paraId="08FBE3E2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ГП</w:t>
            </w:r>
          </w:p>
        </w:tc>
        <w:tc>
          <w:tcPr>
            <w:tcW w:w="1363" w:type="dxa"/>
          </w:tcPr>
          <w:p w14:paraId="42621C95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++</w:t>
            </w:r>
          </w:p>
        </w:tc>
        <w:tc>
          <w:tcPr>
            <w:tcW w:w="1363" w:type="dxa"/>
          </w:tcPr>
          <w:p w14:paraId="48EF64E8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C0356E" w:rsidRPr="00C0356E" w14:paraId="11E687F1" w14:textId="77777777" w:rsidTr="00C0356E">
        <w:tc>
          <w:tcPr>
            <w:tcW w:w="6622" w:type="dxa"/>
          </w:tcPr>
          <w:p w14:paraId="2B5EACA2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АІП</w:t>
            </w:r>
          </w:p>
        </w:tc>
        <w:tc>
          <w:tcPr>
            <w:tcW w:w="1363" w:type="dxa"/>
          </w:tcPr>
          <w:p w14:paraId="6A117B0C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363" w:type="dxa"/>
          </w:tcPr>
          <w:p w14:paraId="3BAA5E0A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++</w:t>
            </w:r>
          </w:p>
        </w:tc>
      </w:tr>
      <w:tr w:rsidR="00C0356E" w:rsidRPr="00C0356E" w14:paraId="6B6B202D" w14:textId="77777777" w:rsidTr="00C0356E">
        <w:tc>
          <w:tcPr>
            <w:tcW w:w="6622" w:type="dxa"/>
          </w:tcPr>
          <w:p w14:paraId="53F9E804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ХП</w:t>
            </w:r>
          </w:p>
        </w:tc>
        <w:tc>
          <w:tcPr>
            <w:tcW w:w="1363" w:type="dxa"/>
          </w:tcPr>
          <w:p w14:paraId="3546B586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++</w:t>
            </w:r>
          </w:p>
        </w:tc>
        <w:tc>
          <w:tcPr>
            <w:tcW w:w="1363" w:type="dxa"/>
          </w:tcPr>
          <w:p w14:paraId="74AEA7E0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C0356E" w:rsidRPr="00C0356E" w14:paraId="52E7E091" w14:textId="77777777" w:rsidTr="00C0356E">
        <w:tc>
          <w:tcPr>
            <w:tcW w:w="6622" w:type="dxa"/>
          </w:tcPr>
          <w:p w14:paraId="07BE5C75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Недостатність ПЗ</w:t>
            </w:r>
          </w:p>
        </w:tc>
        <w:tc>
          <w:tcPr>
            <w:tcW w:w="1363" w:type="dxa"/>
          </w:tcPr>
          <w:p w14:paraId="2CED9C98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363" w:type="dxa"/>
          </w:tcPr>
          <w:p w14:paraId="329D2D84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++</w:t>
            </w:r>
          </w:p>
        </w:tc>
      </w:tr>
      <w:tr w:rsidR="00C0356E" w:rsidRPr="00C0356E" w14:paraId="5C994848" w14:textId="77777777" w:rsidTr="00C0356E">
        <w:tc>
          <w:tcPr>
            <w:tcW w:w="6622" w:type="dxa"/>
          </w:tcPr>
          <w:p w14:paraId="249EFCAF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Автоантитіла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ПЗ</w:t>
            </w:r>
          </w:p>
        </w:tc>
        <w:tc>
          <w:tcPr>
            <w:tcW w:w="1363" w:type="dxa"/>
          </w:tcPr>
          <w:p w14:paraId="02508F88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++</w:t>
            </w:r>
          </w:p>
        </w:tc>
        <w:tc>
          <w:tcPr>
            <w:tcW w:w="1363" w:type="dxa"/>
          </w:tcPr>
          <w:p w14:paraId="679F1298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C0356E" w:rsidRPr="00C0356E" w14:paraId="38A586D8" w14:textId="77777777" w:rsidTr="00C0356E">
        <w:tc>
          <w:tcPr>
            <w:tcW w:w="6622" w:type="dxa"/>
          </w:tcPr>
          <w:p w14:paraId="7F76D4AF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Доброякісні зміни панкреатичної протоки</w:t>
            </w:r>
          </w:p>
        </w:tc>
        <w:tc>
          <w:tcPr>
            <w:tcW w:w="1363" w:type="dxa"/>
          </w:tcPr>
          <w:p w14:paraId="0CCA384F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363" w:type="dxa"/>
          </w:tcPr>
          <w:p w14:paraId="44DEF68E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C0356E" w:rsidRPr="00C0356E" w14:paraId="62097B37" w14:textId="77777777" w:rsidTr="00C0356E">
        <w:tc>
          <w:tcPr>
            <w:tcW w:w="6622" w:type="dxa"/>
          </w:tcPr>
          <w:p w14:paraId="4132DD77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Підйом активності ферментів ПЗ в сироватці крові</w:t>
            </w:r>
          </w:p>
        </w:tc>
        <w:tc>
          <w:tcPr>
            <w:tcW w:w="1363" w:type="dxa"/>
          </w:tcPr>
          <w:p w14:paraId="576705A1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++</w:t>
            </w:r>
          </w:p>
        </w:tc>
        <w:tc>
          <w:tcPr>
            <w:tcW w:w="1363" w:type="dxa"/>
          </w:tcPr>
          <w:p w14:paraId="264FE4CE" w14:textId="77777777" w:rsidR="002007CA" w:rsidRPr="00C0356E" w:rsidRDefault="002007CA" w:rsidP="00200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</w:tbl>
    <w:p w14:paraId="20C8D8A8" w14:textId="77777777" w:rsidR="002007CA" w:rsidRPr="00C0356E" w:rsidRDefault="002007CA" w:rsidP="00200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</w:rPr>
        <w:t xml:space="preserve">(+): 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C0356E">
        <w:rPr>
          <w:rFonts w:ascii="Times New Roman" w:hAnsi="Times New Roman" w:cs="Times New Roman"/>
          <w:sz w:val="28"/>
          <w:szCs w:val="28"/>
        </w:rPr>
        <w:t>в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Pr="00C0356E">
        <w:rPr>
          <w:rFonts w:ascii="Times New Roman" w:hAnsi="Times New Roman" w:cs="Times New Roman"/>
          <w:sz w:val="28"/>
          <w:szCs w:val="28"/>
        </w:rPr>
        <w:t>яз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>ок</w:t>
      </w:r>
      <w:proofErr w:type="spellEnd"/>
      <w:r w:rsidRPr="00C0356E">
        <w:rPr>
          <w:rFonts w:ascii="Times New Roman" w:hAnsi="Times New Roman" w:cs="Times New Roman"/>
          <w:sz w:val="28"/>
          <w:szCs w:val="28"/>
        </w:rPr>
        <w:t xml:space="preserve">; (++): 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r w:rsidRPr="00C0356E">
        <w:rPr>
          <w:rFonts w:ascii="Times New Roman" w:hAnsi="Times New Roman" w:cs="Times New Roman"/>
          <w:sz w:val="28"/>
          <w:szCs w:val="28"/>
        </w:rPr>
        <w:t xml:space="preserve">, 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Pr="00C0356E">
        <w:rPr>
          <w:rFonts w:ascii="Times New Roman" w:hAnsi="Times New Roman" w:cs="Times New Roman"/>
          <w:sz w:val="28"/>
          <w:szCs w:val="28"/>
        </w:rPr>
        <w:t xml:space="preserve"> при 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>іншому</w:t>
      </w:r>
      <w:r w:rsidRPr="00C0356E">
        <w:rPr>
          <w:rFonts w:ascii="Times New Roman" w:hAnsi="Times New Roman" w:cs="Times New Roman"/>
          <w:sz w:val="28"/>
          <w:szCs w:val="28"/>
        </w:rPr>
        <w:t xml:space="preserve"> вар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іанті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356E">
        <w:rPr>
          <w:rFonts w:ascii="Times New Roman" w:hAnsi="Times New Roman" w:cs="Times New Roman"/>
          <w:sz w:val="28"/>
          <w:szCs w:val="28"/>
        </w:rPr>
        <w:t>ЗЗК</w:t>
      </w:r>
    </w:p>
    <w:p w14:paraId="542C592E" w14:textId="77777777" w:rsidR="002007CA" w:rsidRPr="00C0356E" w:rsidRDefault="002007CA" w:rsidP="002007CA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6623BC" w14:textId="77777777" w:rsidR="002007CA" w:rsidRPr="00C0356E" w:rsidRDefault="002007CA" w:rsidP="002007CA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ГП</w:t>
      </w:r>
    </w:p>
    <w:p w14:paraId="1D75BDF6" w14:textId="77777777" w:rsidR="002007CA" w:rsidRPr="00C0356E" w:rsidRDefault="002007CA" w:rsidP="002007CA">
      <w:pPr>
        <w:spacing w:after="0" w:line="240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i/>
          <w:sz w:val="28"/>
          <w:szCs w:val="28"/>
          <w:lang w:val="uk-UA"/>
        </w:rPr>
        <w:t>Епідеміологія</w:t>
      </w:r>
    </w:p>
    <w:p w14:paraId="490557F7" w14:textId="77777777" w:rsidR="002007CA" w:rsidRPr="00C0356E" w:rsidRDefault="002007CA" w:rsidP="002007C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ГП характеризується гострим запаленням і некрозом паренхіми ПЗ і є найчастішим ураженням ПЗ, пов'язаним із ЗЗК. У загальній популяції рівень захворюваності на ГП становить від 10 до 44 на 100 000 чоловік в рік [59]; в той час як, очевидно, частота ГП вища у пацієнтів із ЗЗК, особливо у пацієнтів із ХК. У ретроспективному дослідженні кумулятивна частота ГП серед 5073 пацієнтів 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із ЗЗК склала 1,6% протягом середнього періоду спостереження 14 років [5]; а в дослідженні у 852 пацієнтів із ХК частота ГП склала 1,4% протягом періоду спостереження 10 років [75]. Крім того, датське 16-річне загальнонаціональне наглядове дослідження продемонструвало підвищений ризик ГП як у пацієнтів із ХК, так і у пацієнтів із ВК. Рівень захворюваності склав 4,3% і 2,1% відповідно [49]. Крім того, в популяційному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когортному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на Тайвані загальна частота ГП була в 3,56 разу вища у пацієнтів із ЗЗК у порівнянні з пацієнтами без ЗЗК [11]. Припускають, що ЗЗК, котрий проявляється як ГП, більш поширений серед педіатричної популяції із ЗЗК, ніж у дорослих із ЗЗК. У ретроспективному дослідженні були обстежені діти і дорослі пацієнти, у яких ГП був першим проявом ЗЗК; продемонстровано, що ГП передував діагностиці ЗЗК у 2,17% (10/460) педіатричних пацієнтів із ЗЗК, в порівнянні тільки з 0,06% (2/3500) дорослих пацієнтів із ЗЗК [9].</w:t>
      </w:r>
    </w:p>
    <w:p w14:paraId="6D0C7126" w14:textId="77777777" w:rsidR="002007CA" w:rsidRPr="00C0356E" w:rsidRDefault="002007CA" w:rsidP="002007C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5DB784" w14:textId="77777777" w:rsidR="002007CA" w:rsidRPr="00C0356E" w:rsidRDefault="002007CA" w:rsidP="002007CA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Етіологія</w:t>
      </w:r>
    </w:p>
    <w:p w14:paraId="53560E68" w14:textId="77777777" w:rsidR="002007CA" w:rsidRPr="00C0356E" w:rsidRDefault="002007CA" w:rsidP="002007C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У патогенез ГП при ЗЗК включено широкий спектр механізмів (табл. 2, 3 [5, 11, 49, 75]). Жовчні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камені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і лікарські препарати є найпоширенішими причинами ГП при ЗЗК; ендоскопічна ретроградна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холангіопанкреатографія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, балонна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ентероскопія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гіперкальціємія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гіпертригліцеридемія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як причини ГП зустрічаються рідше [46]. Менш частою причиною ГП у пацієнтів із ЗЗК, ніж серед популяції в цілому, є вживання алкоголю [36].</w:t>
      </w:r>
    </w:p>
    <w:p w14:paraId="14B3FE1C" w14:textId="77777777" w:rsidR="00AE1018" w:rsidRPr="00C0356E" w:rsidRDefault="00AE1018" w:rsidP="00AE10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Таблиця 2</w:t>
      </w:r>
    </w:p>
    <w:p w14:paraId="58282C3F" w14:textId="77777777" w:rsidR="00AE1018" w:rsidRPr="00C0356E" w:rsidRDefault="00AE1018" w:rsidP="00AE10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>Дослідження ГП у пацієнтів із ЗЗК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012"/>
        <w:gridCol w:w="2052"/>
        <w:gridCol w:w="2032"/>
        <w:gridCol w:w="1879"/>
        <w:gridCol w:w="1799"/>
      </w:tblGrid>
      <w:tr w:rsidR="00C0356E" w:rsidRPr="00C0356E" w14:paraId="391A2CB1" w14:textId="77777777" w:rsidTr="00D32F8B">
        <w:tc>
          <w:tcPr>
            <w:tcW w:w="2012" w:type="dxa"/>
          </w:tcPr>
          <w:p w14:paraId="18364FF2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Дослідження </w:t>
            </w:r>
          </w:p>
        </w:tc>
        <w:tc>
          <w:tcPr>
            <w:tcW w:w="2052" w:type="dxa"/>
          </w:tcPr>
          <w:p w14:paraId="76A5AF55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F. </w:t>
            </w:r>
            <w:proofErr w:type="spellStart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Bemerjo</w:t>
            </w:r>
            <w:proofErr w:type="spellEnd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et</w:t>
            </w:r>
            <w:proofErr w:type="spellEnd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al</w:t>
            </w:r>
            <w:proofErr w:type="spellEnd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 [5]</w:t>
            </w:r>
          </w:p>
        </w:tc>
        <w:tc>
          <w:tcPr>
            <w:tcW w:w="2032" w:type="dxa"/>
          </w:tcPr>
          <w:p w14:paraId="4D444777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P. </w:t>
            </w:r>
            <w:proofErr w:type="spellStart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Weber</w:t>
            </w:r>
            <w:proofErr w:type="spellEnd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et</w:t>
            </w:r>
            <w:proofErr w:type="spellEnd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al</w:t>
            </w:r>
            <w:proofErr w:type="spellEnd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 [75]</w:t>
            </w:r>
          </w:p>
        </w:tc>
        <w:tc>
          <w:tcPr>
            <w:tcW w:w="1879" w:type="dxa"/>
          </w:tcPr>
          <w:p w14:paraId="4F76762C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H. H. </w:t>
            </w:r>
            <w:proofErr w:type="spellStart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Rasmussen</w:t>
            </w:r>
            <w:proofErr w:type="spellEnd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et</w:t>
            </w:r>
            <w:proofErr w:type="spellEnd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al</w:t>
            </w:r>
            <w:proofErr w:type="spellEnd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 [49]</w:t>
            </w:r>
          </w:p>
        </w:tc>
        <w:tc>
          <w:tcPr>
            <w:tcW w:w="1799" w:type="dxa"/>
          </w:tcPr>
          <w:p w14:paraId="0EA05CF0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Y. T. </w:t>
            </w:r>
            <w:proofErr w:type="spellStart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Chen</w:t>
            </w:r>
            <w:proofErr w:type="spellEnd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et</w:t>
            </w:r>
            <w:proofErr w:type="spellEnd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al</w:t>
            </w:r>
            <w:proofErr w:type="spellEnd"/>
            <w:r w:rsidRPr="00C035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 [11]</w:t>
            </w:r>
          </w:p>
        </w:tc>
      </w:tr>
      <w:tr w:rsidR="00C0356E" w:rsidRPr="00C0356E" w14:paraId="332CFB33" w14:textId="77777777" w:rsidTr="00D32F8B">
        <w:tc>
          <w:tcPr>
            <w:tcW w:w="2012" w:type="dxa"/>
          </w:tcPr>
          <w:p w14:paraId="3C316369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Методологія</w:t>
            </w:r>
          </w:p>
        </w:tc>
        <w:tc>
          <w:tcPr>
            <w:tcW w:w="2052" w:type="dxa"/>
          </w:tcPr>
          <w:p w14:paraId="74B68BF8" w14:textId="74DF87AD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Ретроспектив-не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мульти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-центрове дослідження</w:t>
            </w:r>
          </w:p>
        </w:tc>
        <w:tc>
          <w:tcPr>
            <w:tcW w:w="2032" w:type="dxa"/>
          </w:tcPr>
          <w:p w14:paraId="09F00C43" w14:textId="6A894C94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Ретроспектив</w:t>
            </w:r>
            <w:r w:rsidR="00366C8B"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одноцентрове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дослідження</w:t>
            </w:r>
          </w:p>
        </w:tc>
        <w:tc>
          <w:tcPr>
            <w:tcW w:w="1879" w:type="dxa"/>
          </w:tcPr>
          <w:p w14:paraId="4C5C5DE6" w14:textId="43CBEE30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Датське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когортне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дослідження, період</w:t>
            </w:r>
          </w:p>
          <w:p w14:paraId="0E8B2975" w14:textId="208DF74F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1977-1992р.р.</w:t>
            </w:r>
          </w:p>
        </w:tc>
        <w:tc>
          <w:tcPr>
            <w:tcW w:w="1799" w:type="dxa"/>
          </w:tcPr>
          <w:p w14:paraId="0BC22C5F" w14:textId="494AD624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Популяційне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когортне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дослідження, період 2000-2010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р.р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C0356E" w:rsidRPr="00C0356E" w14:paraId="7AD90361" w14:textId="77777777" w:rsidTr="00D32F8B">
        <w:tc>
          <w:tcPr>
            <w:tcW w:w="2012" w:type="dxa"/>
          </w:tcPr>
          <w:p w14:paraId="5FADA054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 проведення дослідження</w:t>
            </w:r>
          </w:p>
        </w:tc>
        <w:tc>
          <w:tcPr>
            <w:tcW w:w="2052" w:type="dxa"/>
          </w:tcPr>
          <w:p w14:paraId="22EC9753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Іспанія</w:t>
            </w:r>
          </w:p>
        </w:tc>
        <w:tc>
          <w:tcPr>
            <w:tcW w:w="2032" w:type="dxa"/>
          </w:tcPr>
          <w:p w14:paraId="697618B3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Німеччина </w:t>
            </w:r>
          </w:p>
        </w:tc>
        <w:tc>
          <w:tcPr>
            <w:tcW w:w="1879" w:type="dxa"/>
          </w:tcPr>
          <w:p w14:paraId="729E8B27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Дання </w:t>
            </w:r>
          </w:p>
        </w:tc>
        <w:tc>
          <w:tcPr>
            <w:tcW w:w="1799" w:type="dxa"/>
          </w:tcPr>
          <w:p w14:paraId="474D483C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Тайвань</w:t>
            </w:r>
          </w:p>
        </w:tc>
      </w:tr>
      <w:tr w:rsidR="00C0356E" w:rsidRPr="00C0356E" w14:paraId="760C0E1A" w14:textId="77777777" w:rsidTr="00D32F8B">
        <w:tc>
          <w:tcPr>
            <w:tcW w:w="2012" w:type="dxa"/>
          </w:tcPr>
          <w:p w14:paraId="72639B6B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пацієнтів</w:t>
            </w:r>
          </w:p>
        </w:tc>
        <w:tc>
          <w:tcPr>
            <w:tcW w:w="2052" w:type="dxa"/>
          </w:tcPr>
          <w:p w14:paraId="724E4962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5073 пацієнтів із ЗЗК</w:t>
            </w:r>
          </w:p>
        </w:tc>
        <w:tc>
          <w:tcPr>
            <w:tcW w:w="2032" w:type="dxa"/>
          </w:tcPr>
          <w:p w14:paraId="40623BFF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852 пацієнта із ХК</w:t>
            </w:r>
          </w:p>
        </w:tc>
        <w:tc>
          <w:tcPr>
            <w:tcW w:w="1879" w:type="dxa"/>
          </w:tcPr>
          <w:p w14:paraId="13A4882C" w14:textId="4082130D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15 526 паціє</w:t>
            </w: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>нтів із ЗЗК: 3538 пацієн</w:t>
            </w: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 xml:space="preserve">тів із ХК, </w:t>
            </w:r>
          </w:p>
          <w:p w14:paraId="2A08ADFE" w14:textId="47798B80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11 215 паціє</w:t>
            </w:r>
            <w:r w:rsidR="00D32F8B"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</w: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нтів із ВК,</w:t>
            </w:r>
          </w:p>
          <w:p w14:paraId="2A07B0FB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 пацієнта з невизна</w:t>
            </w: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>ченим колітом (НК)</w:t>
            </w:r>
          </w:p>
        </w:tc>
        <w:tc>
          <w:tcPr>
            <w:tcW w:w="1799" w:type="dxa"/>
          </w:tcPr>
          <w:p w14:paraId="041D6082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11 909 пацієнтів із ЗЗК</w:t>
            </w:r>
          </w:p>
        </w:tc>
      </w:tr>
      <w:tr w:rsidR="00C0356E" w:rsidRPr="00C0356E" w14:paraId="239F391C" w14:textId="77777777" w:rsidTr="00D32F8B">
        <w:tc>
          <w:tcPr>
            <w:tcW w:w="2012" w:type="dxa"/>
          </w:tcPr>
          <w:p w14:paraId="4785E219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Період спостереження </w:t>
            </w:r>
          </w:p>
        </w:tc>
        <w:tc>
          <w:tcPr>
            <w:tcW w:w="2052" w:type="dxa"/>
          </w:tcPr>
          <w:p w14:paraId="763FAD39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14 років </w:t>
            </w:r>
          </w:p>
        </w:tc>
        <w:tc>
          <w:tcPr>
            <w:tcW w:w="2032" w:type="dxa"/>
          </w:tcPr>
          <w:p w14:paraId="03E5633D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 років </w:t>
            </w:r>
          </w:p>
        </w:tc>
        <w:tc>
          <w:tcPr>
            <w:tcW w:w="1879" w:type="dxa"/>
          </w:tcPr>
          <w:p w14:paraId="121CD4A2" w14:textId="06669234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112824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паціє</w:t>
            </w:r>
            <w:r w:rsidR="00366C8B"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</w: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нто-років</w:t>
            </w:r>
            <w:proofErr w:type="spellEnd"/>
          </w:p>
        </w:tc>
        <w:tc>
          <w:tcPr>
            <w:tcW w:w="1799" w:type="dxa"/>
          </w:tcPr>
          <w:p w14:paraId="77160A8A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(5,33 ± 3,79) років</w:t>
            </w:r>
          </w:p>
        </w:tc>
      </w:tr>
      <w:tr w:rsidR="00C0356E" w:rsidRPr="00C0356E" w14:paraId="1B548FD2" w14:textId="77777777" w:rsidTr="00D32F8B">
        <w:tc>
          <w:tcPr>
            <w:tcW w:w="2012" w:type="dxa"/>
          </w:tcPr>
          <w:p w14:paraId="2E5EAD15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Епізоди ГП </w:t>
            </w:r>
          </w:p>
        </w:tc>
        <w:tc>
          <w:tcPr>
            <w:tcW w:w="2052" w:type="dxa"/>
          </w:tcPr>
          <w:p w14:paraId="0122C42B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82 </w:t>
            </w:r>
          </w:p>
        </w:tc>
        <w:tc>
          <w:tcPr>
            <w:tcW w:w="2032" w:type="dxa"/>
          </w:tcPr>
          <w:p w14:paraId="2DCC4850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 </w:t>
            </w:r>
          </w:p>
        </w:tc>
        <w:tc>
          <w:tcPr>
            <w:tcW w:w="1879" w:type="dxa"/>
          </w:tcPr>
          <w:p w14:paraId="10FF02BA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86 </w:t>
            </w:r>
          </w:p>
        </w:tc>
        <w:tc>
          <w:tcPr>
            <w:tcW w:w="1799" w:type="dxa"/>
          </w:tcPr>
          <w:p w14:paraId="22185A7F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</w:p>
        </w:tc>
      </w:tr>
      <w:tr w:rsidR="00C0356E" w:rsidRPr="00C0356E" w14:paraId="7932F332" w14:textId="77777777" w:rsidTr="00D32F8B">
        <w:tc>
          <w:tcPr>
            <w:tcW w:w="2012" w:type="dxa"/>
          </w:tcPr>
          <w:p w14:paraId="161E26AC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Частота ГП </w:t>
            </w:r>
          </w:p>
        </w:tc>
        <w:tc>
          <w:tcPr>
            <w:tcW w:w="2052" w:type="dxa"/>
          </w:tcPr>
          <w:p w14:paraId="1DBE593C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1,6%</w:t>
            </w:r>
          </w:p>
        </w:tc>
        <w:tc>
          <w:tcPr>
            <w:tcW w:w="2032" w:type="dxa"/>
          </w:tcPr>
          <w:p w14:paraId="2A720C3B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1,4%</w:t>
            </w:r>
          </w:p>
        </w:tc>
        <w:tc>
          <w:tcPr>
            <w:tcW w:w="1879" w:type="dxa"/>
          </w:tcPr>
          <w:p w14:paraId="744C02D1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Пацієнти з ХК 4,3%, ВК 2,1%, НК 7,1%</w:t>
            </w:r>
          </w:p>
        </w:tc>
        <w:tc>
          <w:tcPr>
            <w:tcW w:w="1799" w:type="dxa"/>
          </w:tcPr>
          <w:p w14:paraId="23150A25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31,8 на 100 000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пацієнто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-років</w:t>
            </w:r>
          </w:p>
        </w:tc>
      </w:tr>
      <w:tr w:rsidR="00C0356E" w:rsidRPr="00C0356E" w14:paraId="53ACA37D" w14:textId="77777777" w:rsidTr="00D32F8B">
        <w:tc>
          <w:tcPr>
            <w:tcW w:w="2012" w:type="dxa"/>
          </w:tcPr>
          <w:p w14:paraId="32A8C97D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 пацієнтів із ГП (ХК/ ВК) </w:t>
            </w:r>
          </w:p>
        </w:tc>
        <w:tc>
          <w:tcPr>
            <w:tcW w:w="2052" w:type="dxa"/>
          </w:tcPr>
          <w:p w14:paraId="104691DC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67 пацієнтів (53 ХК / 14 ВК) </w:t>
            </w:r>
          </w:p>
        </w:tc>
        <w:tc>
          <w:tcPr>
            <w:tcW w:w="2032" w:type="dxa"/>
          </w:tcPr>
          <w:p w14:paraId="7E566967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 пацієнтів із ХК </w:t>
            </w:r>
          </w:p>
        </w:tc>
        <w:tc>
          <w:tcPr>
            <w:tcW w:w="1879" w:type="dxa"/>
          </w:tcPr>
          <w:p w14:paraId="5416955E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86 (28 ХК / 50 ВК / 8 НК) </w:t>
            </w:r>
          </w:p>
        </w:tc>
        <w:tc>
          <w:tcPr>
            <w:tcW w:w="1799" w:type="dxa"/>
          </w:tcPr>
          <w:p w14:paraId="016D2838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 пацієнта (128 ХК / 74 ВК)</w:t>
            </w:r>
          </w:p>
        </w:tc>
      </w:tr>
      <w:tr w:rsidR="00C0356E" w:rsidRPr="00C0356E" w14:paraId="5B49968F" w14:textId="77777777" w:rsidTr="00D32F8B">
        <w:tc>
          <w:tcPr>
            <w:tcW w:w="2012" w:type="dxa"/>
          </w:tcPr>
          <w:p w14:paraId="2108E6A1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 пацієнтів із ГП </w:t>
            </w:r>
          </w:p>
        </w:tc>
        <w:tc>
          <w:tcPr>
            <w:tcW w:w="2052" w:type="dxa"/>
          </w:tcPr>
          <w:p w14:paraId="6D8462DC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(40 ± 12) років (середнє значення ± стандартне відхилення)</w:t>
            </w:r>
          </w:p>
        </w:tc>
        <w:tc>
          <w:tcPr>
            <w:tcW w:w="2032" w:type="dxa"/>
          </w:tcPr>
          <w:p w14:paraId="0AD190DB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Медіана 23 (10-50)</w:t>
            </w:r>
          </w:p>
        </w:tc>
        <w:tc>
          <w:tcPr>
            <w:tcW w:w="1879" w:type="dxa"/>
          </w:tcPr>
          <w:p w14:paraId="24AEC9A6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Невідомо </w:t>
            </w:r>
          </w:p>
        </w:tc>
        <w:tc>
          <w:tcPr>
            <w:tcW w:w="1799" w:type="dxa"/>
          </w:tcPr>
          <w:p w14:paraId="607A9F99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Невідомо</w:t>
            </w:r>
          </w:p>
        </w:tc>
      </w:tr>
      <w:tr w:rsidR="00C0356E" w:rsidRPr="00C0356E" w14:paraId="2F286848" w14:textId="77777777" w:rsidTr="00D32F8B">
        <w:tc>
          <w:tcPr>
            <w:tcW w:w="2012" w:type="dxa"/>
          </w:tcPr>
          <w:p w14:paraId="3121CDF5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Етіологія</w:t>
            </w:r>
          </w:p>
        </w:tc>
        <w:tc>
          <w:tcPr>
            <w:tcW w:w="2052" w:type="dxa"/>
          </w:tcPr>
          <w:p w14:paraId="5010108F" w14:textId="523A26DB" w:rsidR="00AE1018" w:rsidRPr="00C0356E" w:rsidRDefault="00AE1018" w:rsidP="0039277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63,4% лікарсь</w:t>
            </w:r>
            <w:r w:rsidR="00D32F8B"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</w: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 індукова</w:t>
            </w:r>
            <w:r w:rsidR="00D32F8B"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</w: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ний, 20,7%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ідіопатичний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39277E"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12,2%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холелі</w:t>
            </w:r>
            <w:r w:rsidR="0039277E"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</w: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тіаз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3,7% різні причини</w:t>
            </w:r>
          </w:p>
        </w:tc>
        <w:tc>
          <w:tcPr>
            <w:tcW w:w="2032" w:type="dxa"/>
          </w:tcPr>
          <w:p w14:paraId="13580ECD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83% невідомо</w:t>
            </w:r>
          </w:p>
          <w:p w14:paraId="343C8193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(часті причини</w:t>
            </w:r>
          </w:p>
          <w:p w14:paraId="1043B999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були виключені)</w:t>
            </w:r>
          </w:p>
          <w:p w14:paraId="1133EA37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17% лікарсько</w:t>
            </w:r>
          </w:p>
          <w:p w14:paraId="0FAD0C56" w14:textId="77777777" w:rsidR="00AE1018" w:rsidRPr="00C0356E" w:rsidRDefault="00AE1018" w:rsidP="00AE10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індукований</w:t>
            </w:r>
          </w:p>
        </w:tc>
        <w:tc>
          <w:tcPr>
            <w:tcW w:w="1879" w:type="dxa"/>
          </w:tcPr>
          <w:p w14:paraId="7CBEF63C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Невідомо</w:t>
            </w:r>
          </w:p>
        </w:tc>
        <w:tc>
          <w:tcPr>
            <w:tcW w:w="1799" w:type="dxa"/>
          </w:tcPr>
          <w:p w14:paraId="44F96870" w14:textId="77777777" w:rsidR="00AE1018" w:rsidRPr="00C0356E" w:rsidRDefault="00AE1018" w:rsidP="00AE1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Невідомо</w:t>
            </w:r>
          </w:p>
        </w:tc>
      </w:tr>
    </w:tbl>
    <w:p w14:paraId="3C355298" w14:textId="77777777" w:rsidR="00AE1018" w:rsidRPr="00C0356E" w:rsidRDefault="00AE1018" w:rsidP="00AE10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4AE7326" w14:textId="77777777" w:rsidR="00AE1018" w:rsidRPr="00C0356E" w:rsidRDefault="00AE1018" w:rsidP="00AE10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Таблиця 3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br/>
        <w:t>Фактори, що підвищують частоту ГП при ЗЗК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</w:tblGrid>
      <w:tr w:rsidR="00AE1018" w:rsidRPr="00C0356E" w14:paraId="5438D761" w14:textId="77777777" w:rsidTr="00D32F8B">
        <w:tc>
          <w:tcPr>
            <w:tcW w:w="7508" w:type="dxa"/>
          </w:tcPr>
          <w:p w14:paraId="13846228" w14:textId="77777777" w:rsidR="00AE1018" w:rsidRPr="00C0356E" w:rsidRDefault="00AE1018" w:rsidP="00D32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Холелітіаз</w:t>
            </w:r>
            <w:proofErr w:type="spellEnd"/>
          </w:p>
          <w:p w14:paraId="58B65AD7" w14:textId="77777777" w:rsidR="00AE1018" w:rsidRPr="00C0356E" w:rsidRDefault="00AE1018" w:rsidP="00D32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Лікарські засоби</w:t>
            </w:r>
          </w:p>
          <w:p w14:paraId="66C7E0CA" w14:textId="77777777" w:rsidR="00AE1018" w:rsidRPr="00C0356E" w:rsidRDefault="00AE1018" w:rsidP="00D32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Тіопурин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азатіоприн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6-меркаптопурин)</w:t>
            </w:r>
          </w:p>
          <w:p w14:paraId="1D079ACC" w14:textId="77777777" w:rsidR="00AE1018" w:rsidRPr="00C0356E" w:rsidRDefault="00AE1018" w:rsidP="00D32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Аналоги 5-аміносаліцилової кислоти (5АСК)</w:t>
            </w:r>
          </w:p>
          <w:p w14:paraId="47CA4FC9" w14:textId="77777777" w:rsidR="00AE1018" w:rsidRPr="00C0356E" w:rsidRDefault="00AE1018" w:rsidP="00D32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мезаламін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сульфасалазин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олсалазин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14:paraId="3763BD65" w14:textId="77777777" w:rsidR="00AE1018" w:rsidRPr="00C0356E" w:rsidRDefault="00AE1018" w:rsidP="00D32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Метронідазол</w:t>
            </w:r>
            <w:proofErr w:type="spellEnd"/>
          </w:p>
          <w:p w14:paraId="08658A56" w14:textId="77777777" w:rsidR="00AE1018" w:rsidRPr="00C0356E" w:rsidRDefault="00AE1018" w:rsidP="00D32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Кортикостероїди</w:t>
            </w:r>
          </w:p>
          <w:p w14:paraId="3A78B306" w14:textId="77777777" w:rsidR="00AE1018" w:rsidRPr="00C0356E" w:rsidRDefault="00AE1018" w:rsidP="00D32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Циклоспорин</w:t>
            </w:r>
            <w:proofErr w:type="spellEnd"/>
          </w:p>
          <w:p w14:paraId="4378C658" w14:textId="77777777" w:rsidR="00AE1018" w:rsidRPr="00C0356E" w:rsidRDefault="00AE1018" w:rsidP="00D32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Ураження дванадцятипалої кишки при ХК</w:t>
            </w:r>
          </w:p>
          <w:p w14:paraId="0B5DFDA8" w14:textId="77777777" w:rsidR="00AE1018" w:rsidRPr="00C0356E" w:rsidRDefault="00AE1018" w:rsidP="00D32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Запалення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фатерова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соска (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холедохопанкреатичної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ампули)</w:t>
            </w:r>
          </w:p>
          <w:p w14:paraId="2FD8C7C9" w14:textId="77777777" w:rsidR="00AE1018" w:rsidRPr="00C0356E" w:rsidRDefault="00AE1018" w:rsidP="00D32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Дуоденопанкреатичний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свищ</w:t>
            </w:r>
          </w:p>
          <w:p w14:paraId="2A7534E0" w14:textId="77777777" w:rsidR="00AE1018" w:rsidRPr="00C0356E" w:rsidRDefault="00AE1018" w:rsidP="00D32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Первинний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склерозуючий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холангіт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(ПСХ)</w:t>
            </w:r>
          </w:p>
          <w:p w14:paraId="6D7A3A75" w14:textId="77777777" w:rsidR="00AE1018" w:rsidRPr="00C0356E" w:rsidRDefault="00AE1018" w:rsidP="00D32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Жовчнокам'яна хвороба</w:t>
            </w:r>
          </w:p>
          <w:p w14:paraId="0521867B" w14:textId="77777777" w:rsidR="00AE1018" w:rsidRPr="00C0356E" w:rsidRDefault="00AE1018" w:rsidP="00D32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Стриктури загальної жовчної протоки і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ПЗ</w:t>
            </w:r>
          </w:p>
          <w:p w14:paraId="7230C66A" w14:textId="77777777" w:rsidR="00AE1018" w:rsidRPr="00C0356E" w:rsidRDefault="00AE1018" w:rsidP="00D32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Гіперкоагуляція</w:t>
            </w:r>
            <w:proofErr w:type="spellEnd"/>
          </w:p>
        </w:tc>
      </w:tr>
    </w:tbl>
    <w:p w14:paraId="23AB7C48" w14:textId="77777777" w:rsidR="00AE1018" w:rsidRPr="00C0356E" w:rsidRDefault="00AE1018" w:rsidP="00AE10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4CB9A0C" w14:textId="77777777" w:rsidR="00AE1018" w:rsidRPr="00C0356E" w:rsidRDefault="00AE1018" w:rsidP="0032633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Ураження дванадцятипалої кишки при ХК може викликати ГП внаслідок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папіліту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[78] або можливого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рефлюксу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вмісту дванадцятипалої кишки в протоку ПЗ через підвищення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внутршньодуоденального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тиску [1].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Дуоденопанкреатичний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свищ - вкрай рідкісне ускладнення ураження дванадцятипалої кишки при ХК, яке сприяє розвитку ГП [40]. Крім того, ПСХ 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може бути надзвичайно рідкісною причиною ГП при ЗЗК, головним чином при ВК. ПСХ може викликати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рефлюкс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жовчі 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сладжа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в протоку ПЗ через стриктури дистальної частини загальної жовчної протоки 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ПЗ [19]. Крім того, було встановлено, що у чверті пацієнтів із ПСХ формуються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камені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в жовчному міхурі, що підвищує ризик розвитку ГП [53].</w:t>
      </w:r>
    </w:p>
    <w:p w14:paraId="11E16134" w14:textId="77777777" w:rsidR="00AE1018" w:rsidRPr="00C0356E" w:rsidRDefault="00AE1018" w:rsidP="0032633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Варто відзначити, що саме ЗЗК може схиляти до ГП внаслідок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гіперкоагуляції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при системному запаленні, що призводить до ішемії ПЗ [60]. Було встановлено, що у пацієнтів із ЗЗК ризик розвитку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тромбоемболії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в 3,6 разу вищий, ніж в популяції в цілому [35].</w:t>
      </w:r>
    </w:p>
    <w:p w14:paraId="0E5ACD21" w14:textId="77777777" w:rsidR="00AE1018" w:rsidRPr="00C0356E" w:rsidRDefault="00AE1018" w:rsidP="00AE1018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4C7C182B" w14:textId="77777777" w:rsidR="00AE1018" w:rsidRPr="00C0356E" w:rsidRDefault="00AE1018" w:rsidP="0032633F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Жовчнокам'яна хвороба</w:t>
      </w:r>
    </w:p>
    <w:p w14:paraId="13249CC9" w14:textId="6F7FDF0B" w:rsidR="00D32F8B" w:rsidRPr="00C0356E" w:rsidRDefault="00AE1018" w:rsidP="0032633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Жовчнокам'яна хвороба є однією з найпоширеніших причин розвитку ГП при ЗЗК, і існує тісний зв'язок між формуванням жовчних каменів і ХК. Пацієнти з великим камінням (&gt; 2,5 см) і невеликими множинними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каменями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(&lt;3 мм) схильні до вищого ризику ускладнень [54]. Поширеність жовчних каменів є вищою у пацієнтів із ХК, ніж в загальній популяції. Пацієнти з ХК мають подвійний ризик розвитку</w:t>
      </w:r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каменів в жовчному міхурі. З іншого боку, схоже, що утворення жовчних каменів не пов'язане із ВК [79]. Багато які незалежні параметри ХК є пов'язаними з розвитком жовчнокам'яної хвороби; вони включають ураження клубової кишки при ХК, тривалість захворювання (&gt; 15 років), протяжність резекції клубової кишки (&gt; 30 см), тривале перебування в стаціонарі, кількість </w:t>
      </w:r>
      <w:proofErr w:type="spellStart"/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>ушпиталень</w:t>
      </w:r>
      <w:proofErr w:type="spellEnd"/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(&gt; 3), неодноразове повне парентеральне харчування, операції впродовж усього життя і частоту клінічних рецидивів (&gt; 3) [41]. Жовчні </w:t>
      </w:r>
      <w:proofErr w:type="spellStart"/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>камені</w:t>
      </w:r>
      <w:proofErr w:type="spellEnd"/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в основному викликані </w:t>
      </w:r>
      <w:proofErr w:type="spellStart"/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>мальабсорбцією</w:t>
      </w:r>
      <w:proofErr w:type="spellEnd"/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солей жовчних кислот в клубовій кишці, яка призводить до порушення </w:t>
      </w:r>
      <w:proofErr w:type="spellStart"/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>ентерогепатичної</w:t>
      </w:r>
      <w:proofErr w:type="spellEnd"/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циркуляції, підвищення рівня </w:t>
      </w:r>
      <w:proofErr w:type="spellStart"/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>біліарного</w:t>
      </w:r>
      <w:proofErr w:type="spellEnd"/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білірубіну і розвитку жовчнокам'яної хвороби [33]. Крім того, повне парентеральне харчування і тривале голодування призводять до зниження спорожнення жовчного міхура, що викликає розвиток каменів і </w:t>
      </w:r>
      <w:proofErr w:type="spellStart"/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>біліарного</w:t>
      </w:r>
      <w:proofErr w:type="spellEnd"/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>сладжу</w:t>
      </w:r>
      <w:proofErr w:type="spellEnd"/>
      <w:r w:rsidR="00D32F8B"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в жовчному міхурі [41, 45].</w:t>
      </w:r>
    </w:p>
    <w:p w14:paraId="7E9F7D25" w14:textId="77777777" w:rsidR="00D32F8B" w:rsidRPr="00C0356E" w:rsidRDefault="00D32F8B" w:rsidP="0032633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90E223" w14:textId="77777777" w:rsidR="00D32F8B" w:rsidRPr="00C0356E" w:rsidRDefault="00D32F8B" w:rsidP="00D32F8B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Лікарські засоби</w:t>
      </w:r>
    </w:p>
    <w:p w14:paraId="1C402F8F" w14:textId="77777777" w:rsidR="00D32F8B" w:rsidRPr="00C0356E" w:rsidRDefault="00D32F8B" w:rsidP="00D32F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Лікарсько-індукований ГП є одним з найважчих ускладнень ЗЗК. ГП може бути пов'язаний з багатьма лікарськими препаратами, такими як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тіопурин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, кортикостероїди,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метронідазол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і біологічні агенти.</w:t>
      </w:r>
    </w:p>
    <w:p w14:paraId="656D486E" w14:textId="77777777" w:rsidR="00D32F8B" w:rsidRPr="00C0356E" w:rsidRDefault="00D32F8B" w:rsidP="00D32F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Тіопурин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азатіоприн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і 6-меркаптопурин) можуть часто викликати ГП. ГП зазвичай виникає в перший місяць лікування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тіопурином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і є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дозозалежною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небажаною лікарською реакцією [27]. Перебіг ГП легкий, і після скасування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тіопурину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спостерігається негайне клінічне поліпшення. Частота ГП при ЗЗК в результаті застосування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тіопурину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коливається від 3% до 5% [44], і захворюваність вища у пацієнтів із ХК, ніж із ВК. Крім того, жіноча стать пов'язана з підвищенням ризику розвитку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тіопурін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-індукованого панкреатиту (ТІП) в 3,4 разу [5]; куріння значно підвищує ризик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азатіоприн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>-індукованого ГП (курці проти некурців; відношення шансів (ВШ): 3,24) [64].</w:t>
      </w:r>
    </w:p>
    <w:p w14:paraId="2C8088BE" w14:textId="77777777" w:rsidR="00D32F8B" w:rsidRPr="00C0356E" w:rsidRDefault="00D32F8B" w:rsidP="00D32F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Було запропоновано багато патофізіологічних механізмів TІП, включно імунологічні реакції і прямі токсичні ефекти. Генетичні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поліморфізми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тісно пов'язані з розвитком ТІП. Зокрема, у пацієнтів, гетерозиготних по rs2647087 в 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області HLA класу II, передбачуваний ризик TІП складає 9%, а у гомозиготних - 17% [21]. З іншого боку,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поліморфізми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в TMPT (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тіопурин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>-S-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метилтрансферазі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) пов'язані з незалежними від дози небажаними ефектами, такими як гепатотоксичність 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мієлотоксичність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>, але вони не корелюють із TІП [29].</w:t>
      </w:r>
    </w:p>
    <w:p w14:paraId="5A0AA043" w14:textId="77777777" w:rsidR="00D32F8B" w:rsidRPr="00C0356E" w:rsidRDefault="00D32F8B" w:rsidP="00D32F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Сполуки 5-АСК, включно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сульфасалазин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олсалазин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мезаламін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, рідше викликають лікарський ГП [17]. У більшості випадків перебіг 5-AСК-індукованого панкреатиту є легким. Однак повідомлялося і про випадки важкого некротичного панкреатиту [14]. Згідно з аналізом підозрюваних серйозних небажаних реакцій, повідомленим Комітету з безпеки лікарських препаратів Великобританії, ризик розвитку ГП в 7 разів вищий при прийомі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мезаламіну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, ніж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сульфасалазину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[48]. Крім того, ретроспективне дослідження типу «випадок-контроль» показало, що ризик ГП не відрізняється у пацієнтів, що використовують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мультиматричну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систему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месалазину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месалазин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порівняння [51]. Крім того, ГП може навіть розвинутися після ректального введення клізми з 5-AСК [23]. ГП, викликаний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мезаламіном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, може виникати від 2 днів до 2 років після початку прийому препарату, причому більшість випадків відбувається протягом 6 тижнів від початку лікування; клінічне поліпшення зазвичай проявляється протягом 4 днів після відміни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мезаламіну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[15, 44].</w:t>
      </w:r>
    </w:p>
    <w:p w14:paraId="64B30FDE" w14:textId="77777777" w:rsidR="00D32F8B" w:rsidRPr="00C0356E" w:rsidRDefault="00D32F8B" w:rsidP="00D32F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Лікарсько-індукований ГП є вкрай рідкісним небажаним ефектом біологічних агентів, і було описано лише кілька випадків [43, 76]. Крім того, дослідження типу «випадок-контроль» показало, що комбінована терапія з анти-ФНП (препаратами-антитілами до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фактора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некрозу пухлин) пов'язана з нижчим ризиком розвитку ГП у пацієнтів із ЗЗК, що приймають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мезаламін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тіопурин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або їхню комбінацію [62].</w:t>
      </w:r>
    </w:p>
    <w:p w14:paraId="44749635" w14:textId="77777777" w:rsidR="00D32F8B" w:rsidRPr="00C0356E" w:rsidRDefault="00D32F8B" w:rsidP="00D32F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Метронідазол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є антибактеріальним препаратом, який може використовуватися при лікуванні ЗЗК, повідомлялося лише про декілька випадків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метронідазол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-індукованого ГП [39]. Механізм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метронідазол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-індукованого панкреатиту невідомий. Було висунуто припущення, що в аеробних умовах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метронідазол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може піддаватися окислювально-відновним процесам і викликати утворення перекису водню,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супероксиду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й інших вільних радикалів, які токсичні для β-клітин. Інші передбачувані механізми включають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імуноопосередковану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запальну відповідь і метаболічні ефекти [63]. Часовий інтервал між впливом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метронідазолу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і початком ГП складає від 12 годин до 35 днів [71]. </w:t>
      </w:r>
    </w:p>
    <w:p w14:paraId="47B351EF" w14:textId="77777777" w:rsidR="00D32F8B" w:rsidRPr="00C0356E" w:rsidRDefault="00D32F8B" w:rsidP="00D32F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вкрай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зустрічається ГП, пов'язаний із кортикостероїдами 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циклоспорином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А [16, 38]. Шведське популяційне дослідження типу «випадок-контроль» показало, що ризик ГП був підвищений серед поточних користувачів пероральних кортикостероїдів в порівнянні з особами, котрі не приймають лікарські препарати (ВШ: 1,53), і ризик був вищим через 4 і 14 днів після призначення кортикостероїдів [52].</w:t>
      </w:r>
    </w:p>
    <w:p w14:paraId="53EC77D1" w14:textId="77777777" w:rsidR="00D32F8B" w:rsidRPr="00C0356E" w:rsidRDefault="00D32F8B" w:rsidP="00D32F8B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Діагностика</w:t>
      </w:r>
    </w:p>
    <w:p w14:paraId="31BD60FF" w14:textId="77777777" w:rsidR="00D32F8B" w:rsidRPr="00C0356E" w:rsidRDefault="00D32F8B" w:rsidP="00D32F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Діагностика ГП вимагає наявності як мінімум двох з наступних трьох критеріїв: 1) характерний панкреатичний біль у животі; 2) амілаза і / або ліпаза сироватки крові перевищує верхню межу норми втричі; і / або 3) характерні результати візуалізації [65]. Діагноз лікарсько індукованого ГП встановлюється при наявності наступних критеріїв: 1) часовий зв'язок між введенням лікарського 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засобу і розвитком ГП; 2) скасування препарату викликає клінічне поліпшення; 3) після повторного введення препарату повторно з'являються симптоми [38]. У клінічній практиці повторне введення препарату не проводиться (рис. 1).</w:t>
      </w:r>
    </w:p>
    <w:p w14:paraId="3AC93321" w14:textId="5BF6AFF0" w:rsidR="00E52C93" w:rsidRPr="00C0356E" w:rsidRDefault="00E52C93" w:rsidP="00E52C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2660" w:type="dxa"/>
        <w:tblLook w:val="04A0" w:firstRow="1" w:lastRow="0" w:firstColumn="1" w:lastColumn="0" w:noHBand="0" w:noVBand="1"/>
      </w:tblPr>
      <w:tblGrid>
        <w:gridCol w:w="5103"/>
      </w:tblGrid>
      <w:tr w:rsidR="00C0356E" w:rsidRPr="00C0356E" w14:paraId="51A5205F" w14:textId="77777777" w:rsidTr="00671E23">
        <w:tc>
          <w:tcPr>
            <w:tcW w:w="5103" w:type="dxa"/>
          </w:tcPr>
          <w:p w14:paraId="53BB4078" w14:textId="77777777" w:rsidR="00E52C93" w:rsidRPr="00C0356E" w:rsidRDefault="00E52C93" w:rsidP="0032633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Підозра на ГП</w:t>
            </w:r>
          </w:p>
        </w:tc>
      </w:tr>
    </w:tbl>
    <w:p w14:paraId="46D7C21D" w14:textId="77777777" w:rsidR="00E52C93" w:rsidRPr="00C0356E" w:rsidRDefault="00E52C93" w:rsidP="0032633F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ab/>
        <w:t>|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1029"/>
        <w:gridCol w:w="776"/>
        <w:gridCol w:w="885"/>
        <w:gridCol w:w="1112"/>
        <w:gridCol w:w="1265"/>
        <w:gridCol w:w="3994"/>
      </w:tblGrid>
      <w:tr w:rsidR="00C0356E" w:rsidRPr="00C0356E" w14:paraId="39D35149" w14:textId="77777777" w:rsidTr="00DC4715">
        <w:trPr>
          <w:trHeight w:val="804"/>
        </w:trPr>
        <w:tc>
          <w:tcPr>
            <w:tcW w:w="4368" w:type="dxa"/>
            <w:gridSpan w:val="5"/>
            <w:vMerge w:val="restart"/>
          </w:tcPr>
          <w:p w14:paraId="5E3EB810" w14:textId="77777777" w:rsidR="00E52C93" w:rsidRPr="00C0356E" w:rsidRDefault="00E52C93" w:rsidP="003263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Встановлення діагнозу</w:t>
            </w:r>
          </w:p>
          <w:p w14:paraId="27281C60" w14:textId="77777777" w:rsidR="00E52C93" w:rsidRPr="00C0356E" w:rsidRDefault="00E52C93" w:rsidP="003263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не менше двох з наступних критеріїв:</w:t>
            </w:r>
          </w:p>
          <w:p w14:paraId="48D54B31" w14:textId="77777777" w:rsidR="00E52C93" w:rsidRPr="00C0356E" w:rsidRDefault="00E52C93" w:rsidP="003263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• панкреатичний біль в животі</w:t>
            </w:r>
          </w:p>
          <w:p w14:paraId="39B2791B" w14:textId="77777777" w:rsidR="00E52C93" w:rsidRPr="00C0356E" w:rsidRDefault="00E52C93" w:rsidP="003263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• амілаза і / або ліпаза в сироватці крові перевищує верхню межу норми втричі</w:t>
            </w:r>
          </w:p>
          <w:p w14:paraId="0EDCE6A4" w14:textId="77777777" w:rsidR="00E52C93" w:rsidRPr="00C0356E" w:rsidRDefault="00E52C93" w:rsidP="003263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• характерні результати візуалізації черевної порожнини</w:t>
            </w:r>
          </w:p>
        </w:tc>
        <w:tc>
          <w:tcPr>
            <w:tcW w:w="1265" w:type="dxa"/>
            <w:tcBorders>
              <w:top w:val="nil"/>
            </w:tcBorders>
            <w:vAlign w:val="center"/>
          </w:tcPr>
          <w:p w14:paraId="4B88CF49" w14:textId="77777777" w:rsidR="00E52C93" w:rsidRPr="00C0356E" w:rsidRDefault="00E52C93" w:rsidP="00E52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94" w:type="dxa"/>
            <w:vMerge w:val="restart"/>
          </w:tcPr>
          <w:p w14:paraId="5A84F5B7" w14:textId="77777777" w:rsidR="00E52C93" w:rsidRPr="00C0356E" w:rsidRDefault="00E52C93" w:rsidP="00E52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діагностики загострення ЗЗК або інших захворювань необхідні візуалізація і / або ендоскопія</w:t>
            </w:r>
          </w:p>
        </w:tc>
      </w:tr>
      <w:tr w:rsidR="00C0356E" w:rsidRPr="00C0356E" w14:paraId="0C592A77" w14:textId="77777777" w:rsidTr="00DC4715">
        <w:trPr>
          <w:trHeight w:val="803"/>
        </w:trPr>
        <w:tc>
          <w:tcPr>
            <w:tcW w:w="4368" w:type="dxa"/>
            <w:gridSpan w:val="5"/>
            <w:vMerge/>
          </w:tcPr>
          <w:p w14:paraId="7AE23542" w14:textId="77777777" w:rsidR="00E52C93" w:rsidRPr="00C0356E" w:rsidRDefault="00E52C93" w:rsidP="00671E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532219B7" w14:textId="77777777" w:rsidR="00E52C93" w:rsidRPr="00C0356E" w:rsidRDefault="00E52C93" w:rsidP="00671E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3994" w:type="dxa"/>
            <w:vMerge/>
          </w:tcPr>
          <w:p w14:paraId="5E415B51" w14:textId="77777777" w:rsidR="00E52C93" w:rsidRPr="00C0356E" w:rsidRDefault="00E52C93" w:rsidP="00671E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356E" w:rsidRPr="00C0356E" w14:paraId="02A9B7EC" w14:textId="77777777" w:rsidTr="00DC4715">
        <w:trPr>
          <w:trHeight w:val="803"/>
        </w:trPr>
        <w:tc>
          <w:tcPr>
            <w:tcW w:w="4368" w:type="dxa"/>
            <w:gridSpan w:val="5"/>
            <w:vMerge/>
          </w:tcPr>
          <w:p w14:paraId="53BECA41" w14:textId="77777777" w:rsidR="00E52C93" w:rsidRPr="00C0356E" w:rsidRDefault="00E52C93" w:rsidP="00671E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tcBorders>
              <w:bottom w:val="nil"/>
            </w:tcBorders>
            <w:vAlign w:val="center"/>
          </w:tcPr>
          <w:p w14:paraId="59621433" w14:textId="77777777" w:rsidR="00E52C93" w:rsidRPr="00C0356E" w:rsidRDefault="00E52C93" w:rsidP="00671E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94" w:type="dxa"/>
            <w:vMerge/>
          </w:tcPr>
          <w:p w14:paraId="22ADDAA5" w14:textId="77777777" w:rsidR="00E52C93" w:rsidRPr="00C0356E" w:rsidRDefault="00E52C93" w:rsidP="00671E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356E" w:rsidRPr="00C0356E" w14:paraId="0B7AF923" w14:textId="77777777" w:rsidTr="00DC4715">
        <w:trPr>
          <w:gridBefore w:val="2"/>
          <w:gridAfter w:val="4"/>
          <w:wBefore w:w="1595" w:type="dxa"/>
          <w:wAfter w:w="7256" w:type="dxa"/>
        </w:trPr>
        <w:tc>
          <w:tcPr>
            <w:tcW w:w="776" w:type="dxa"/>
          </w:tcPr>
          <w:p w14:paraId="44019341" w14:textId="77777777" w:rsidR="00E52C93" w:rsidRPr="00C0356E" w:rsidRDefault="00E52C93" w:rsidP="00DC471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</w:tr>
      <w:tr w:rsidR="00C0356E" w:rsidRPr="00C0356E" w14:paraId="31B91403" w14:textId="77777777" w:rsidTr="00DC4715">
        <w:trPr>
          <w:gridBefore w:val="1"/>
          <w:gridAfter w:val="3"/>
          <w:wBefore w:w="566" w:type="dxa"/>
          <w:wAfter w:w="6371" w:type="dxa"/>
        </w:trPr>
        <w:tc>
          <w:tcPr>
            <w:tcW w:w="2690" w:type="dxa"/>
            <w:gridSpan w:val="3"/>
          </w:tcPr>
          <w:p w14:paraId="07B47A00" w14:textId="77777777" w:rsidR="00E52C93" w:rsidRPr="00C0356E" w:rsidRDefault="00E52C93" w:rsidP="00E52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Пошук етіології ГП</w:t>
            </w:r>
          </w:p>
        </w:tc>
      </w:tr>
    </w:tbl>
    <w:p w14:paraId="244191E8" w14:textId="77777777" w:rsidR="00E52C93" w:rsidRPr="00C0356E" w:rsidRDefault="00E52C93" w:rsidP="00E52C93">
      <w:pPr>
        <w:spacing w:after="0" w:line="240" w:lineRule="auto"/>
        <w:rPr>
          <w:lang w:val="uk-UA"/>
        </w:rPr>
      </w:pPr>
      <w:r w:rsidRPr="00C0356E">
        <w:rPr>
          <w:lang w:val="uk-UA"/>
        </w:rPr>
        <w:tab/>
      </w:r>
      <w:r w:rsidRPr="00C0356E">
        <w:rPr>
          <w:lang w:val="uk-UA"/>
        </w:rPr>
        <w:tab/>
      </w:r>
      <w:r w:rsidRPr="00C0356E">
        <w:rPr>
          <w:lang w:val="uk-UA"/>
        </w:rPr>
        <w:tab/>
        <w:t>|</w:t>
      </w:r>
    </w:p>
    <w:tbl>
      <w:tblPr>
        <w:tblStyle w:val="a3"/>
        <w:tblW w:w="8959" w:type="dxa"/>
        <w:tblInd w:w="817" w:type="dxa"/>
        <w:tblLook w:val="04A0" w:firstRow="1" w:lastRow="0" w:firstColumn="1" w:lastColumn="0" w:noHBand="0" w:noVBand="1"/>
      </w:tblPr>
      <w:tblGrid>
        <w:gridCol w:w="1003"/>
        <w:gridCol w:w="789"/>
        <w:gridCol w:w="582"/>
        <w:gridCol w:w="269"/>
        <w:gridCol w:w="1467"/>
        <w:gridCol w:w="776"/>
        <w:gridCol w:w="83"/>
        <w:gridCol w:w="3990"/>
      </w:tblGrid>
      <w:tr w:rsidR="00C0356E" w:rsidRPr="00C0356E" w14:paraId="6E204DED" w14:textId="77777777" w:rsidTr="0032633F">
        <w:trPr>
          <w:gridAfter w:val="1"/>
          <w:wAfter w:w="3990" w:type="dxa"/>
        </w:trPr>
        <w:tc>
          <w:tcPr>
            <w:tcW w:w="4969" w:type="dxa"/>
            <w:gridSpan w:val="7"/>
          </w:tcPr>
          <w:p w14:paraId="02872A75" w14:textId="77777777" w:rsidR="00E52C93" w:rsidRPr="00C0356E" w:rsidRDefault="00E52C93" w:rsidP="003263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Дослідження частих причин ГП:</w:t>
            </w:r>
          </w:p>
          <w:p w14:paraId="16746E53" w14:textId="77777777" w:rsidR="00E52C93" w:rsidRPr="00C0356E" w:rsidRDefault="00E52C93" w:rsidP="003263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Жовчнокам'яна хвороба: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холелітіаз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холедохолітіаз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(ультразвукове</w:t>
            </w:r>
          </w:p>
          <w:p w14:paraId="0BB912E4" w14:textId="77777777" w:rsidR="00E52C93" w:rsidRPr="00C0356E" w:rsidRDefault="00E52C93" w:rsidP="003263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дослідження, магнітно-резонансна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холангіопанкреатографія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14:paraId="561669CD" w14:textId="77777777" w:rsidR="00E52C93" w:rsidRPr="00C0356E" w:rsidRDefault="00E52C93" w:rsidP="003263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Зловживання алкоголем</w:t>
            </w:r>
          </w:p>
          <w:p w14:paraId="34E5C76C" w14:textId="77777777" w:rsidR="00E52C93" w:rsidRPr="00C0356E" w:rsidRDefault="00E52C93" w:rsidP="003263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Метаболічні причини (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гіперкальціємія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гіпертригліцеридемія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C0356E" w:rsidRPr="00C0356E" w14:paraId="5FB50758" w14:textId="77777777" w:rsidTr="0032633F">
        <w:trPr>
          <w:gridBefore w:val="1"/>
          <w:gridAfter w:val="3"/>
          <w:wBefore w:w="1003" w:type="dxa"/>
          <w:wAfter w:w="4849" w:type="dxa"/>
          <w:trHeight w:val="327"/>
        </w:trPr>
        <w:tc>
          <w:tcPr>
            <w:tcW w:w="1640" w:type="dxa"/>
            <w:gridSpan w:val="3"/>
          </w:tcPr>
          <w:p w14:paraId="685A792D" w14:textId="77777777" w:rsidR="00E52C93" w:rsidRPr="00C0356E" w:rsidRDefault="00E52C93" w:rsidP="00DC4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Негативно</w:t>
            </w:r>
          </w:p>
        </w:tc>
        <w:tc>
          <w:tcPr>
            <w:tcW w:w="1467" w:type="dxa"/>
            <w:tcBorders>
              <w:right w:val="nil"/>
            </w:tcBorders>
          </w:tcPr>
          <w:p w14:paraId="71E7ABC1" w14:textId="77777777" w:rsidR="00E52C93" w:rsidRPr="00C0356E" w:rsidRDefault="00E52C93" w:rsidP="00671E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356E" w:rsidRPr="00C0356E" w14:paraId="2048B0DC" w14:textId="77777777" w:rsidTr="0032633F">
        <w:trPr>
          <w:trHeight w:val="538"/>
        </w:trPr>
        <w:tc>
          <w:tcPr>
            <w:tcW w:w="4110" w:type="dxa"/>
            <w:gridSpan w:val="5"/>
            <w:vMerge w:val="restart"/>
          </w:tcPr>
          <w:p w14:paraId="3EE79B1A" w14:textId="77777777" w:rsidR="00E52C93" w:rsidRPr="00C0356E" w:rsidRDefault="00E52C93" w:rsidP="00DC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відповідна часова послідовність між розвитком ГП і введенням лікарського препарату?</w:t>
            </w:r>
          </w:p>
          <w:p w14:paraId="56361002" w14:textId="77777777" w:rsidR="00E52C93" w:rsidRPr="00C0356E" w:rsidRDefault="00E52C93" w:rsidP="00DC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Можливий лікарсько-індукований ГП</w:t>
            </w:r>
          </w:p>
        </w:tc>
        <w:tc>
          <w:tcPr>
            <w:tcW w:w="776" w:type="dxa"/>
            <w:tcBorders>
              <w:top w:val="nil"/>
            </w:tcBorders>
          </w:tcPr>
          <w:p w14:paraId="7310F537" w14:textId="77777777" w:rsidR="00E52C93" w:rsidRPr="00C0356E" w:rsidRDefault="00E52C93" w:rsidP="00DC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73" w:type="dxa"/>
            <w:gridSpan w:val="2"/>
            <w:vMerge w:val="restart"/>
          </w:tcPr>
          <w:p w14:paraId="6C9C2CAC" w14:textId="77777777" w:rsidR="00E52C93" w:rsidRPr="00C0356E" w:rsidRDefault="00E52C93" w:rsidP="00DC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Скасування лікарського препарату викликає клінічне поліпшення.</w:t>
            </w:r>
          </w:p>
          <w:p w14:paraId="3E6ABFB1" w14:textId="77777777" w:rsidR="00E52C93" w:rsidRPr="00C0356E" w:rsidRDefault="00E52C93" w:rsidP="00DC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Повторний вплив підтверджує діагноз лікарсько-індукованого панкреатиту</w:t>
            </w:r>
          </w:p>
        </w:tc>
      </w:tr>
      <w:tr w:rsidR="00C0356E" w:rsidRPr="00C0356E" w14:paraId="4771D50E" w14:textId="77777777" w:rsidTr="0032633F">
        <w:trPr>
          <w:trHeight w:val="536"/>
        </w:trPr>
        <w:tc>
          <w:tcPr>
            <w:tcW w:w="4110" w:type="dxa"/>
            <w:gridSpan w:val="5"/>
            <w:vMerge/>
          </w:tcPr>
          <w:p w14:paraId="1FB5AD4F" w14:textId="77777777" w:rsidR="00E52C93" w:rsidRPr="00C0356E" w:rsidRDefault="00E52C93" w:rsidP="00671E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14:paraId="17C66AD2" w14:textId="77777777" w:rsidR="00E52C93" w:rsidRPr="00C0356E" w:rsidRDefault="00E52C93" w:rsidP="00671E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4073" w:type="dxa"/>
            <w:gridSpan w:val="2"/>
            <w:vMerge/>
          </w:tcPr>
          <w:p w14:paraId="31FCB9D4" w14:textId="77777777" w:rsidR="00E52C93" w:rsidRPr="00C0356E" w:rsidRDefault="00E52C93" w:rsidP="00671E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356E" w:rsidRPr="00C0356E" w14:paraId="1B6FB745" w14:textId="77777777" w:rsidTr="0032633F">
        <w:trPr>
          <w:trHeight w:val="536"/>
        </w:trPr>
        <w:tc>
          <w:tcPr>
            <w:tcW w:w="4110" w:type="dxa"/>
            <w:gridSpan w:val="5"/>
            <w:vMerge/>
          </w:tcPr>
          <w:p w14:paraId="75074829" w14:textId="77777777" w:rsidR="00E52C93" w:rsidRPr="00C0356E" w:rsidRDefault="00E52C93" w:rsidP="00671E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  <w:tcBorders>
              <w:bottom w:val="nil"/>
            </w:tcBorders>
          </w:tcPr>
          <w:p w14:paraId="33683113" w14:textId="77777777" w:rsidR="00E52C93" w:rsidRPr="00C0356E" w:rsidRDefault="00E52C93" w:rsidP="00671E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73" w:type="dxa"/>
            <w:gridSpan w:val="2"/>
            <w:vMerge/>
          </w:tcPr>
          <w:p w14:paraId="3F2F7A32" w14:textId="77777777" w:rsidR="00E52C93" w:rsidRPr="00C0356E" w:rsidRDefault="00E52C93" w:rsidP="00671E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356E" w:rsidRPr="00C0356E" w14:paraId="6B71FB4E" w14:textId="77777777" w:rsidTr="0032633F">
        <w:trPr>
          <w:gridBefore w:val="2"/>
          <w:gridAfter w:val="5"/>
          <w:wBefore w:w="1792" w:type="dxa"/>
          <w:wAfter w:w="6585" w:type="dxa"/>
        </w:trPr>
        <w:tc>
          <w:tcPr>
            <w:tcW w:w="582" w:type="dxa"/>
          </w:tcPr>
          <w:p w14:paraId="27D68325" w14:textId="77777777" w:rsidR="00E52C93" w:rsidRPr="00C0356E" w:rsidRDefault="00E52C93" w:rsidP="00671E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</w:tr>
      <w:tr w:rsidR="00C0356E" w:rsidRPr="00C0356E" w14:paraId="20FA363E" w14:textId="77777777" w:rsidTr="0032633F">
        <w:tc>
          <w:tcPr>
            <w:tcW w:w="8959" w:type="dxa"/>
            <w:gridSpan w:val="8"/>
          </w:tcPr>
          <w:p w14:paraId="0EC2C983" w14:textId="77777777" w:rsidR="00E52C93" w:rsidRPr="00C0356E" w:rsidRDefault="00E52C93" w:rsidP="00E52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Пошук менш частих причин:</w:t>
            </w:r>
          </w:p>
          <w:p w14:paraId="61B968E6" w14:textId="77777777" w:rsidR="00E52C93" w:rsidRPr="00C0356E" w:rsidRDefault="00E52C93" w:rsidP="00E52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Візуалізація підтверджує автоімунний панкреатит? Слід визначити рівень </w:t>
            </w:r>
            <w:r w:rsidRPr="00C035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</w:t>
            </w:r>
            <w:r w:rsidRPr="00C035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у сироватці крові, провести біопсію ПЗ. Молодий вік і сімейний анамнез? Необхідні генетичні аналізи, дослідження ревматичних і судинних захворювань, вірусних і паразитарних інфекцій.</w:t>
            </w:r>
          </w:p>
        </w:tc>
      </w:tr>
    </w:tbl>
    <w:p w14:paraId="39FFB793" w14:textId="77777777" w:rsidR="00E52C93" w:rsidRPr="00C0356E" w:rsidRDefault="00E52C93" w:rsidP="00E52C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ab/>
        <w:t>|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072"/>
      </w:tblGrid>
      <w:tr w:rsidR="00C0356E" w:rsidRPr="00C0356E" w14:paraId="7EEA40A2" w14:textId="77777777" w:rsidTr="00671E23">
        <w:tc>
          <w:tcPr>
            <w:tcW w:w="9072" w:type="dxa"/>
          </w:tcPr>
          <w:p w14:paraId="22324E15" w14:textId="77777777" w:rsidR="00E52C93" w:rsidRPr="00C0356E" w:rsidRDefault="00E52C93" w:rsidP="00E52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Якщо причини </w:t>
            </w:r>
            <w:r w:rsidRPr="00C0356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 не знайдено, слід розглянути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ідіопатичний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панкреатит</w:t>
            </w:r>
          </w:p>
        </w:tc>
      </w:tr>
    </w:tbl>
    <w:p w14:paraId="58FC427D" w14:textId="77777777" w:rsidR="00E52C93" w:rsidRPr="00C0356E" w:rsidRDefault="00E52C93" w:rsidP="00E52C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>|Рис.1. Діагностичний алгоритм встановлення діагнозу та причини ГП</w:t>
      </w:r>
    </w:p>
    <w:p w14:paraId="7E605CF4" w14:textId="77777777" w:rsidR="00E52C93" w:rsidRPr="00C0356E" w:rsidRDefault="00E52C93" w:rsidP="00E52C93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Лікування</w:t>
      </w:r>
    </w:p>
    <w:p w14:paraId="51DAF6FF" w14:textId="77777777" w:rsidR="00E52C93" w:rsidRPr="00C0356E" w:rsidRDefault="00E52C93" w:rsidP="00E52C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Терапія ГП не відрізняється в популяції в цілому і у пацієнтів із ЗЗК; лікування включає ранню активну внутрішньовенну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інфузійну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терапію, яку слід титрувати відповідно до діурезу і супутніх захворювань пацієнта; необхідні корекція електролітного дисбалансу, створення спокою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кишковику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, знеболювання і лікування основної причини і ускладнень ГП. При підозрі на лікарський ГП обов'язковою є негайна відміна препарату (табл. 4) [37]. Крім того, в одному випадку у чоловіка з ХК розвинувся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ідіопатичний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ГП середньої тяжкості під час важкого загострення ЗЗК. Пацієнт отримував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інфліксімаб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для індукції ремісії ХК. Була досягнута клініко-ендоскопічна ремісія, і ГП закінчився без ускладнень [68]. Також варто згадати, що застосування кортикостероїдів у пацієнтів з ГП, очевидно, є безпечним.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Метааналіз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показав, що терапія кортикостероїдами може поліпшити результати у пацієнтів з важким ГП. Отже, кортикостероїди можуть застосовуватися у пацієнтів із ГП і загостренням ЗЗК [13] (табл. 4).</w:t>
      </w:r>
    </w:p>
    <w:p w14:paraId="5842864D" w14:textId="77777777" w:rsidR="00E52C93" w:rsidRPr="00C0356E" w:rsidRDefault="00E52C93" w:rsidP="00E52C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2726DF" w14:textId="77777777" w:rsidR="00E52C93" w:rsidRPr="00C0356E" w:rsidRDefault="00E52C93" w:rsidP="00E52C93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АІП</w:t>
      </w:r>
    </w:p>
    <w:p w14:paraId="780AE5E4" w14:textId="77777777" w:rsidR="00E52C93" w:rsidRPr="00C0356E" w:rsidRDefault="00E52C93" w:rsidP="00E52C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AІП є рідкісним захворюванням ПЗ; це самостійна форма панкреатиту. Згідно з Міжнародним консенсусом з АІП, він характеризується клінічно механічною жовтяницею без болю з вогнищевим утворенням в ПЗ або без нього,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гістологічно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лімфоплазмоцитарною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інфільтрацією і фіброзом і терапевтично - відповіддю на кортикостероїди [56]. Захворювання підрозділяється на два окремих типи: АІП типу 1 і АІП типу 2. ЗЗК, очевидно, асоціюються з обома типами, але в більшій мірі з АІП типу 2.</w:t>
      </w:r>
    </w:p>
    <w:p w14:paraId="55225476" w14:textId="3F628F32" w:rsidR="00E52C93" w:rsidRPr="00C0356E" w:rsidRDefault="00E52C93" w:rsidP="00E52C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5520D5" w14:textId="77777777" w:rsidR="00DC4715" w:rsidRPr="00C0356E" w:rsidRDefault="00DC4715" w:rsidP="00DC471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Таблиця 4</w:t>
      </w: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>Лікування ГП у пацієнтів із ЗЗК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DC4715" w:rsidRPr="00C0356E" w14:paraId="6F8A88C2" w14:textId="77777777" w:rsidTr="00671E23">
        <w:tc>
          <w:tcPr>
            <w:tcW w:w="9322" w:type="dxa"/>
          </w:tcPr>
          <w:p w14:paraId="491402D6" w14:textId="77777777" w:rsidR="00DC4715" w:rsidRPr="00C0356E" w:rsidRDefault="00DC4715" w:rsidP="00DC4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 підозрі на лікарсько індукований ГП скасування аналогів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азатіоприну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6-меркаптурину і 5-АСК </w:t>
            </w:r>
          </w:p>
          <w:p w14:paraId="1FBDAF79" w14:textId="77777777" w:rsidR="00DC4715" w:rsidRPr="00C0356E" w:rsidRDefault="00DC4715" w:rsidP="00DC4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Активна внутрішньовенна терапія 250-500 мл на годину впродовж перших 12-24 годин</w:t>
            </w:r>
          </w:p>
          <w:p w14:paraId="4B0185BB" w14:textId="77777777" w:rsidR="00DC4715" w:rsidRPr="00C0356E" w:rsidRDefault="00DC4715" w:rsidP="00DC4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Розчин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Рінгера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повинен бути кращою ізотонічною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кристалоїдною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рідиною; протипоказаний при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гіперкальціємії</w:t>
            </w:r>
            <w:proofErr w:type="spellEnd"/>
          </w:p>
          <w:p w14:paraId="1474296F" w14:textId="77777777" w:rsidR="00DC4715" w:rsidRPr="00C0356E" w:rsidRDefault="00DC4715" w:rsidP="00DC4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Введення рідини має титруватись залежно від діурезу і супутніх захворювань</w:t>
            </w:r>
          </w:p>
          <w:p w14:paraId="47663A46" w14:textId="77777777" w:rsidR="00DC4715" w:rsidRPr="00C0356E" w:rsidRDefault="00DC4715" w:rsidP="00DC4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Корекція електролітного дисбалансу</w:t>
            </w:r>
          </w:p>
          <w:p w14:paraId="37D67D0D" w14:textId="77777777" w:rsidR="00DC4715" w:rsidRPr="00C0356E" w:rsidRDefault="00DC4715" w:rsidP="00DC4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Знеболювання</w:t>
            </w:r>
          </w:p>
          <w:p w14:paraId="3A882B99" w14:textId="77777777" w:rsidR="00DC4715" w:rsidRPr="00C0356E" w:rsidRDefault="00DC4715" w:rsidP="00DC4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Спокій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кишковика</w:t>
            </w:r>
            <w:proofErr w:type="spellEnd"/>
          </w:p>
          <w:p w14:paraId="14FD5830" w14:textId="77777777" w:rsidR="00DC4715" w:rsidRPr="00C0356E" w:rsidRDefault="00DC4715" w:rsidP="00DC4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легкому ГП пероральне харчування може бути розпочато негайно при відсутності нудоти, блювоти і при відсутності болю в животі</w:t>
            </w:r>
          </w:p>
          <w:p w14:paraId="562CE77A" w14:textId="77777777" w:rsidR="00DC4715" w:rsidRPr="00C0356E" w:rsidRDefault="00DC4715" w:rsidP="00DC4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 інших ГП рекомендується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ентеральне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харчування для запобігання інфекційних ускладнень</w:t>
            </w:r>
          </w:p>
          <w:p w14:paraId="13B91C73" w14:textId="77777777" w:rsidR="00DC4715" w:rsidRPr="00C0356E" w:rsidRDefault="00DC4715" w:rsidP="00DC4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Лікування ускладнень ГП</w:t>
            </w:r>
          </w:p>
          <w:p w14:paraId="3F85152F" w14:textId="77777777" w:rsidR="00DC4715" w:rsidRPr="00C0356E" w:rsidRDefault="00DC4715" w:rsidP="00DC4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 супутньому активному ЗЗК можуть застосовуватися </w:t>
            </w:r>
            <w:proofErr w:type="spellStart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інфліксімаб</w:t>
            </w:r>
            <w:proofErr w:type="spellEnd"/>
            <w:r w:rsidRPr="00C03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кортикостероїди</w:t>
            </w:r>
          </w:p>
        </w:tc>
      </w:tr>
    </w:tbl>
    <w:p w14:paraId="30AD6EC4" w14:textId="77777777" w:rsidR="00DC4715" w:rsidRPr="00C0356E" w:rsidRDefault="00DC4715" w:rsidP="00DC471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7F2B73" w14:textId="2FD7F2A4" w:rsidR="00DC4715" w:rsidRPr="00C0356E" w:rsidRDefault="00DC4715" w:rsidP="00DC471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AІП типу 1 є IgG4-асоційоване захворювання і характеризується підвищеним рівнем IgG4 в сироватці крові,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гістологічно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лімфоплазматичною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інфільтрацією,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сторіоформним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фіброзом,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облітеруючим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флебітом, значною кількістю (&gt; 10 в полі зору) IgG4-позитивних плазматичних клітин в тканині ПЗ і позитивною реакцією на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кортикостероїдну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терапію. З іншого боку, АІП типу 2 не характеризується підвищеним рівнем IgG4 і IgG4-позитивних плазматичних клітин в сироватці крові і характеризується епітеліальними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гранулоцитарними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ушкодженнями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протокового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епітелію і реакцією на лікування кортикостероїдами. Згідно з консенсусом, AІП типу 1 і типу 2 може бути діагностований шляхом оцінки комбінації п'яти основних характеристик: 1) результати візуалізації ПЗ 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ПЗ; 2) рівень IgG4 в сироватці крові; 3) залучення інших органів; 4) гістопатологічні зміни паренхіми ПЗ; 5) відповідь на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кортикостероїдну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терапію [56, 72].</w:t>
      </w:r>
    </w:p>
    <w:p w14:paraId="11B290E1" w14:textId="77777777" w:rsidR="00DC4715" w:rsidRPr="00C0356E" w:rsidRDefault="00DC4715" w:rsidP="00DC471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Поширеність АІП серед пацієнтів із ЗЗК вища, ніж у загальній популяції, головним чином через тісний зв'язок між AІП типу 2 і ВК [70]. Зокрема, в міжнародному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багатоцентровому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дослідженні частота ВК склала 16%, а ХК - 1% серед 64 пацієнтів з АІП типу 2, тоді як поширеність ВК і ХК склала 1% серед 153 пацієнтів з AІП типу 1 [25]. Крім того, в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когортному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дослідженні тисячі семисот п'ятдесяти одного японського пацієнта із ЗЗК частота AІП була низькою, і тільки у 0,4% (5 ВК, 2 ХК) пацієнтів із ЗЗК спостерігався АІП. У всіх пацієнтів спостерігався АІП типу 2 [73]. У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багатоцентровому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ретроспективному дослідженні проаналізовано дані 91 пацієнта із ЗЗК і АІП, порівняли пацієнтів із ЗЗК і без AІП, і продемонстровали вплив AІП на природний перебіг ЗЗК. Аналіз показав, що у пацієнтів із ЗЗК і АІП спостерігалося значно менше випадків ЗЗК у родичів першого ступеня спорідненості і більше випадків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колектомії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. Діагноз АІП передував ЗЗК в 20% випадків. Крім того, пацієнти із ВК і АІП мали вищий ризик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колектомії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(ВШ: 2,9) і локалізації захворювання в прямій кишці (ВШ: 7.1); в той час як у пацієнтів із ХК спостерігалося менше випадків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перианального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ураження, стриктур 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пенетрацій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, але був вищим ризик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колектомії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[30]. Варто відзначити, що гастроентерологам слід знати про існування IgG4-асоційованого коліту у пацієнтів із AІП, тобто у багатьох пацієнтів з АІП коліт імітує ЗЗК [50].</w:t>
      </w:r>
    </w:p>
    <w:p w14:paraId="0A6CC0C3" w14:textId="77777777" w:rsidR="00DC4715" w:rsidRPr="00C0356E" w:rsidRDefault="00DC4715" w:rsidP="00DC471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Механізму зв'язку між ЗЗК і АІП досі ніхто не знає. Однак, ймовірно, має значення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імуноопосередкований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механізм. У пацієнтів із АІП було виявлено безліч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автоантитіл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, але ні один з типів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автоантитіл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>, очевидно, не є специфічним для захворювання, і вони були виявлені при багатьох інших автоімунних захворюваннях [57].</w:t>
      </w:r>
    </w:p>
    <w:p w14:paraId="6CCEC1F7" w14:textId="77777777" w:rsidR="00DC4715" w:rsidRPr="00C0356E" w:rsidRDefault="00DC4715" w:rsidP="00DC4715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ХП</w:t>
      </w:r>
    </w:p>
    <w:p w14:paraId="52F40AAE" w14:textId="77777777" w:rsidR="00DC4715" w:rsidRPr="00C0356E" w:rsidRDefault="00DC4715" w:rsidP="00DC471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ХП характеризується хронічним прогресуючим запаленням і фіброзом ПЗ, які викликають незворотні ушкодження і порушення екзокринної та ендокринної функції [32]. Захворюваність на ХП коливається від 4,4 до 11,9 на 100 000 [12]; і ХП частіше зустрічається у чоловіків [77]. Клінічна картина ХП різна і може включати рецидивні напади болю в животі, цукровий діабет,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стеаторею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мальабсорбцію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, але у багатьох пацієнтів може мати місце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безсимптомний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перебіг [61]. Діагноз ХП часто встановлюють пізно через неспецифічні симптоми і лабораторні показники. Візуалізація відіграє вирішальну роль в діагностиці. Кембриджська класифікація оцінює ХП відповідно до даних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lastRenderedPageBreak/>
        <w:t>магнітнорезонансної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томографії / комп'ютерної томографії та ендоскопічної ретроградної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холангіопанкреатографії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[55]. Крім того, ендоскопічне ультразвукове дослідження має високу чутливість для діагностики ХП при урахуванні діагностичних критеріїв, таких як критерії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Rosemont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(зміни паренхіми 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>) [47].</w:t>
      </w:r>
    </w:p>
    <w:p w14:paraId="774A890D" w14:textId="77777777" w:rsidR="00DC4715" w:rsidRPr="00C0356E" w:rsidRDefault="00DC4715" w:rsidP="00DC471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Зв'язок між ЗЗК і ХП не був детально вивчений, проведено тільки декілька досліджень. У дослідженні, що включає 28 пацієнтів із ЗЗК (16 ХК, 12 ВК) і ХП, ХП розвинувся після початку ХК в 56% випадків, в той час як у пацієнтів із ВК ХП був проявом, що передував кишковим симптомам. 42% пацієнтів із ВК і ХП страждали на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панколіт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[3]. У загальнонаціональному популяційному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когортному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дослідженні, проведеному в Тайвані, порівняли пацієнтів з і без ХП. Загальна частота ЗЗК була в 10,3 разу вищою у пацієнтів із ХП у порівнянні з пацієнтами без ХП. Крім того, пацієнти з ХП мали вищий ризик розвитку ЗЗК (відношення ризиків (ВР) 6,3), в основному ХК (ВР 12,9) в порівнянні з ВК (ВР 2,8) [10].</w:t>
      </w:r>
    </w:p>
    <w:p w14:paraId="0178C1BF" w14:textId="77777777" w:rsidR="00DC4715" w:rsidRPr="00C0356E" w:rsidRDefault="00DC4715" w:rsidP="00DC471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AD5FFB" w14:textId="77777777" w:rsidR="00DC4715" w:rsidRPr="00C0356E" w:rsidRDefault="00DC4715" w:rsidP="00DC4715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Екзокринна недостатність ПЗ (ЕНПЗ)</w:t>
      </w:r>
    </w:p>
    <w:p w14:paraId="659C1A41" w14:textId="0DA2AE14" w:rsidR="00366C8B" w:rsidRPr="00C0356E" w:rsidRDefault="00DC4715" w:rsidP="00366C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ЕНПЗ характеризується зниженням активності ферментів ПЗ в просвіті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кишковика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>, що викликає</w:t>
      </w:r>
      <w:r w:rsidR="00366C8B"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порушення травлення [28]. У </w:t>
      </w:r>
      <w:proofErr w:type="spellStart"/>
      <w:r w:rsidR="00366C8B" w:rsidRPr="00C0356E">
        <w:rPr>
          <w:rFonts w:ascii="Times New Roman" w:hAnsi="Times New Roman" w:cs="Times New Roman"/>
          <w:sz w:val="28"/>
          <w:szCs w:val="28"/>
          <w:lang w:val="uk-UA"/>
        </w:rPr>
        <w:t>проспективному</w:t>
      </w:r>
      <w:proofErr w:type="spellEnd"/>
      <w:r w:rsidR="00366C8B"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дослідженні для оцінки поширеності ЕНПЗ у пацієнтів із ЗЗК  використовували фекальну </w:t>
      </w:r>
      <w:proofErr w:type="spellStart"/>
      <w:r w:rsidR="00366C8B" w:rsidRPr="00C0356E">
        <w:rPr>
          <w:rFonts w:ascii="Times New Roman" w:hAnsi="Times New Roman" w:cs="Times New Roman"/>
          <w:sz w:val="28"/>
          <w:szCs w:val="28"/>
          <w:lang w:val="uk-UA"/>
        </w:rPr>
        <w:t>еластазу</w:t>
      </w:r>
      <w:proofErr w:type="spellEnd"/>
      <w:r w:rsidR="00366C8B"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1; виявили, що 14% пацієнтів із ХК і 22% пацієнтів із ВК мали ЕНПЗ. У порівнянні з контрольною групою ВШ для ЕНПЗ становило 8,34</w:t>
      </w:r>
      <w:r w:rsidR="00366C8B" w:rsidRPr="00C0356E">
        <w:rPr>
          <w:rFonts w:ascii="Times New Roman" w:hAnsi="Times New Roman" w:cs="Times New Roman"/>
          <w:sz w:val="28"/>
          <w:szCs w:val="28"/>
        </w:rPr>
        <w:t xml:space="preserve"> </w:t>
      </w:r>
      <w:r w:rsidR="00366C8B" w:rsidRPr="00C0356E">
        <w:rPr>
          <w:rFonts w:ascii="Times New Roman" w:hAnsi="Times New Roman" w:cs="Times New Roman"/>
          <w:sz w:val="28"/>
          <w:szCs w:val="28"/>
          <w:lang w:val="uk-UA"/>
        </w:rPr>
        <w:t>для пацієнтів із ХК і 12,95 для пацієнтів із ВК. Крім того, ризик ЕНПЗ був вищим у пацієнтів із ЗЗК з рідким стільцем, великою кількістю дефекацій</w:t>
      </w:r>
      <w:r w:rsidR="00366C8B" w:rsidRPr="00C0356E">
        <w:rPr>
          <w:rFonts w:ascii="Times New Roman" w:hAnsi="Times New Roman" w:cs="Times New Roman"/>
          <w:sz w:val="28"/>
          <w:szCs w:val="28"/>
        </w:rPr>
        <w:t xml:space="preserve"> </w:t>
      </w:r>
      <w:r w:rsidR="00366C8B" w:rsidRPr="00C0356E">
        <w:rPr>
          <w:rFonts w:ascii="Times New Roman" w:hAnsi="Times New Roman" w:cs="Times New Roman"/>
          <w:sz w:val="28"/>
          <w:szCs w:val="28"/>
          <w:lang w:val="uk-UA"/>
        </w:rPr>
        <w:t>в день операції і за день до неї [31]. Інше дослідження з використанням секретину-</w:t>
      </w:r>
      <w:proofErr w:type="spellStart"/>
      <w:r w:rsidR="00366C8B" w:rsidRPr="00C0356E">
        <w:rPr>
          <w:rFonts w:ascii="Times New Roman" w:hAnsi="Times New Roman" w:cs="Times New Roman"/>
          <w:sz w:val="28"/>
          <w:szCs w:val="28"/>
          <w:lang w:val="uk-UA"/>
        </w:rPr>
        <w:t>церулеїну</w:t>
      </w:r>
      <w:proofErr w:type="spellEnd"/>
      <w:r w:rsidR="00366C8B"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показало, що рівень ліпази був знижений у 58% пацієнтів із ХК і у 80% пацієнтів із ВК [2]. У перехресному дослідженні 237 пацієнтів із ЗЗК  21% з них мали зниження екскреції </w:t>
      </w:r>
      <w:proofErr w:type="spellStart"/>
      <w:r w:rsidR="00366C8B" w:rsidRPr="00C0356E">
        <w:rPr>
          <w:rFonts w:ascii="Times New Roman" w:hAnsi="Times New Roman" w:cs="Times New Roman"/>
          <w:sz w:val="28"/>
          <w:szCs w:val="28"/>
          <w:lang w:val="uk-UA"/>
        </w:rPr>
        <w:t>параамінобензойної</w:t>
      </w:r>
      <w:proofErr w:type="spellEnd"/>
      <w:r w:rsidR="00366C8B"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кислоти (PABA) з сечею (&lt;40% від нормальних значень). У пацієнтів зі зниженим результатом PABA-тесту або підвищеним рівнем амілази або ліпази крові, що вдвічі перевищував верхню межу норми (54 пацієнта), був проведений </w:t>
      </w:r>
      <w:proofErr w:type="spellStart"/>
      <w:r w:rsidR="00366C8B" w:rsidRPr="00C0356E">
        <w:rPr>
          <w:rFonts w:ascii="Times New Roman" w:hAnsi="Times New Roman" w:cs="Times New Roman"/>
          <w:sz w:val="28"/>
          <w:szCs w:val="28"/>
          <w:lang w:val="uk-UA"/>
        </w:rPr>
        <w:t>секретиновий</w:t>
      </w:r>
      <w:proofErr w:type="spellEnd"/>
      <w:r w:rsidR="00366C8B"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тест, який показав низьку екскрецію бікарбонатів у 19% таких пацієнтів [22].</w:t>
      </w:r>
    </w:p>
    <w:p w14:paraId="30A81CDC" w14:textId="77777777" w:rsidR="00366C8B" w:rsidRPr="00C0356E" w:rsidRDefault="00366C8B" w:rsidP="00366C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67F751" w14:textId="77777777" w:rsidR="00366C8B" w:rsidRPr="00C0356E" w:rsidRDefault="00366C8B" w:rsidP="00366C8B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Панкреатичні </w:t>
      </w:r>
      <w:proofErr w:type="spellStart"/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автоантитіла</w:t>
      </w:r>
      <w:proofErr w:type="spellEnd"/>
    </w:p>
    <w:p w14:paraId="7B87BEA1" w14:textId="77777777" w:rsidR="00366C8B" w:rsidRPr="00C0356E" w:rsidRDefault="00366C8B" w:rsidP="00366C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У пацієнтів із ЗЗК  виявляють антитіла проти екзокринної тканини ПЗ (PAB). Поширеність PAB варіює від 20% до 30% серед пацієнтів із ХК і від 2% до 9% у пацієнтів із ВК [58], в той час як поширеність PAB у пацієнтів без ЗЗК, очевидно, дуже низька (&lt;4%) [24]. PAB належать до підтипів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IgG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IgA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зимоген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глікопротеїн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2 (GP2) вважається основною антигеном-мішенню PAB [6]. Ймовірно, анти-GP2 корелюють із локалізацією і перебігом ХК. У дослідженні 169 пацієнтів із ХК поширеність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IgG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IgA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анти-GP2 склала 30,2%.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IgG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анти-GP2 були більш поширені у пацієнтів із ХК зі стенозним перебігом і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періанальним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ураженням. Анти-GP2 частіше зустрічалися у пацієнтів зі встановленням діагнозу до</w:t>
      </w:r>
      <w:r w:rsidRPr="00C0356E">
        <w:rPr>
          <w:rFonts w:ascii="Times New Roman" w:hAnsi="Times New Roman" w:cs="Times New Roman"/>
          <w:sz w:val="28"/>
          <w:szCs w:val="28"/>
        </w:rPr>
        <w:t xml:space="preserve"> 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16 років (16/31) [7]. Інше дослідження 225 пацієнтів із ХК показало, що наявність анти-GP2 більш характерно для пацієнтів із ураженням клубової кишки і попереднім хірургічним втручанням [42]. Крім того,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zona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pellucida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-подібні домени, які містять білок 1 (CUZD1), також відносяться до PAB, і, 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очевидно, анти-CUZD1 частіше зустрічаються у пацієнтів із ХК, ніж при ВК і можуть бути пов'язані з ураженням клубової кишки та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періанальної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області [34]. </w:t>
      </w:r>
    </w:p>
    <w:p w14:paraId="21A92F62" w14:textId="77777777" w:rsidR="00366C8B" w:rsidRPr="00C0356E" w:rsidRDefault="00366C8B" w:rsidP="00366C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PAB були виявлені при багатьох захворюваннях, зокрема, анти-GP2 був виявлений у пацієнтів із активною і рефрактерною целіакією, ПСХ без ЗЗК  і у пацієнтів із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холангіокарциномою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[20, 67]. Отже, наявність PAB у пацієнтів із ЗЗК  може ускладнювати діагностику.</w:t>
      </w:r>
    </w:p>
    <w:p w14:paraId="728B970B" w14:textId="77777777" w:rsidR="00366C8B" w:rsidRPr="00C0356E" w:rsidRDefault="00366C8B" w:rsidP="00366C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2E7608" w14:textId="77777777" w:rsidR="00366C8B" w:rsidRPr="00C0356E" w:rsidRDefault="00366C8B" w:rsidP="00366C8B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Доброякісні ураження ПЗ</w:t>
      </w:r>
    </w:p>
    <w:p w14:paraId="4173069E" w14:textId="77777777" w:rsidR="00366C8B" w:rsidRPr="00C0356E" w:rsidRDefault="00366C8B" w:rsidP="00366C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Безсимптомне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активності амілази і / або ліпази в сироватці крові не є рідкістю у пацієнтів із ЗЗК. Воно зустрічається у 8-21% пацієнтів із ЗЗК  і не пов'язане з іншими причинами,</w:t>
      </w:r>
      <w:r w:rsidRPr="00C0356E">
        <w:rPr>
          <w:rFonts w:ascii="Times New Roman" w:hAnsi="Times New Roman" w:cs="Times New Roman"/>
          <w:sz w:val="28"/>
          <w:szCs w:val="28"/>
        </w:rPr>
        <w:t xml:space="preserve"> 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>такими як ниркова недостатність, захворювання</w:t>
      </w:r>
      <w:r w:rsidRPr="00C0356E">
        <w:rPr>
          <w:rFonts w:ascii="Times New Roman" w:hAnsi="Times New Roman" w:cs="Times New Roman"/>
          <w:sz w:val="28"/>
          <w:szCs w:val="28"/>
        </w:rPr>
        <w:t xml:space="preserve"> 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слинних залоз або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макроамілаземією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[26, 69].</w:t>
      </w:r>
      <w:r w:rsidRPr="00C0356E">
        <w:rPr>
          <w:rFonts w:ascii="Times New Roman" w:hAnsi="Times New Roman" w:cs="Times New Roman"/>
          <w:sz w:val="28"/>
          <w:szCs w:val="28"/>
        </w:rPr>
        <w:t xml:space="preserve"> 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>Здається, цей підйом активності ферментів</w:t>
      </w:r>
      <w:r w:rsidRPr="00C0356E">
        <w:rPr>
          <w:rFonts w:ascii="Times New Roman" w:hAnsi="Times New Roman" w:cs="Times New Roman"/>
          <w:sz w:val="28"/>
          <w:szCs w:val="28"/>
        </w:rPr>
        <w:t xml:space="preserve"> </w:t>
      </w: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не корелює з активністю ЗЗК  [8]. Можливі пояснення включають підвищення активності кишкової амілази або підвищену абсорбцію амілази в запаленій кишці [18]. Крім того, у пацієнтів із ЗЗК  без історії захворювання ПЗ були зареєстровані зміни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ПЗ. Магнітно-резонансна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холангіопанкреатографія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виявляє зміни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ПЗ у 16,4% (13/79) пацієнтів із ВК, і ні у одного з них не спостерігали явного панкреатиту [66]. Крім того, в іншому дослідженні частота патології протоків ПЗ становила 10,8% у пацієнтів із ЗЗК, і спостерігалася відмінність між пацієнтами із ЗЗК з або без попереднього панкреатиту [4]. Ми припускаємо, що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безсимптомні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патологічні результати при візуалізації або зміна показників панкреатичних ферментів не вимагають спеціальних додаткових досліджень, якщо пацієнт є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безсимптомним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>, тому що вони пов'язані з несуттєвим для клініки залученням ПЗ.</w:t>
      </w:r>
    </w:p>
    <w:p w14:paraId="74D1C305" w14:textId="77777777" w:rsidR="00366C8B" w:rsidRPr="00C0356E" w:rsidRDefault="00366C8B" w:rsidP="00366C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339F0A" w14:textId="77777777" w:rsidR="00366C8B" w:rsidRPr="00C0356E" w:rsidRDefault="00366C8B" w:rsidP="00366C8B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14:paraId="0D68FECE" w14:textId="77777777" w:rsidR="00366C8B" w:rsidRPr="00C0356E" w:rsidRDefault="00366C8B" w:rsidP="00366C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Ураження ПЗ у пацієнтів із ЗЗК може ускладнювати перебіг основного захворювання; панкреатичні прояви варіюють від незначних підвищень активності панкреатичних ферментів в сироватці крові й ураження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 ПЗ до серйозних порушень, таких як ГП. ГП  і ХП тісніше асоціюються із ХК, ніж із ВК, в той час як АІП, в основному AІП типу 2, частіше зустрічається у пацієнтів із ВК. Діагностика панкреатичних поруше</w:t>
      </w:r>
      <w:bookmarkStart w:id="0" w:name="_GoBack"/>
      <w:bookmarkEnd w:id="0"/>
      <w:r w:rsidRPr="00C0356E">
        <w:rPr>
          <w:rFonts w:ascii="Times New Roman" w:hAnsi="Times New Roman" w:cs="Times New Roman"/>
          <w:sz w:val="28"/>
          <w:szCs w:val="28"/>
          <w:lang w:val="uk-UA"/>
        </w:rPr>
        <w:t>нь при ЗЗК  не завжди проста, оскільки симптоми і результати лабораторних досліджень захворювань ПЗ можуть бути віднесені до ЗЗК, а клінічна підозра часто має вирішальне значення. З цієї причини пацієнти із ЗЗК  із симптомами панкреатичних розладів повинні бути обстежені для виключення захворювання ПЗ.</w:t>
      </w:r>
    </w:p>
    <w:p w14:paraId="4FCC69D3" w14:textId="77777777" w:rsidR="0039277E" w:rsidRPr="00C0356E" w:rsidRDefault="0039277E" w:rsidP="00366C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FD7B34" w14:textId="77777777" w:rsidR="0039277E" w:rsidRPr="00C0356E" w:rsidRDefault="0039277E" w:rsidP="00366C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03D2D8" w14:textId="7004B0BF" w:rsidR="00366C8B" w:rsidRPr="00C0356E" w:rsidRDefault="00366C8B" w:rsidP="00366C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Переклад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Pr="00C0356E">
        <w:rPr>
          <w:rFonts w:ascii="Times New Roman" w:hAnsi="Times New Roman" w:cs="Times New Roman"/>
          <w:sz w:val="28"/>
          <w:szCs w:val="28"/>
          <w:lang w:val="uk-UA"/>
        </w:rPr>
        <w:t>. мед. наук Л. А. Ярошенко</w:t>
      </w:r>
    </w:p>
    <w:p w14:paraId="7DBC702C" w14:textId="77777777" w:rsidR="00366C8B" w:rsidRPr="00C0356E" w:rsidRDefault="00366C8B" w:rsidP="00366C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C0356E">
        <w:rPr>
          <w:rFonts w:ascii="Times New Roman" w:hAnsi="Times New Roman" w:cs="Times New Roman"/>
          <w:sz w:val="28"/>
          <w:szCs w:val="28"/>
          <w:lang w:val="uk-UA"/>
        </w:rPr>
        <w:t xml:space="preserve">Редагування проф. Н. Б. </w:t>
      </w:r>
      <w:proofErr w:type="spellStart"/>
      <w:r w:rsidRPr="00C0356E">
        <w:rPr>
          <w:rFonts w:ascii="Times New Roman" w:hAnsi="Times New Roman" w:cs="Times New Roman"/>
          <w:sz w:val="28"/>
          <w:szCs w:val="28"/>
          <w:lang w:val="uk-UA"/>
        </w:rPr>
        <w:t>Губергріц</w:t>
      </w:r>
      <w:proofErr w:type="spellEnd"/>
    </w:p>
    <w:sectPr w:rsidR="00366C8B" w:rsidRPr="00C0356E" w:rsidSect="0039277E">
      <w:pgSz w:w="11906" w:h="16838"/>
      <w:pgMar w:top="1134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B3"/>
    <w:rsid w:val="002007CA"/>
    <w:rsid w:val="0021056B"/>
    <w:rsid w:val="0032633F"/>
    <w:rsid w:val="00366C8B"/>
    <w:rsid w:val="0039277E"/>
    <w:rsid w:val="00AE1018"/>
    <w:rsid w:val="00C0356E"/>
    <w:rsid w:val="00D32F8B"/>
    <w:rsid w:val="00DC4715"/>
    <w:rsid w:val="00E52C93"/>
    <w:rsid w:val="00FD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BBCF"/>
  <w15:chartTrackingRefBased/>
  <w15:docId w15:val="{15B222E2-B298-48D6-9FAB-69F87DEE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07CA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7C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3597</Words>
  <Characters>20508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2019-08-27T19:12:00Z</dcterms:created>
  <dcterms:modified xsi:type="dcterms:W3CDTF">2019-08-28T11:16:00Z</dcterms:modified>
</cp:coreProperties>
</file>