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8BE" w:rsidRPr="00A3117E" w:rsidRDefault="003328BE" w:rsidP="0051044C">
      <w:pPr>
        <w:spacing w:after="0" w:line="240" w:lineRule="auto"/>
        <w:ind w:firstLine="340"/>
        <w:rPr>
          <w:rFonts w:ascii="Times New Roman" w:hAnsi="Times New Roman"/>
          <w:sz w:val="28"/>
          <w:szCs w:val="28"/>
          <w:lang w:val="uk-UA"/>
        </w:rPr>
      </w:pPr>
      <w:r w:rsidRPr="00A3117E">
        <w:rPr>
          <w:rFonts w:ascii="Times New Roman" w:hAnsi="Times New Roman"/>
          <w:sz w:val="28"/>
          <w:szCs w:val="28"/>
          <w:lang w:val="uk-UA"/>
        </w:rPr>
        <w:t>УДК 616.34-007.43-031:611.26]-092-08</w:t>
      </w:r>
    </w:p>
    <w:p w:rsidR="0013614E" w:rsidRPr="00F62419" w:rsidRDefault="0013614E" w:rsidP="00BD6F36">
      <w:pPr>
        <w:spacing w:after="0" w:line="240" w:lineRule="auto"/>
        <w:ind w:firstLine="3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62419">
        <w:rPr>
          <w:rFonts w:ascii="Times New Roman" w:hAnsi="Times New Roman"/>
          <w:b/>
          <w:sz w:val="28"/>
          <w:szCs w:val="28"/>
          <w:lang w:val="uk-UA"/>
        </w:rPr>
        <w:t>Діафрагмальн</w:t>
      </w:r>
      <w:r w:rsidR="00341EDD" w:rsidRPr="00F62419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F62419">
        <w:rPr>
          <w:rFonts w:ascii="Times New Roman" w:hAnsi="Times New Roman"/>
          <w:b/>
          <w:sz w:val="28"/>
          <w:szCs w:val="28"/>
          <w:lang w:val="uk-UA"/>
        </w:rPr>
        <w:t xml:space="preserve"> грижі: механізми формування, клініка, лікувальна тактика</w:t>
      </w:r>
    </w:p>
    <w:p w:rsidR="0013614E" w:rsidRPr="00AC525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C525D">
        <w:rPr>
          <w:rFonts w:ascii="Times New Roman" w:hAnsi="Times New Roman"/>
          <w:b/>
          <w:sz w:val="28"/>
          <w:szCs w:val="28"/>
          <w:lang w:val="uk-UA"/>
        </w:rPr>
        <w:t xml:space="preserve">Н. Б. </w:t>
      </w:r>
      <w:proofErr w:type="spellStart"/>
      <w:r w:rsidRPr="00AC525D">
        <w:rPr>
          <w:rFonts w:ascii="Times New Roman" w:hAnsi="Times New Roman"/>
          <w:b/>
          <w:sz w:val="28"/>
          <w:szCs w:val="28"/>
          <w:lang w:val="uk-UA"/>
        </w:rPr>
        <w:t>Губергріц</w:t>
      </w:r>
      <w:proofErr w:type="spellEnd"/>
      <w:r w:rsidRPr="00AC525D">
        <w:rPr>
          <w:rFonts w:ascii="Times New Roman" w:hAnsi="Times New Roman"/>
          <w:b/>
          <w:sz w:val="28"/>
          <w:szCs w:val="28"/>
          <w:lang w:val="uk-UA"/>
        </w:rPr>
        <w:t xml:space="preserve">, Н. В. Бєляєва, А. </w:t>
      </w:r>
      <w:r w:rsidR="00341EDD" w:rsidRPr="00AC525D">
        <w:rPr>
          <w:rFonts w:ascii="Times New Roman" w:hAnsi="Times New Roman"/>
          <w:b/>
          <w:sz w:val="28"/>
          <w:szCs w:val="28"/>
          <w:lang w:val="uk-UA"/>
        </w:rPr>
        <w:t>Є</w:t>
      </w:r>
      <w:r w:rsidRPr="00AC525D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proofErr w:type="spellStart"/>
      <w:r w:rsidRPr="00AC525D">
        <w:rPr>
          <w:rFonts w:ascii="Times New Roman" w:hAnsi="Times New Roman"/>
          <w:b/>
          <w:sz w:val="28"/>
          <w:szCs w:val="28"/>
          <w:lang w:val="uk-UA"/>
        </w:rPr>
        <w:t>Клочков</w:t>
      </w:r>
      <w:proofErr w:type="spellEnd"/>
      <w:r w:rsidRPr="00AC525D">
        <w:rPr>
          <w:rFonts w:ascii="Times New Roman" w:hAnsi="Times New Roman"/>
          <w:b/>
          <w:sz w:val="28"/>
          <w:szCs w:val="28"/>
          <w:lang w:val="uk-UA"/>
        </w:rPr>
        <w:t>, Г. М. Лукашевич, П. Г. Фоменко, А. В. Юр'єва</w:t>
      </w:r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>Донецький національний медичний університет, Україна</w:t>
      </w:r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AC525D">
        <w:rPr>
          <w:rFonts w:ascii="Times New Roman" w:hAnsi="Times New Roman"/>
          <w:b/>
          <w:sz w:val="28"/>
          <w:szCs w:val="28"/>
          <w:lang w:val="uk-UA"/>
        </w:rPr>
        <w:t>Ключові слова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: грижа стравохідного отвору діафрагми, типи діафрагмальних гриж, патогенез, клініка, лікування,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</w:t>
      </w:r>
      <w:proofErr w:type="spellEnd"/>
      <w:r w:rsidR="008A13E0">
        <w:rPr>
          <w:rFonts w:ascii="Times New Roman" w:hAnsi="Times New Roman"/>
          <w:sz w:val="28"/>
          <w:szCs w:val="28"/>
          <w:lang w:val="uk-UA"/>
        </w:rPr>
        <w:t>.</w:t>
      </w:r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5409A0">
        <w:rPr>
          <w:rFonts w:ascii="Times New Roman" w:hAnsi="Times New Roman"/>
          <w:sz w:val="28"/>
          <w:szCs w:val="28"/>
          <w:lang w:val="uk-UA"/>
        </w:rPr>
        <w:t>Грижа стравохідного отвору діафрагми (Г</w:t>
      </w:r>
      <w:r w:rsidR="00341EDD" w:rsidRPr="005409A0">
        <w:rPr>
          <w:rFonts w:ascii="Times New Roman" w:hAnsi="Times New Roman"/>
          <w:sz w:val="28"/>
          <w:szCs w:val="28"/>
          <w:lang w:val="uk-UA"/>
        </w:rPr>
        <w:t>С</w:t>
      </w:r>
      <w:r w:rsidRPr="005409A0">
        <w:rPr>
          <w:rFonts w:ascii="Times New Roman" w:hAnsi="Times New Roman"/>
          <w:sz w:val="28"/>
          <w:szCs w:val="28"/>
          <w:lang w:val="uk-UA"/>
        </w:rPr>
        <w:t xml:space="preserve">ОД) - хронічне </w:t>
      </w:r>
      <w:proofErr w:type="spellStart"/>
      <w:r w:rsidRPr="005409A0">
        <w:rPr>
          <w:rFonts w:ascii="Times New Roman" w:hAnsi="Times New Roman"/>
          <w:sz w:val="28"/>
          <w:szCs w:val="28"/>
          <w:lang w:val="uk-UA"/>
        </w:rPr>
        <w:t>рецидивуюче</w:t>
      </w:r>
      <w:proofErr w:type="spellEnd"/>
      <w:r w:rsidRPr="005409A0">
        <w:rPr>
          <w:rFonts w:ascii="Times New Roman" w:hAnsi="Times New Roman"/>
          <w:sz w:val="28"/>
          <w:szCs w:val="28"/>
          <w:lang w:val="uk-UA"/>
        </w:rPr>
        <w:t xml:space="preserve"> захворювання, при якому через розширен</w:t>
      </w:r>
      <w:r w:rsidR="00F62419" w:rsidRPr="005409A0">
        <w:rPr>
          <w:rFonts w:ascii="Times New Roman" w:hAnsi="Times New Roman"/>
          <w:sz w:val="28"/>
          <w:szCs w:val="28"/>
          <w:lang w:val="uk-UA"/>
        </w:rPr>
        <w:t>ий</w:t>
      </w:r>
      <w:r w:rsidRPr="005409A0">
        <w:rPr>
          <w:rFonts w:ascii="Times New Roman" w:hAnsi="Times New Roman"/>
          <w:sz w:val="28"/>
          <w:szCs w:val="28"/>
          <w:lang w:val="uk-UA"/>
        </w:rPr>
        <w:t xml:space="preserve"> стравох</w:t>
      </w:r>
      <w:r w:rsidR="00F62419" w:rsidRPr="005409A0">
        <w:rPr>
          <w:rFonts w:ascii="Times New Roman" w:hAnsi="Times New Roman"/>
          <w:sz w:val="28"/>
          <w:szCs w:val="28"/>
          <w:lang w:val="uk-UA"/>
        </w:rPr>
        <w:t>ідний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отвір діафрагми в грудну порожнину (заднє середостіння) періодично може зміщуватися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кардіальний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відділ стравоходу,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фундальний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відділ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шлунка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, іноді інші органи черевної порожнини (петлі кишки, сальник і ін. ) [18, 26].</w:t>
      </w:r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Основними механізмами розвитку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вважають [15, 18]:</w:t>
      </w:r>
    </w:p>
    <w:p w:rsidR="0013614E" w:rsidRPr="00341EDD" w:rsidRDefault="00341EDD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13614E" w:rsidRPr="00341EDD">
        <w:rPr>
          <w:rFonts w:ascii="Times New Roman" w:hAnsi="Times New Roman"/>
          <w:sz w:val="28"/>
          <w:szCs w:val="28"/>
          <w:lang w:val="uk-UA"/>
        </w:rPr>
        <w:t xml:space="preserve"> неспроможність сполучнотканинних структур, </w:t>
      </w:r>
      <w:r w:rsidR="00F62419">
        <w:rPr>
          <w:rFonts w:ascii="Times New Roman" w:hAnsi="Times New Roman"/>
          <w:sz w:val="28"/>
          <w:szCs w:val="28"/>
          <w:lang w:val="uk-UA"/>
        </w:rPr>
        <w:t>які</w:t>
      </w:r>
      <w:r w:rsidR="0013614E" w:rsidRPr="00341EDD">
        <w:rPr>
          <w:rFonts w:ascii="Times New Roman" w:hAnsi="Times New Roman"/>
          <w:sz w:val="28"/>
          <w:szCs w:val="28"/>
          <w:lang w:val="uk-UA"/>
        </w:rPr>
        <w:t xml:space="preserve"> беруть участь в утворенні стравохідно-шлункового з'єднання;</w:t>
      </w:r>
    </w:p>
    <w:p w:rsidR="0013614E" w:rsidRPr="00341EDD" w:rsidRDefault="00341EDD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13614E" w:rsidRPr="00341EDD">
        <w:rPr>
          <w:rFonts w:ascii="Times New Roman" w:hAnsi="Times New Roman"/>
          <w:sz w:val="28"/>
          <w:szCs w:val="28"/>
          <w:lang w:val="uk-UA"/>
        </w:rPr>
        <w:t xml:space="preserve"> значне підвищення внутрішньочеревного тиску;</w:t>
      </w:r>
    </w:p>
    <w:p w:rsidR="0013614E" w:rsidRPr="00341EDD" w:rsidRDefault="00341EDD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13614E" w:rsidRPr="00341EDD">
        <w:rPr>
          <w:rFonts w:ascii="Times New Roman" w:hAnsi="Times New Roman"/>
          <w:sz w:val="28"/>
          <w:szCs w:val="28"/>
          <w:lang w:val="uk-UA"/>
        </w:rPr>
        <w:t xml:space="preserve"> підвищення рухової активності стравоходу (</w:t>
      </w:r>
      <w:proofErr w:type="spellStart"/>
      <w:r w:rsidR="0013614E" w:rsidRPr="00341EDD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іпермоторна</w:t>
      </w:r>
      <w:proofErr w:type="spellEnd"/>
      <w:r w:rsidR="0013614E"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3614E" w:rsidRPr="00341EDD">
        <w:rPr>
          <w:rFonts w:ascii="Times New Roman" w:hAnsi="Times New Roman"/>
          <w:sz w:val="28"/>
          <w:szCs w:val="28"/>
          <w:lang w:val="uk-UA"/>
        </w:rPr>
        <w:t>дискінезія</w:t>
      </w:r>
      <w:proofErr w:type="spellEnd"/>
      <w:r w:rsidR="0013614E" w:rsidRPr="00341EDD">
        <w:rPr>
          <w:rFonts w:ascii="Times New Roman" w:hAnsi="Times New Roman"/>
          <w:sz w:val="28"/>
          <w:szCs w:val="28"/>
          <w:lang w:val="uk-UA"/>
        </w:rPr>
        <w:t>).</w:t>
      </w:r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Розрізняють три типи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[4]:</w:t>
      </w:r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1. Аксіальна (осьова) грижа характеризується тим, що абдомінальна частина стравоходу,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кардіальний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фундальний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відділи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шлунка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при підвищенні внутрішньочеревного </w:t>
      </w:r>
      <w:r w:rsidR="00341EDD">
        <w:rPr>
          <w:rFonts w:ascii="Times New Roman" w:hAnsi="Times New Roman"/>
          <w:sz w:val="28"/>
          <w:szCs w:val="28"/>
          <w:lang w:val="uk-UA"/>
        </w:rPr>
        <w:t>тиску можуть вільно проникати (</w:t>
      </w:r>
      <w:r w:rsidRPr="00341EDD">
        <w:rPr>
          <w:rFonts w:ascii="Times New Roman" w:hAnsi="Times New Roman"/>
          <w:sz w:val="28"/>
          <w:szCs w:val="28"/>
          <w:lang w:val="uk-UA"/>
        </w:rPr>
        <w:t>«ковзати») в грудну порожнину. Такі грижі часто називають легкими. Вони обумовлені слабким прикріпленням стравохідно-шлункового з'єднання до діафрагми. Ковзні грижі зазвичай не обмежуються, а грижі невеликого розміру можуть п</w:t>
      </w:r>
      <w:r w:rsidR="00341EDD">
        <w:rPr>
          <w:rFonts w:ascii="Times New Roman" w:hAnsi="Times New Roman"/>
          <w:sz w:val="28"/>
          <w:szCs w:val="28"/>
          <w:lang w:val="uk-UA"/>
        </w:rPr>
        <w:t>еребіг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ати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безсимптомно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і виявляються лише при рентгенологічному дослідженні або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ф</w:t>
      </w:r>
      <w:r w:rsidR="00341EDD">
        <w:rPr>
          <w:rFonts w:ascii="Times New Roman" w:hAnsi="Times New Roman"/>
          <w:sz w:val="28"/>
          <w:szCs w:val="28"/>
          <w:lang w:val="uk-UA"/>
        </w:rPr>
        <w:t>і</w:t>
      </w:r>
      <w:r w:rsidRPr="00341EDD">
        <w:rPr>
          <w:rFonts w:ascii="Times New Roman" w:hAnsi="Times New Roman"/>
          <w:sz w:val="28"/>
          <w:szCs w:val="28"/>
          <w:lang w:val="uk-UA"/>
        </w:rPr>
        <w:t>брогастродуоденоскоп</w:t>
      </w:r>
      <w:r w:rsidR="00341EDD">
        <w:rPr>
          <w:rFonts w:ascii="Times New Roman" w:hAnsi="Times New Roman"/>
          <w:sz w:val="28"/>
          <w:szCs w:val="28"/>
          <w:lang w:val="uk-UA"/>
        </w:rPr>
        <w:t>ії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[18, 25] (рис. 1,</w:t>
      </w:r>
      <w:r w:rsidRPr="00341EDD">
        <w:rPr>
          <w:rFonts w:ascii="Times New Roman" w:hAnsi="Times New Roman"/>
          <w:b/>
          <w:color w:val="002060"/>
          <w:sz w:val="28"/>
          <w:szCs w:val="28"/>
          <w:lang w:val="uk-UA"/>
        </w:rPr>
        <w:t xml:space="preserve"> </w:t>
      </w:r>
      <w:r w:rsidRPr="00341EDD">
        <w:rPr>
          <w:rFonts w:ascii="Times New Roman" w:hAnsi="Times New Roman"/>
          <w:sz w:val="28"/>
          <w:szCs w:val="28"/>
          <w:lang w:val="uk-UA"/>
        </w:rPr>
        <w:t>2);</w:t>
      </w:r>
    </w:p>
    <w:p w:rsidR="0013614E" w:rsidRPr="00341EDD" w:rsidRDefault="0013614E" w:rsidP="0051044C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Параезофагеальн</w:t>
      </w:r>
      <w:r w:rsidR="00F62419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навколостравох</w:t>
      </w:r>
      <w:r w:rsidR="00AF22A9">
        <w:rPr>
          <w:rFonts w:ascii="Times New Roman" w:hAnsi="Times New Roman"/>
          <w:sz w:val="28"/>
          <w:szCs w:val="28"/>
          <w:lang w:val="uk-UA"/>
        </w:rPr>
        <w:t>і</w:t>
      </w:r>
      <w:r w:rsidRPr="00341EDD">
        <w:rPr>
          <w:rFonts w:ascii="Times New Roman" w:hAnsi="Times New Roman"/>
          <w:sz w:val="28"/>
          <w:szCs w:val="28"/>
          <w:lang w:val="uk-UA"/>
        </w:rPr>
        <w:t>дн</w:t>
      </w:r>
      <w:r w:rsidR="00341EDD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) грижі відрізняються від аксіальних гриж тим, що абдомінальний (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кардіальний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) відділ стравоходу залишається в черевній порожнині, будучи фіксовани</w:t>
      </w:r>
      <w:r w:rsidR="00341EDD">
        <w:rPr>
          <w:rFonts w:ascii="Times New Roman" w:hAnsi="Times New Roman"/>
          <w:sz w:val="28"/>
          <w:szCs w:val="28"/>
          <w:lang w:val="uk-UA"/>
        </w:rPr>
        <w:t>м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в області стравохідного отвору діафрагми, тоді як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фундальний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і / або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антральний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відділи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шлунка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а іноді і інші органи черевної порожнини (петлі тонкої або товстої кишки, сальник </w:t>
      </w:r>
      <w:r w:rsidR="00341EDD">
        <w:rPr>
          <w:rFonts w:ascii="Times New Roman" w:hAnsi="Times New Roman"/>
          <w:sz w:val="28"/>
          <w:szCs w:val="28"/>
          <w:lang w:val="uk-UA"/>
        </w:rPr>
        <w:t>й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ін.) можуть проникати в грудну порожнину, розташовуючись поруч зі стравоходом (т</w:t>
      </w:r>
      <w:r w:rsidR="00341EDD">
        <w:rPr>
          <w:rFonts w:ascii="Times New Roman" w:hAnsi="Times New Roman"/>
          <w:sz w:val="28"/>
          <w:szCs w:val="28"/>
          <w:lang w:val="uk-UA"/>
        </w:rPr>
        <w:t>обто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параезофагеально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). Таким чином,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параезофагеальн</w:t>
      </w:r>
      <w:r w:rsidR="00341EDD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грижі утворюються при нормальній фіксації стравохідно-шлункового з'єднання до діафрагми, але при істотному розширенні отвору діафрагми, в яке можуть проникати органи черевної порожнини.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Параезофагеальн</w:t>
      </w:r>
      <w:r w:rsidR="00341EDD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грижі зустрічаються рідше, ніж аксіальні, можуть супроводжуватися обмеженням органу</w:t>
      </w:r>
      <w:r w:rsidR="00341EDD">
        <w:rPr>
          <w:rFonts w:ascii="Times New Roman" w:hAnsi="Times New Roman"/>
          <w:sz w:val="28"/>
          <w:szCs w:val="28"/>
          <w:lang w:val="uk-UA"/>
        </w:rPr>
        <w:t>, що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1EDD" w:rsidRPr="00341EDD">
        <w:rPr>
          <w:rFonts w:ascii="Times New Roman" w:hAnsi="Times New Roman"/>
          <w:sz w:val="28"/>
          <w:szCs w:val="28"/>
          <w:lang w:val="uk-UA"/>
        </w:rPr>
        <w:t xml:space="preserve">змістився </w:t>
      </w:r>
      <w:r w:rsidRPr="00341EDD">
        <w:rPr>
          <w:rFonts w:ascii="Times New Roman" w:hAnsi="Times New Roman"/>
          <w:sz w:val="28"/>
          <w:szCs w:val="28"/>
          <w:lang w:val="uk-UA"/>
        </w:rPr>
        <w:t>[18] (рис. 3, 4);</w:t>
      </w:r>
    </w:p>
    <w:p w:rsidR="0013614E" w:rsidRPr="00341EDD" w:rsidRDefault="0013614E" w:rsidP="0051044C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3. Змішані грижі характеризуються поєднанням ознак аксіальних і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параезофагеальних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гриж (рис. 5) [18].</w:t>
      </w:r>
    </w:p>
    <w:p w:rsidR="0013614E" w:rsidRPr="00341EDD" w:rsidRDefault="0013614E" w:rsidP="0051044C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Кожен з перерахованих типів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може бути тимчасовим, минущим, що виника</w:t>
      </w:r>
      <w:r w:rsidR="00F62419">
        <w:rPr>
          <w:rFonts w:ascii="Times New Roman" w:hAnsi="Times New Roman"/>
          <w:sz w:val="28"/>
          <w:szCs w:val="28"/>
          <w:lang w:val="uk-UA"/>
        </w:rPr>
        <w:t>є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тільки при підвищенні внутрішньочеревного тиску (нефіксована </w:t>
      </w:r>
      <w:r w:rsidRPr="00341EDD">
        <w:rPr>
          <w:rFonts w:ascii="Times New Roman" w:hAnsi="Times New Roman"/>
          <w:sz w:val="28"/>
          <w:szCs w:val="28"/>
          <w:lang w:val="uk-UA"/>
        </w:rPr>
        <w:lastRenderedPageBreak/>
        <w:t xml:space="preserve">грижа) і постійним (фіксованим) випинанням того чи іншого відділу стравоходу або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шлунка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в грудну порожнину [18].</w:t>
      </w:r>
    </w:p>
    <w:p w:rsidR="0013614E" w:rsidRPr="00341EDD" w:rsidRDefault="0013614E" w:rsidP="0051044C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Патогенез болю при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, безумовно, складається з ряду компонентів. У його формуванні беруть участь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д</w:t>
      </w:r>
      <w:r w:rsidR="003F4AFA">
        <w:rPr>
          <w:rFonts w:ascii="Times New Roman" w:hAnsi="Times New Roman"/>
          <w:sz w:val="28"/>
          <w:szCs w:val="28"/>
          <w:lang w:val="uk-UA"/>
        </w:rPr>
        <w:t>и</w:t>
      </w:r>
      <w:r w:rsidRPr="00341EDD">
        <w:rPr>
          <w:rFonts w:ascii="Times New Roman" w:hAnsi="Times New Roman"/>
          <w:sz w:val="28"/>
          <w:szCs w:val="28"/>
          <w:lang w:val="uk-UA"/>
        </w:rPr>
        <w:t>стензі</w:t>
      </w:r>
      <w:r w:rsidR="00AF22A9">
        <w:rPr>
          <w:rFonts w:ascii="Times New Roman" w:hAnsi="Times New Roman"/>
          <w:sz w:val="28"/>
          <w:szCs w:val="28"/>
          <w:lang w:val="uk-UA"/>
        </w:rPr>
        <w:t>й</w:t>
      </w:r>
      <w:r w:rsidRPr="00341EDD">
        <w:rPr>
          <w:rFonts w:ascii="Times New Roman" w:hAnsi="Times New Roman"/>
          <w:sz w:val="28"/>
          <w:szCs w:val="28"/>
          <w:lang w:val="uk-UA"/>
        </w:rPr>
        <w:t>ни</w:t>
      </w:r>
      <w:r w:rsidR="003F4AFA">
        <w:rPr>
          <w:rFonts w:ascii="Times New Roman" w:hAnsi="Times New Roman"/>
          <w:sz w:val="28"/>
          <w:szCs w:val="28"/>
          <w:lang w:val="uk-UA"/>
        </w:rPr>
        <w:t>й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компонент (внаслідок розтягнення стінок стравоходу при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рефлюксі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вмісту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шлунка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), запалення (виразка) слизової оболонки стравоходу, спастичний компонент (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г</w:t>
      </w:r>
      <w:r w:rsidR="003F4AFA">
        <w:rPr>
          <w:rFonts w:ascii="Times New Roman" w:hAnsi="Times New Roman"/>
          <w:sz w:val="28"/>
          <w:szCs w:val="28"/>
          <w:lang w:val="uk-UA"/>
        </w:rPr>
        <w:t>і</w:t>
      </w:r>
      <w:r w:rsidRPr="00341EDD">
        <w:rPr>
          <w:rFonts w:ascii="Times New Roman" w:hAnsi="Times New Roman"/>
          <w:sz w:val="28"/>
          <w:szCs w:val="28"/>
          <w:lang w:val="uk-UA"/>
        </w:rPr>
        <w:t>пермоторна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дискінезія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стравоходу), ішемічний компонент (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здавлення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грижового випинання в області стравохідного отвору діафрагми). Особливо вира</w:t>
      </w:r>
      <w:r w:rsidR="00F62419">
        <w:rPr>
          <w:rFonts w:ascii="Times New Roman" w:hAnsi="Times New Roman"/>
          <w:sz w:val="28"/>
          <w:szCs w:val="28"/>
          <w:lang w:val="uk-UA"/>
        </w:rPr>
        <w:t>з</w:t>
      </w:r>
      <w:r w:rsidRPr="00341EDD">
        <w:rPr>
          <w:rFonts w:ascii="Times New Roman" w:hAnsi="Times New Roman"/>
          <w:sz w:val="28"/>
          <w:szCs w:val="28"/>
          <w:lang w:val="uk-UA"/>
        </w:rPr>
        <w:t>ни</w:t>
      </w:r>
      <w:r w:rsidR="003F4AFA">
        <w:rPr>
          <w:rFonts w:ascii="Times New Roman" w:hAnsi="Times New Roman"/>
          <w:sz w:val="28"/>
          <w:szCs w:val="28"/>
          <w:lang w:val="uk-UA"/>
        </w:rPr>
        <w:t>м є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останній компонент при обмеженні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[4].</w:t>
      </w:r>
    </w:p>
    <w:p w:rsidR="0013614E" w:rsidRPr="00341EDD" w:rsidRDefault="0013614E" w:rsidP="0051044C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При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22A9">
        <w:rPr>
          <w:rFonts w:ascii="Times New Roman" w:hAnsi="Times New Roman"/>
          <w:sz w:val="28"/>
          <w:szCs w:val="28"/>
          <w:lang w:val="uk-UA"/>
        </w:rPr>
        <w:t xml:space="preserve">є </w:t>
      </w:r>
      <w:r w:rsidRPr="00341EDD">
        <w:rPr>
          <w:rFonts w:ascii="Times New Roman" w:hAnsi="Times New Roman"/>
          <w:sz w:val="28"/>
          <w:szCs w:val="28"/>
          <w:lang w:val="uk-UA"/>
        </w:rPr>
        <w:t>можливи</w:t>
      </w:r>
      <w:r w:rsidR="00AF22A9">
        <w:rPr>
          <w:rFonts w:ascii="Times New Roman" w:hAnsi="Times New Roman"/>
          <w:sz w:val="28"/>
          <w:szCs w:val="28"/>
          <w:lang w:val="uk-UA"/>
        </w:rPr>
        <w:t>м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розвиток як </w:t>
      </w:r>
      <w:proofErr w:type="spellStart"/>
      <w:r w:rsidR="003F4AFA">
        <w:rPr>
          <w:rFonts w:ascii="Times New Roman" w:hAnsi="Times New Roman"/>
          <w:sz w:val="28"/>
          <w:szCs w:val="28"/>
          <w:lang w:val="uk-UA"/>
        </w:rPr>
        <w:t>п</w:t>
      </w:r>
      <w:r w:rsidRPr="00341EDD">
        <w:rPr>
          <w:rFonts w:ascii="Times New Roman" w:hAnsi="Times New Roman"/>
          <w:sz w:val="28"/>
          <w:szCs w:val="28"/>
          <w:lang w:val="uk-UA"/>
        </w:rPr>
        <w:t>севдокоронарн</w:t>
      </w:r>
      <w:r w:rsidR="003F4AFA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, так і коронарн</w:t>
      </w:r>
      <w:r w:rsidR="003F4AFA">
        <w:rPr>
          <w:rFonts w:ascii="Times New Roman" w:hAnsi="Times New Roman"/>
          <w:sz w:val="28"/>
          <w:szCs w:val="28"/>
          <w:lang w:val="uk-UA"/>
        </w:rPr>
        <w:t>ого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бол</w:t>
      </w:r>
      <w:r w:rsidR="003F4AFA">
        <w:rPr>
          <w:rFonts w:ascii="Times New Roman" w:hAnsi="Times New Roman"/>
          <w:sz w:val="28"/>
          <w:szCs w:val="28"/>
          <w:lang w:val="uk-UA"/>
        </w:rPr>
        <w:t>ю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, аритмій [25]. Я. Г.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Колк</w:t>
      </w:r>
      <w:r w:rsidR="003F4AFA">
        <w:rPr>
          <w:rFonts w:ascii="Times New Roman" w:hAnsi="Times New Roman"/>
          <w:sz w:val="28"/>
          <w:szCs w:val="28"/>
          <w:lang w:val="uk-UA"/>
        </w:rPr>
        <w:t>і</w:t>
      </w:r>
      <w:r w:rsidRPr="00341EDD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3F4AFA">
        <w:rPr>
          <w:rFonts w:ascii="Times New Roman" w:hAnsi="Times New Roman"/>
          <w:sz w:val="28"/>
          <w:szCs w:val="28"/>
          <w:lang w:val="uk-UA"/>
        </w:rPr>
        <w:t>і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співавт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. (1996) [8] при обстеженні більше тисячі хворих </w:t>
      </w:r>
      <w:r w:rsidR="003F4AFA">
        <w:rPr>
          <w:rFonts w:ascii="Times New Roman" w:hAnsi="Times New Roman"/>
          <w:sz w:val="28"/>
          <w:szCs w:val="28"/>
          <w:lang w:val="uk-UA"/>
        </w:rPr>
        <w:t>і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виявили 29% пацієнтів з бол</w:t>
      </w:r>
      <w:r w:rsidR="003F4AFA">
        <w:rPr>
          <w:rFonts w:ascii="Times New Roman" w:hAnsi="Times New Roman"/>
          <w:sz w:val="28"/>
          <w:szCs w:val="28"/>
          <w:lang w:val="uk-UA"/>
        </w:rPr>
        <w:t>ем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, подібним </w:t>
      </w:r>
      <w:r w:rsidR="003F4AFA">
        <w:rPr>
          <w:rFonts w:ascii="Times New Roman" w:hAnsi="Times New Roman"/>
          <w:sz w:val="28"/>
          <w:szCs w:val="28"/>
          <w:lang w:val="uk-UA"/>
        </w:rPr>
        <w:t>до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стенокарді</w:t>
      </w:r>
      <w:r w:rsidR="003F4AFA">
        <w:rPr>
          <w:rFonts w:ascii="Times New Roman" w:hAnsi="Times New Roman"/>
          <w:sz w:val="28"/>
          <w:szCs w:val="28"/>
          <w:lang w:val="uk-UA"/>
        </w:rPr>
        <w:t>ї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. Серед цих пацієнтів нормальна ЕКГ зареєстрована тільки </w:t>
      </w:r>
      <w:r w:rsidR="00AF22A9">
        <w:rPr>
          <w:rFonts w:ascii="Times New Roman" w:hAnsi="Times New Roman"/>
          <w:sz w:val="28"/>
          <w:szCs w:val="28"/>
          <w:lang w:val="uk-UA"/>
        </w:rPr>
        <w:t>у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18% випадків, ЕКГ-ознаки ішемічної хвороби серця виявлені в 15%,</w:t>
      </w:r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B92848">
        <w:rPr>
          <w:rFonts w:ascii="Times New Roman" w:hAnsi="Times New Roman"/>
          <w:sz w:val="28"/>
          <w:szCs w:val="28"/>
          <w:lang w:val="uk-UA"/>
        </w:rPr>
        <w:t xml:space="preserve">дифузні зміни міокарда - в 13%, відхилення електричної осі серця вліво - в 19%, вправо - в 2%, синусова тахікардія - в 1%, синусова брадикардія - у 19%, </w:t>
      </w:r>
      <w:proofErr w:type="spellStart"/>
      <w:r w:rsidRPr="00B92848">
        <w:rPr>
          <w:rFonts w:ascii="Times New Roman" w:hAnsi="Times New Roman"/>
          <w:sz w:val="28"/>
          <w:szCs w:val="28"/>
          <w:lang w:val="uk-UA"/>
        </w:rPr>
        <w:t>шлуночкова</w:t>
      </w:r>
      <w:proofErr w:type="spellEnd"/>
      <w:r w:rsidRPr="00B92848">
        <w:rPr>
          <w:rFonts w:ascii="Times New Roman" w:hAnsi="Times New Roman"/>
          <w:sz w:val="28"/>
          <w:szCs w:val="28"/>
          <w:lang w:val="uk-UA"/>
        </w:rPr>
        <w:t xml:space="preserve"> екстрасистолія - ​​</w:t>
      </w:r>
      <w:r w:rsidR="003F4AFA" w:rsidRPr="00B92848">
        <w:rPr>
          <w:rFonts w:ascii="Times New Roman" w:hAnsi="Times New Roman"/>
          <w:sz w:val="28"/>
          <w:szCs w:val="28"/>
          <w:lang w:val="uk-UA"/>
        </w:rPr>
        <w:t>у</w:t>
      </w:r>
      <w:r w:rsidRPr="00B92848">
        <w:rPr>
          <w:rFonts w:ascii="Times New Roman" w:hAnsi="Times New Roman"/>
          <w:sz w:val="28"/>
          <w:szCs w:val="28"/>
          <w:lang w:val="uk-UA"/>
        </w:rPr>
        <w:t xml:space="preserve"> 8%, порушення </w:t>
      </w:r>
      <w:proofErr w:type="spellStart"/>
      <w:r w:rsidRPr="00B92848">
        <w:rPr>
          <w:rFonts w:ascii="Times New Roman" w:hAnsi="Times New Roman"/>
          <w:sz w:val="28"/>
          <w:szCs w:val="28"/>
          <w:lang w:val="uk-UA"/>
        </w:rPr>
        <w:t>атріовентрикулярної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провідності - </w:t>
      </w:r>
      <w:r w:rsidR="003F4AFA">
        <w:rPr>
          <w:rFonts w:ascii="Times New Roman" w:hAnsi="Times New Roman"/>
          <w:sz w:val="28"/>
          <w:szCs w:val="28"/>
          <w:lang w:val="uk-UA"/>
        </w:rPr>
        <w:t>у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2%, миготлива аритмія - </w:t>
      </w:r>
      <w:r w:rsidR="003F4AFA">
        <w:rPr>
          <w:rFonts w:ascii="Times New Roman" w:hAnsi="Times New Roman"/>
          <w:sz w:val="28"/>
          <w:szCs w:val="28"/>
          <w:lang w:val="uk-UA"/>
        </w:rPr>
        <w:t>у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3% випадків.</w:t>
      </w:r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>Ймовірни</w:t>
      </w:r>
      <w:r w:rsidR="003F4AFA">
        <w:rPr>
          <w:rFonts w:ascii="Times New Roman" w:hAnsi="Times New Roman"/>
          <w:sz w:val="28"/>
          <w:szCs w:val="28"/>
          <w:lang w:val="uk-UA"/>
        </w:rPr>
        <w:t>м є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наступний механізм виникнення болю при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: правий блукаючий нерв, розгалужуючись, направляє частину своїх гілок до задньої стінки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шлунка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частина - до сонячного сплетіння. Зсув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шлунка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вгору при утворенні грижі супроводжується натягом гілок блукаючого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нерва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що йдуть до сонячного сплетіння, внаслідок чого виникають больові відчуття. Подібне </w:t>
      </w:r>
      <w:r w:rsidR="003F4AFA">
        <w:rPr>
          <w:rFonts w:ascii="Times New Roman" w:hAnsi="Times New Roman"/>
          <w:sz w:val="28"/>
          <w:szCs w:val="28"/>
          <w:lang w:val="uk-UA"/>
        </w:rPr>
        <w:t>подразне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ння блукаючого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нерва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може при</w:t>
      </w:r>
      <w:r w:rsidR="003F4AFA">
        <w:rPr>
          <w:rFonts w:ascii="Times New Roman" w:hAnsi="Times New Roman"/>
          <w:sz w:val="28"/>
          <w:szCs w:val="28"/>
          <w:lang w:val="uk-UA"/>
        </w:rPr>
        <w:t>з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вести також до скорочення поздовжньої мускулатури стравоходу і подальшого збільшення грижі, </w:t>
      </w:r>
      <w:r w:rsidR="003F4AFA">
        <w:rPr>
          <w:rFonts w:ascii="Times New Roman" w:hAnsi="Times New Roman"/>
          <w:sz w:val="28"/>
          <w:szCs w:val="28"/>
          <w:lang w:val="uk-UA"/>
        </w:rPr>
        <w:t>тобто д</w:t>
      </w:r>
      <w:r w:rsidRPr="00341EDD">
        <w:rPr>
          <w:rFonts w:ascii="Times New Roman" w:hAnsi="Times New Roman"/>
          <w:sz w:val="28"/>
          <w:szCs w:val="28"/>
          <w:lang w:val="uk-UA"/>
        </w:rPr>
        <w:t>о утворення «порочного кола» [15, 27].</w:t>
      </w:r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Співвідношення </w:t>
      </w:r>
      <w:proofErr w:type="spellStart"/>
      <w:r w:rsidR="003F4AFA" w:rsidRPr="00822378">
        <w:rPr>
          <w:rFonts w:ascii="Times New Roman" w:hAnsi="Times New Roman"/>
          <w:sz w:val="28"/>
          <w:szCs w:val="28"/>
          <w:lang w:val="uk-UA"/>
        </w:rPr>
        <w:t>гастроезофагеальної</w:t>
      </w:r>
      <w:proofErr w:type="spellEnd"/>
      <w:r w:rsidR="003F4AFA" w:rsidRPr="008223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F4AFA" w:rsidRPr="00822378">
        <w:rPr>
          <w:rFonts w:ascii="Times New Roman" w:hAnsi="Times New Roman"/>
          <w:sz w:val="28"/>
          <w:szCs w:val="28"/>
          <w:lang w:val="uk-UA"/>
        </w:rPr>
        <w:t>рефлюксної</w:t>
      </w:r>
      <w:proofErr w:type="spellEnd"/>
      <w:r w:rsidR="003F4AFA" w:rsidRPr="00822378">
        <w:rPr>
          <w:rFonts w:ascii="Times New Roman" w:hAnsi="Times New Roman"/>
          <w:sz w:val="28"/>
          <w:szCs w:val="28"/>
          <w:lang w:val="uk-UA"/>
        </w:rPr>
        <w:t xml:space="preserve"> хвороби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(ГЕРХ) і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може бути двояким: ГЕР</w:t>
      </w:r>
      <w:r w:rsidR="003F4AFA">
        <w:rPr>
          <w:rFonts w:ascii="Times New Roman" w:hAnsi="Times New Roman"/>
          <w:sz w:val="28"/>
          <w:szCs w:val="28"/>
          <w:lang w:val="uk-UA"/>
        </w:rPr>
        <w:t>Х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може сприяти формуванню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і навпаки [1, 7, 26]. На думку В. Х. Василенко (1971) [3], у половини хворих </w:t>
      </w:r>
      <w:r w:rsidR="003F4AFA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ГЕРХ виявляють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Pr="00341EDD">
        <w:rPr>
          <w:rFonts w:ascii="Times New Roman" w:hAnsi="Times New Roman"/>
          <w:sz w:val="28"/>
          <w:szCs w:val="28"/>
          <w:lang w:val="uk-UA"/>
        </w:rPr>
        <w:t>. На відміну від ГЕР</w:t>
      </w:r>
      <w:r w:rsidR="003F4AFA">
        <w:rPr>
          <w:rFonts w:ascii="Times New Roman" w:hAnsi="Times New Roman"/>
          <w:sz w:val="28"/>
          <w:szCs w:val="28"/>
          <w:lang w:val="uk-UA"/>
        </w:rPr>
        <w:t>Х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без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, коли домінуючим проявом є печія, при ГЕРХ в поєднанні </w:t>
      </w:r>
      <w:r w:rsidR="003F4AFA">
        <w:rPr>
          <w:rFonts w:ascii="Times New Roman" w:hAnsi="Times New Roman"/>
          <w:sz w:val="28"/>
          <w:szCs w:val="28"/>
          <w:lang w:val="uk-UA"/>
        </w:rPr>
        <w:t>і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переважає біль [19]. Біль при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, за даними різних авторів, турбує 25-85% хворих [8, 19]. У зв'язку з переважанням при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больового синдрому над диспепсією в цій статті ми приділяємо більше уваги саме болю.</w:t>
      </w:r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При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біль має виразні особливості. Найчастіше біль локалізується в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епігастральній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ділянці, в</w:t>
      </w:r>
      <w:r w:rsidR="000A7F98">
        <w:rPr>
          <w:rFonts w:ascii="Times New Roman" w:hAnsi="Times New Roman"/>
          <w:sz w:val="28"/>
          <w:szCs w:val="28"/>
          <w:lang w:val="uk-UA"/>
        </w:rPr>
        <w:t>ін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має найрізноманітніший характер і різнобічну </w:t>
      </w:r>
      <w:r w:rsidR="003F4AFA">
        <w:rPr>
          <w:rFonts w:ascii="Times New Roman" w:hAnsi="Times New Roman"/>
          <w:sz w:val="28"/>
          <w:szCs w:val="28"/>
          <w:lang w:val="uk-UA"/>
        </w:rPr>
        <w:t>і</w:t>
      </w:r>
      <w:r w:rsidRPr="00341EDD">
        <w:rPr>
          <w:rFonts w:ascii="Times New Roman" w:hAnsi="Times New Roman"/>
          <w:sz w:val="28"/>
          <w:szCs w:val="28"/>
          <w:lang w:val="uk-UA"/>
        </w:rPr>
        <w:t>ррад</w:t>
      </w:r>
      <w:r w:rsidR="003F4AFA">
        <w:rPr>
          <w:rFonts w:ascii="Times New Roman" w:hAnsi="Times New Roman"/>
          <w:sz w:val="28"/>
          <w:szCs w:val="28"/>
          <w:lang w:val="uk-UA"/>
        </w:rPr>
        <w:t>і</w:t>
      </w:r>
      <w:r w:rsidRPr="00341EDD">
        <w:rPr>
          <w:rFonts w:ascii="Times New Roman" w:hAnsi="Times New Roman"/>
          <w:sz w:val="28"/>
          <w:szCs w:val="28"/>
          <w:lang w:val="uk-UA"/>
        </w:rPr>
        <w:t>ац</w:t>
      </w:r>
      <w:r w:rsidR="003F4AFA">
        <w:rPr>
          <w:rFonts w:ascii="Times New Roman" w:hAnsi="Times New Roman"/>
          <w:sz w:val="28"/>
          <w:szCs w:val="28"/>
          <w:lang w:val="uk-UA"/>
        </w:rPr>
        <w:t>і</w:t>
      </w:r>
      <w:r w:rsidRPr="00341EDD">
        <w:rPr>
          <w:rFonts w:ascii="Times New Roman" w:hAnsi="Times New Roman"/>
          <w:sz w:val="28"/>
          <w:szCs w:val="28"/>
          <w:lang w:val="uk-UA"/>
        </w:rPr>
        <w:t>ю. Зазвичай спостеріга</w:t>
      </w:r>
      <w:r w:rsidR="003F4AFA">
        <w:rPr>
          <w:rFonts w:ascii="Times New Roman" w:hAnsi="Times New Roman"/>
          <w:sz w:val="28"/>
          <w:szCs w:val="28"/>
          <w:lang w:val="uk-UA"/>
        </w:rPr>
        <w:t>є</w:t>
      </w:r>
      <w:r w:rsidRPr="00341EDD">
        <w:rPr>
          <w:rFonts w:ascii="Times New Roman" w:hAnsi="Times New Roman"/>
          <w:sz w:val="28"/>
          <w:szCs w:val="28"/>
          <w:lang w:val="uk-UA"/>
        </w:rPr>
        <w:t>ться постійн</w:t>
      </w:r>
      <w:r w:rsidR="003F4AFA">
        <w:rPr>
          <w:rFonts w:ascii="Times New Roman" w:hAnsi="Times New Roman"/>
          <w:sz w:val="28"/>
          <w:szCs w:val="28"/>
          <w:lang w:val="uk-UA"/>
        </w:rPr>
        <w:t>ий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б</w:t>
      </w:r>
      <w:r w:rsidR="003F4AFA">
        <w:rPr>
          <w:rFonts w:ascii="Times New Roman" w:hAnsi="Times New Roman"/>
          <w:sz w:val="28"/>
          <w:szCs w:val="28"/>
          <w:lang w:val="uk-UA"/>
        </w:rPr>
        <w:t>іль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тривалістю від декількох днів до декількох місяців, іноді б</w:t>
      </w:r>
      <w:r w:rsidR="003F4AFA">
        <w:rPr>
          <w:rFonts w:ascii="Times New Roman" w:hAnsi="Times New Roman"/>
          <w:sz w:val="28"/>
          <w:szCs w:val="28"/>
          <w:lang w:val="uk-UA"/>
        </w:rPr>
        <w:t>іль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зника</w:t>
      </w:r>
      <w:r w:rsidR="003F4AFA">
        <w:rPr>
          <w:rFonts w:ascii="Times New Roman" w:hAnsi="Times New Roman"/>
          <w:sz w:val="28"/>
          <w:szCs w:val="28"/>
          <w:lang w:val="uk-UA"/>
        </w:rPr>
        <w:t>є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, але незабаром поновлюються знову. Іноді біль зміщується ближче до пупка, нерідко іррадіюючи в спину </w:t>
      </w:r>
      <w:r w:rsidR="000A7F98">
        <w:rPr>
          <w:rFonts w:ascii="Times New Roman" w:hAnsi="Times New Roman"/>
          <w:sz w:val="28"/>
          <w:szCs w:val="28"/>
          <w:lang w:val="uk-UA"/>
        </w:rPr>
        <w:t>та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підребер'я. Періодично б</w:t>
      </w:r>
      <w:r w:rsidR="000A7F98">
        <w:rPr>
          <w:rFonts w:ascii="Times New Roman" w:hAnsi="Times New Roman"/>
          <w:sz w:val="28"/>
          <w:szCs w:val="28"/>
          <w:lang w:val="uk-UA"/>
        </w:rPr>
        <w:t>іль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загострю</w:t>
      </w:r>
      <w:r w:rsidR="000A7F98">
        <w:rPr>
          <w:rFonts w:ascii="Times New Roman" w:hAnsi="Times New Roman"/>
          <w:sz w:val="28"/>
          <w:szCs w:val="28"/>
          <w:lang w:val="uk-UA"/>
        </w:rPr>
        <w:t>є</w:t>
      </w:r>
      <w:r w:rsidRPr="00341EDD">
        <w:rPr>
          <w:rFonts w:ascii="Times New Roman" w:hAnsi="Times New Roman"/>
          <w:sz w:val="28"/>
          <w:szCs w:val="28"/>
          <w:lang w:val="uk-UA"/>
        </w:rPr>
        <w:t>ться у вигляді короткочасних нападів, прийма</w:t>
      </w:r>
      <w:r w:rsidR="000A7F98">
        <w:rPr>
          <w:rFonts w:ascii="Times New Roman" w:hAnsi="Times New Roman"/>
          <w:sz w:val="28"/>
          <w:szCs w:val="28"/>
          <w:lang w:val="uk-UA"/>
        </w:rPr>
        <w:t>є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оперізувальний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характер, причому іррадіація може бути сильніш</w:t>
      </w:r>
      <w:r w:rsidR="000A7F98">
        <w:rPr>
          <w:rFonts w:ascii="Times New Roman" w:hAnsi="Times New Roman"/>
          <w:sz w:val="28"/>
          <w:szCs w:val="28"/>
          <w:lang w:val="uk-UA"/>
        </w:rPr>
        <w:t>ою</w:t>
      </w:r>
      <w:r w:rsidRPr="00341EDD">
        <w:rPr>
          <w:rFonts w:ascii="Times New Roman" w:hAnsi="Times New Roman"/>
          <w:sz w:val="28"/>
          <w:szCs w:val="28"/>
          <w:lang w:val="uk-UA"/>
        </w:rPr>
        <w:t>, ніж місцев</w:t>
      </w:r>
      <w:r w:rsidR="000A7F98">
        <w:rPr>
          <w:rFonts w:ascii="Times New Roman" w:hAnsi="Times New Roman"/>
          <w:sz w:val="28"/>
          <w:szCs w:val="28"/>
          <w:lang w:val="uk-UA"/>
        </w:rPr>
        <w:t>ий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біль.</w:t>
      </w:r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5409A0">
        <w:rPr>
          <w:rFonts w:ascii="Times New Roman" w:hAnsi="Times New Roman"/>
          <w:sz w:val="28"/>
          <w:szCs w:val="28"/>
          <w:lang w:val="uk-UA"/>
        </w:rPr>
        <w:t>Останн</w:t>
      </w:r>
      <w:r w:rsidR="00822378" w:rsidRPr="005409A0">
        <w:rPr>
          <w:rFonts w:ascii="Times New Roman" w:hAnsi="Times New Roman"/>
          <w:sz w:val="28"/>
          <w:szCs w:val="28"/>
          <w:lang w:val="uk-UA"/>
        </w:rPr>
        <w:t>ій</w:t>
      </w:r>
      <w:r w:rsidRPr="005409A0">
        <w:rPr>
          <w:rFonts w:ascii="Times New Roman" w:hAnsi="Times New Roman"/>
          <w:sz w:val="28"/>
          <w:szCs w:val="28"/>
          <w:lang w:val="uk-UA"/>
        </w:rPr>
        <w:t xml:space="preserve"> - дифузн</w:t>
      </w:r>
      <w:r w:rsidR="00822378" w:rsidRPr="005409A0">
        <w:rPr>
          <w:rFonts w:ascii="Times New Roman" w:hAnsi="Times New Roman"/>
          <w:sz w:val="28"/>
          <w:szCs w:val="28"/>
          <w:lang w:val="uk-UA"/>
        </w:rPr>
        <w:t>ий</w:t>
      </w:r>
      <w:r w:rsidRPr="005409A0">
        <w:rPr>
          <w:rFonts w:ascii="Times New Roman" w:hAnsi="Times New Roman"/>
          <w:sz w:val="28"/>
          <w:szCs w:val="28"/>
          <w:lang w:val="uk-UA"/>
        </w:rPr>
        <w:t>, глибок</w:t>
      </w:r>
      <w:r w:rsidR="00822378" w:rsidRPr="005409A0">
        <w:rPr>
          <w:rFonts w:ascii="Times New Roman" w:hAnsi="Times New Roman"/>
          <w:sz w:val="28"/>
          <w:szCs w:val="28"/>
          <w:lang w:val="uk-UA"/>
        </w:rPr>
        <w:t>ий</w:t>
      </w:r>
      <w:r w:rsidRPr="00341EDD">
        <w:rPr>
          <w:rFonts w:ascii="Times New Roman" w:hAnsi="Times New Roman"/>
          <w:sz w:val="28"/>
          <w:szCs w:val="28"/>
          <w:lang w:val="uk-UA"/>
        </w:rPr>
        <w:t>, різко посилюється в період загострень, іноді супроводжується непритомни</w:t>
      </w:r>
      <w:r w:rsidR="000A7F98">
        <w:rPr>
          <w:rFonts w:ascii="Times New Roman" w:hAnsi="Times New Roman"/>
          <w:sz w:val="28"/>
          <w:szCs w:val="28"/>
          <w:lang w:val="uk-UA"/>
        </w:rPr>
        <w:t>ми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стан</w:t>
      </w:r>
      <w:r w:rsidR="000A7F98">
        <w:rPr>
          <w:rFonts w:ascii="Times New Roman" w:hAnsi="Times New Roman"/>
          <w:sz w:val="28"/>
          <w:szCs w:val="28"/>
          <w:lang w:val="uk-UA"/>
        </w:rPr>
        <w:t>ами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. Біль має найрізноманітніший відтінок: свердлувальний, пекучий, гострий, тупий. Лежання на спині і стояння </w:t>
      </w:r>
      <w:r w:rsidRPr="00341EDD">
        <w:rPr>
          <w:rFonts w:ascii="Times New Roman" w:hAnsi="Times New Roman"/>
          <w:sz w:val="28"/>
          <w:szCs w:val="28"/>
          <w:lang w:val="uk-UA"/>
        </w:rPr>
        <w:lastRenderedPageBreak/>
        <w:t xml:space="preserve">на ногах підсилюють біль. Хворий інстинктивно шукає положення, яке зменшує біль, частіше «застигаючи» на лівому боці. Больовий напад, як правило, різко забарвлений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емоційно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супроводжується вазомоторними реакціями, страхом смерті. Нерідко напад болю супроводжується блювотою спочатку їжею, а потім слизом і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жовчю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. Іноді блювотні маси містять домішки крові. Блювота змінюється нудотою і різким посиленням зазвичай наявно</w:t>
      </w:r>
      <w:r w:rsidR="000A7F98">
        <w:rPr>
          <w:rFonts w:ascii="Times New Roman" w:hAnsi="Times New Roman"/>
          <w:sz w:val="28"/>
          <w:szCs w:val="28"/>
          <w:lang w:val="uk-UA"/>
        </w:rPr>
        <w:t>ї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відрижки. Ц</w:t>
      </w:r>
      <w:r w:rsidR="000A7F98">
        <w:rPr>
          <w:rFonts w:ascii="Times New Roman" w:hAnsi="Times New Roman"/>
          <w:sz w:val="28"/>
          <w:szCs w:val="28"/>
          <w:lang w:val="uk-UA"/>
        </w:rPr>
        <w:t>е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може супроводжувати</w:t>
      </w:r>
      <w:r w:rsidR="000A7F98">
        <w:rPr>
          <w:rFonts w:ascii="Times New Roman" w:hAnsi="Times New Roman"/>
          <w:sz w:val="28"/>
          <w:szCs w:val="28"/>
          <w:lang w:val="uk-UA"/>
        </w:rPr>
        <w:t>сь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падіння</w:t>
      </w:r>
      <w:r w:rsidR="000A7F98">
        <w:rPr>
          <w:rFonts w:ascii="Times New Roman" w:hAnsi="Times New Roman"/>
          <w:sz w:val="28"/>
          <w:szCs w:val="28"/>
          <w:lang w:val="uk-UA"/>
        </w:rPr>
        <w:t>м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температури тіла, почастішання</w:t>
      </w:r>
      <w:r w:rsidR="000A7F98">
        <w:rPr>
          <w:rFonts w:ascii="Times New Roman" w:hAnsi="Times New Roman"/>
          <w:sz w:val="28"/>
          <w:szCs w:val="28"/>
          <w:lang w:val="uk-UA"/>
        </w:rPr>
        <w:t>м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сечовипускання, похолодання</w:t>
      </w:r>
      <w:r w:rsidR="000A7F98">
        <w:rPr>
          <w:rFonts w:ascii="Times New Roman" w:hAnsi="Times New Roman"/>
          <w:sz w:val="28"/>
          <w:szCs w:val="28"/>
          <w:lang w:val="uk-UA"/>
        </w:rPr>
        <w:t>м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кінцівок. Пульс частий, слабкий, м'який. Напад може обірватися так само раптово, як і почався. Найчастіше, однак, після деякої перерви він повторюється, і починається довгий ланцюг рецидивів, іноді поступово слабшає. Після нападу - розбитість, депресія, слабкість [8, 26].</w:t>
      </w:r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>Біль</w:t>
      </w:r>
      <w:r w:rsidR="007C4FBC">
        <w:rPr>
          <w:rFonts w:ascii="Times New Roman" w:hAnsi="Times New Roman"/>
          <w:sz w:val="28"/>
          <w:szCs w:val="28"/>
          <w:lang w:val="uk-UA"/>
        </w:rPr>
        <w:t xml:space="preserve"> є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характерн</w:t>
      </w:r>
      <w:r w:rsidR="000A7F98">
        <w:rPr>
          <w:rFonts w:ascii="Times New Roman" w:hAnsi="Times New Roman"/>
          <w:sz w:val="28"/>
          <w:szCs w:val="28"/>
          <w:lang w:val="uk-UA"/>
        </w:rPr>
        <w:t>и</w:t>
      </w:r>
      <w:r w:rsidR="007C4FBC">
        <w:rPr>
          <w:rFonts w:ascii="Times New Roman" w:hAnsi="Times New Roman"/>
          <w:sz w:val="28"/>
          <w:szCs w:val="28"/>
          <w:lang w:val="uk-UA"/>
        </w:rPr>
        <w:t>м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для «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кардіальної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маски»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, тим більше що напади болю можуть супроводжуватися змінами на ЕКГ (див. </w:t>
      </w:r>
      <w:r w:rsidR="007C4FBC">
        <w:rPr>
          <w:rFonts w:ascii="Times New Roman" w:hAnsi="Times New Roman"/>
          <w:sz w:val="28"/>
          <w:szCs w:val="28"/>
          <w:lang w:val="uk-UA"/>
        </w:rPr>
        <w:t>в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ище). Багато з пацієнтів </w:t>
      </w:r>
      <w:r w:rsidR="005409A0">
        <w:rPr>
          <w:rFonts w:ascii="Times New Roman" w:hAnsi="Times New Roman"/>
          <w:sz w:val="28"/>
          <w:szCs w:val="28"/>
          <w:lang w:val="uk-UA"/>
        </w:rPr>
        <w:t>і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роками лікуються з приводу стенокардії, і лише постійна відсутність відповідних змін на багаторазово проведених ЕКГ </w:t>
      </w:r>
      <w:r w:rsidR="007C4FBC">
        <w:rPr>
          <w:rFonts w:ascii="Times New Roman" w:hAnsi="Times New Roman"/>
          <w:sz w:val="28"/>
          <w:szCs w:val="28"/>
          <w:lang w:val="uk-UA"/>
        </w:rPr>
        <w:t>спонукає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до подальших пошуків причин серцевих порушень, іноді з виявленням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хіатусно</w:t>
      </w:r>
      <w:r w:rsidR="007C4FBC">
        <w:rPr>
          <w:rFonts w:ascii="Times New Roman" w:hAnsi="Times New Roman"/>
          <w:sz w:val="28"/>
          <w:szCs w:val="28"/>
          <w:lang w:val="uk-UA"/>
        </w:rPr>
        <w:t>ї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грижі [8, 15, 23, 25].</w:t>
      </w:r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>Для диференціальної діагностики різних захворювань стравоходу, що супроводжуються болем, доцільно користуватися критеріями, представленими в табл. 1.</w:t>
      </w:r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Лікування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передбачає, перш за все, лікування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езофагіту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усунення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рефлюксу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C4FBC">
        <w:rPr>
          <w:rFonts w:ascii="Times New Roman" w:hAnsi="Times New Roman"/>
          <w:sz w:val="28"/>
          <w:szCs w:val="28"/>
          <w:lang w:val="uk-UA"/>
        </w:rPr>
        <w:t>тобто в</w:t>
      </w:r>
      <w:r w:rsidRPr="00341EDD">
        <w:rPr>
          <w:rFonts w:ascii="Times New Roman" w:hAnsi="Times New Roman"/>
          <w:sz w:val="28"/>
          <w:szCs w:val="28"/>
          <w:lang w:val="uk-UA"/>
        </w:rPr>
        <w:t>ідповідає лікуванню ГЕР</w:t>
      </w:r>
      <w:r w:rsidR="007C4FBC">
        <w:rPr>
          <w:rFonts w:ascii="Times New Roman" w:hAnsi="Times New Roman"/>
          <w:sz w:val="28"/>
          <w:szCs w:val="28"/>
          <w:lang w:val="uk-UA"/>
        </w:rPr>
        <w:t>Х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(див. </w:t>
      </w:r>
      <w:r w:rsidR="007C4FBC">
        <w:rPr>
          <w:rFonts w:ascii="Times New Roman" w:hAnsi="Times New Roman"/>
          <w:sz w:val="28"/>
          <w:szCs w:val="28"/>
          <w:lang w:val="uk-UA"/>
        </w:rPr>
        <w:t>н</w:t>
      </w:r>
      <w:r w:rsidRPr="00341EDD">
        <w:rPr>
          <w:rFonts w:ascii="Times New Roman" w:hAnsi="Times New Roman"/>
          <w:sz w:val="28"/>
          <w:szCs w:val="28"/>
          <w:lang w:val="uk-UA"/>
        </w:rPr>
        <w:t>ижче). Оперативне лікування доцільно</w:t>
      </w:r>
      <w:r w:rsidR="007C4FBC">
        <w:rPr>
          <w:rFonts w:ascii="Times New Roman" w:hAnsi="Times New Roman"/>
          <w:sz w:val="28"/>
          <w:szCs w:val="28"/>
          <w:lang w:val="uk-UA"/>
        </w:rPr>
        <w:t xml:space="preserve"> застосовувати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при неефективності консервативної терапії, неможлив</w:t>
      </w:r>
      <w:r w:rsidR="007C4FBC">
        <w:rPr>
          <w:rFonts w:ascii="Times New Roman" w:hAnsi="Times New Roman"/>
          <w:sz w:val="28"/>
          <w:szCs w:val="28"/>
          <w:lang w:val="uk-UA"/>
        </w:rPr>
        <w:t xml:space="preserve">ості 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тривалого медикаментозного лікування, розвитку ускладнень, поєднанні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з іншими захворюваннями черевної порожнини, які вимагають хірургічного втручання</w:t>
      </w:r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(жовчнокам'яна хвороба тощо), </w:t>
      </w:r>
      <w:r w:rsidR="00D46F93">
        <w:rPr>
          <w:rFonts w:ascii="Times New Roman" w:hAnsi="Times New Roman"/>
          <w:sz w:val="28"/>
          <w:szCs w:val="28"/>
          <w:lang w:val="uk-UA"/>
        </w:rPr>
        <w:t>в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еликих розмірах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в поєднанні з дихальною недостатністю, порушенням серцевої діяльності. Найчастіше виконують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езофагофундоплікацію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, а при рубцевому стенозі стравоходу - його резекцію [4, 8, 18].</w:t>
      </w:r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>Основні напрямки лікування ГЕР</w:t>
      </w:r>
      <w:r w:rsidR="00D46F93">
        <w:rPr>
          <w:rFonts w:ascii="Times New Roman" w:hAnsi="Times New Roman"/>
          <w:sz w:val="28"/>
          <w:szCs w:val="28"/>
          <w:lang w:val="uk-UA"/>
        </w:rPr>
        <w:t>Х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[17, 26]:</w:t>
      </w:r>
    </w:p>
    <w:p w:rsidR="0013614E" w:rsidRPr="00341EDD" w:rsidRDefault="00D46F93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13614E" w:rsidRPr="00341EDD">
        <w:rPr>
          <w:rFonts w:ascii="Times New Roman" w:hAnsi="Times New Roman"/>
          <w:sz w:val="28"/>
          <w:szCs w:val="28"/>
          <w:lang w:val="uk-UA"/>
        </w:rPr>
        <w:t xml:space="preserve"> зменшення агресивності </w:t>
      </w:r>
      <w:proofErr w:type="spellStart"/>
      <w:r w:rsidR="0013614E" w:rsidRPr="00341EDD">
        <w:rPr>
          <w:rFonts w:ascii="Times New Roman" w:hAnsi="Times New Roman"/>
          <w:sz w:val="28"/>
          <w:szCs w:val="28"/>
          <w:lang w:val="uk-UA"/>
        </w:rPr>
        <w:t>рефлюксат</w:t>
      </w:r>
      <w:r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13614E" w:rsidRPr="00341EDD">
        <w:rPr>
          <w:rFonts w:ascii="Times New Roman" w:hAnsi="Times New Roman"/>
          <w:sz w:val="28"/>
          <w:szCs w:val="28"/>
          <w:lang w:val="uk-UA"/>
        </w:rPr>
        <w:t>;</w:t>
      </w:r>
    </w:p>
    <w:p w:rsidR="0013614E" w:rsidRPr="00341EDD" w:rsidRDefault="00D46F93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13614E" w:rsidRPr="00341EDD">
        <w:rPr>
          <w:rFonts w:ascii="Times New Roman" w:hAnsi="Times New Roman"/>
          <w:sz w:val="28"/>
          <w:szCs w:val="28"/>
          <w:lang w:val="uk-UA"/>
        </w:rPr>
        <w:t xml:space="preserve"> зменшення часу контакту слизової оболонки стравоходу з </w:t>
      </w:r>
      <w:proofErr w:type="spellStart"/>
      <w:r w:rsidR="0013614E" w:rsidRPr="00341EDD">
        <w:rPr>
          <w:rFonts w:ascii="Times New Roman" w:hAnsi="Times New Roman"/>
          <w:sz w:val="28"/>
          <w:szCs w:val="28"/>
          <w:lang w:val="uk-UA"/>
        </w:rPr>
        <w:t>рефлюксат</w:t>
      </w:r>
      <w:r>
        <w:rPr>
          <w:rFonts w:ascii="Times New Roman" w:hAnsi="Times New Roman"/>
          <w:sz w:val="28"/>
          <w:szCs w:val="28"/>
          <w:lang w:val="uk-UA"/>
        </w:rPr>
        <w:t>ом</w:t>
      </w:r>
      <w:proofErr w:type="spellEnd"/>
      <w:r w:rsidR="0013614E" w:rsidRPr="00341EDD">
        <w:rPr>
          <w:rFonts w:ascii="Times New Roman" w:hAnsi="Times New Roman"/>
          <w:sz w:val="28"/>
          <w:szCs w:val="28"/>
          <w:lang w:val="uk-UA"/>
        </w:rPr>
        <w:t xml:space="preserve"> шляхом зменшення частоти і тривалості епізодів </w:t>
      </w:r>
      <w:proofErr w:type="spellStart"/>
      <w:r w:rsidR="0013614E" w:rsidRPr="00341EDD">
        <w:rPr>
          <w:rFonts w:ascii="Times New Roman" w:hAnsi="Times New Roman"/>
          <w:sz w:val="28"/>
          <w:szCs w:val="28"/>
          <w:lang w:val="uk-UA"/>
        </w:rPr>
        <w:t>рефлюксу</w:t>
      </w:r>
      <w:proofErr w:type="spellEnd"/>
      <w:r w:rsidR="0013614E" w:rsidRPr="00341EDD">
        <w:rPr>
          <w:rFonts w:ascii="Times New Roman" w:hAnsi="Times New Roman"/>
          <w:sz w:val="28"/>
          <w:szCs w:val="28"/>
          <w:lang w:val="uk-UA"/>
        </w:rPr>
        <w:t>;</w:t>
      </w:r>
    </w:p>
    <w:p w:rsidR="0013614E" w:rsidRPr="00341EDD" w:rsidRDefault="00D46F93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13614E" w:rsidRPr="00341EDD">
        <w:rPr>
          <w:rFonts w:ascii="Times New Roman" w:hAnsi="Times New Roman"/>
          <w:sz w:val="28"/>
          <w:szCs w:val="28"/>
          <w:lang w:val="uk-UA"/>
        </w:rPr>
        <w:t xml:space="preserve"> підвищення тонусу </w:t>
      </w:r>
      <w:r w:rsidR="00822378">
        <w:rPr>
          <w:rFonts w:ascii="Times New Roman" w:hAnsi="Times New Roman"/>
          <w:sz w:val="28"/>
          <w:szCs w:val="28"/>
          <w:lang w:val="uk-UA"/>
        </w:rPr>
        <w:t>нижнього стравохідного сфінктера</w:t>
      </w:r>
      <w:r w:rsidR="0013614E" w:rsidRPr="00341EDD">
        <w:rPr>
          <w:rFonts w:ascii="Times New Roman" w:hAnsi="Times New Roman"/>
          <w:sz w:val="28"/>
          <w:szCs w:val="28"/>
          <w:lang w:val="uk-UA"/>
        </w:rPr>
        <w:t>.</w:t>
      </w:r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>Перш за все необхідно дати хворому рекомендації щодо зміни способу життя і харчування. Пацієнту необхідно спати з піднятим не менше ніж на 15 см головним кінцем ліжка; після прийому їжі уникати нахилів вперед і не лягати; не носити тісного одягу і туг</w:t>
      </w:r>
      <w:r w:rsidR="00D46F93">
        <w:rPr>
          <w:rFonts w:ascii="Times New Roman" w:hAnsi="Times New Roman"/>
          <w:sz w:val="28"/>
          <w:szCs w:val="28"/>
          <w:lang w:val="uk-UA"/>
        </w:rPr>
        <w:t>их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пояс</w:t>
      </w:r>
      <w:r w:rsidR="00D46F93">
        <w:rPr>
          <w:rFonts w:ascii="Times New Roman" w:hAnsi="Times New Roman"/>
          <w:sz w:val="28"/>
          <w:szCs w:val="28"/>
          <w:lang w:val="uk-UA"/>
        </w:rPr>
        <w:t>ів</w:t>
      </w:r>
      <w:r w:rsidRPr="00341EDD">
        <w:rPr>
          <w:rFonts w:ascii="Times New Roman" w:hAnsi="Times New Roman"/>
          <w:sz w:val="28"/>
          <w:szCs w:val="28"/>
          <w:lang w:val="uk-UA"/>
        </w:rPr>
        <w:t>; уникати підняття важких предметів більше 8-10 кг, перенапруження черевного преса і роботи, пов'язаної з нахилами тулуба вперед; боротися з надмірною масою тіла; кинути палити [17, 26].</w:t>
      </w:r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Рекомендують часте дробове харчування, обмеження обсягу їжі </w:t>
      </w:r>
      <w:r w:rsidR="00D46F93">
        <w:rPr>
          <w:rFonts w:ascii="Times New Roman" w:hAnsi="Times New Roman"/>
          <w:sz w:val="28"/>
          <w:szCs w:val="28"/>
          <w:lang w:val="uk-UA"/>
        </w:rPr>
        <w:t>та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деяких харчових продуктів (тваринних жирів, шоколаду, кави, грубої клітковини, </w:t>
      </w:r>
      <w:r w:rsidRPr="00341EDD">
        <w:rPr>
          <w:rFonts w:ascii="Times New Roman" w:hAnsi="Times New Roman"/>
          <w:sz w:val="28"/>
          <w:szCs w:val="28"/>
          <w:lang w:val="uk-UA"/>
        </w:rPr>
        <w:lastRenderedPageBreak/>
        <w:t xml:space="preserve">газованих напоїв, гострих і пряних продуктів, свіжого хліба, борошняних виробів </w:t>
      </w:r>
      <w:r w:rsidR="00D46F93">
        <w:rPr>
          <w:rFonts w:ascii="Times New Roman" w:hAnsi="Times New Roman"/>
          <w:sz w:val="28"/>
          <w:szCs w:val="28"/>
          <w:lang w:val="uk-UA"/>
        </w:rPr>
        <w:t>та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ін.). Після прийому їжі </w:t>
      </w:r>
      <w:r w:rsidR="00D46F93">
        <w:rPr>
          <w:rFonts w:ascii="Times New Roman" w:hAnsi="Times New Roman"/>
          <w:sz w:val="28"/>
          <w:szCs w:val="28"/>
          <w:lang w:val="uk-UA"/>
        </w:rPr>
        <w:t>впродовж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не менше 3 годин слід перебувати у вертикальному положенні. Вечеря повинна бути легк</w:t>
      </w:r>
      <w:r w:rsidR="00D46F93">
        <w:rPr>
          <w:rFonts w:ascii="Times New Roman" w:hAnsi="Times New Roman"/>
          <w:sz w:val="28"/>
          <w:szCs w:val="28"/>
          <w:lang w:val="uk-UA"/>
        </w:rPr>
        <w:t>ою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і не пізніше, ніж за 2-3 години до сну. Слід повністю відмовитися не тільки від куріння, але і від вживання алкоголю [18].</w:t>
      </w:r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Необхідно також виключити, а якщо це неможливо, то зменшити прийом препаратів, які можуть погіршувати перебіг ГЕРХ, знижуючи тонус </w:t>
      </w:r>
      <w:r w:rsidR="00CD7FCD">
        <w:rPr>
          <w:rFonts w:ascii="Times New Roman" w:hAnsi="Times New Roman"/>
          <w:sz w:val="28"/>
          <w:szCs w:val="28"/>
          <w:lang w:val="uk-UA"/>
        </w:rPr>
        <w:t>нижнього стравохідного сфінктера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або подразнюючи слизову оболонку стравоходу. До таких препаратів відносять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метилксантини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(еуфілін, теофілін,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теодур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),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холінолітики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(атропін, платифілін,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метацин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), антидепресанти (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амітриптилін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D46F93">
        <w:rPr>
          <w:rFonts w:ascii="Times New Roman" w:hAnsi="Times New Roman"/>
          <w:sz w:val="28"/>
          <w:szCs w:val="28"/>
          <w:lang w:val="uk-UA"/>
        </w:rPr>
        <w:t>і</w:t>
      </w:r>
      <w:r w:rsidRPr="00341EDD">
        <w:rPr>
          <w:rFonts w:ascii="Times New Roman" w:hAnsi="Times New Roman"/>
          <w:sz w:val="28"/>
          <w:szCs w:val="28"/>
          <w:lang w:val="uk-UA"/>
        </w:rPr>
        <w:t>м</w:t>
      </w:r>
      <w:r w:rsidR="00D46F93">
        <w:rPr>
          <w:rFonts w:ascii="Times New Roman" w:hAnsi="Times New Roman"/>
          <w:sz w:val="28"/>
          <w:szCs w:val="28"/>
          <w:lang w:val="uk-UA"/>
        </w:rPr>
        <w:t>і</w:t>
      </w:r>
      <w:r w:rsidRPr="00341EDD">
        <w:rPr>
          <w:rFonts w:ascii="Times New Roman" w:hAnsi="Times New Roman"/>
          <w:sz w:val="28"/>
          <w:szCs w:val="28"/>
          <w:lang w:val="uk-UA"/>
        </w:rPr>
        <w:t>зин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флуоксетин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-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Прозак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флувоксам</w:t>
      </w:r>
      <w:r w:rsidR="00262867">
        <w:rPr>
          <w:rFonts w:ascii="Times New Roman" w:hAnsi="Times New Roman"/>
          <w:sz w:val="28"/>
          <w:szCs w:val="28"/>
          <w:lang w:val="uk-UA"/>
        </w:rPr>
        <w:t>і</w:t>
      </w:r>
      <w:r w:rsidRPr="00341EDD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-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Феварин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),</w:t>
      </w:r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нітрати (нітрогліцерин,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Н</w:t>
      </w:r>
      <w:r w:rsidR="00982C56">
        <w:rPr>
          <w:rFonts w:ascii="Times New Roman" w:hAnsi="Times New Roman"/>
          <w:sz w:val="28"/>
          <w:szCs w:val="28"/>
          <w:lang w:val="uk-UA"/>
        </w:rPr>
        <w:t>і</w:t>
      </w:r>
      <w:r w:rsidRPr="00341EDD">
        <w:rPr>
          <w:rFonts w:ascii="Times New Roman" w:hAnsi="Times New Roman"/>
          <w:sz w:val="28"/>
          <w:szCs w:val="28"/>
          <w:lang w:val="uk-UA"/>
        </w:rPr>
        <w:t>тросорб</w:t>
      </w:r>
      <w:r w:rsidR="00982C56">
        <w:rPr>
          <w:rFonts w:ascii="Times New Roman" w:hAnsi="Times New Roman"/>
          <w:sz w:val="28"/>
          <w:szCs w:val="28"/>
          <w:lang w:val="uk-UA"/>
        </w:rPr>
        <w:t>і</w:t>
      </w:r>
      <w:r w:rsidRPr="00341EDD">
        <w:rPr>
          <w:rFonts w:ascii="Times New Roman" w:hAnsi="Times New Roman"/>
          <w:sz w:val="28"/>
          <w:szCs w:val="28"/>
          <w:lang w:val="uk-UA"/>
        </w:rPr>
        <w:t>д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Сустак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982C56">
        <w:rPr>
          <w:rFonts w:ascii="Times New Roman" w:hAnsi="Times New Roman"/>
          <w:sz w:val="28"/>
          <w:szCs w:val="28"/>
          <w:lang w:val="uk-UA"/>
        </w:rPr>
        <w:t>Т</w:t>
      </w:r>
      <w:r w:rsidRPr="00341EDD">
        <w:rPr>
          <w:rFonts w:ascii="Times New Roman" w:hAnsi="Times New Roman"/>
          <w:sz w:val="28"/>
          <w:szCs w:val="28"/>
          <w:lang w:val="uk-UA"/>
        </w:rPr>
        <w:t>рин</w:t>
      </w:r>
      <w:r w:rsidR="00982C56">
        <w:rPr>
          <w:rFonts w:ascii="Times New Roman" w:hAnsi="Times New Roman"/>
          <w:sz w:val="28"/>
          <w:szCs w:val="28"/>
          <w:lang w:val="uk-UA"/>
        </w:rPr>
        <w:t>і</w:t>
      </w:r>
      <w:r w:rsidRPr="00341EDD">
        <w:rPr>
          <w:rFonts w:ascii="Times New Roman" w:hAnsi="Times New Roman"/>
          <w:sz w:val="28"/>
          <w:szCs w:val="28"/>
          <w:lang w:val="uk-UA"/>
        </w:rPr>
        <w:t>тролонг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), блокатори β-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адренорецепторів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пропранолол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атенолол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метопролол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бісопролол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небіволол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карведилол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), антагоністи кальцію (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верапаміл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ніфедипін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дилтіазем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), контрацептиви (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Трикв</w:t>
      </w:r>
      <w:r w:rsidR="00982C56">
        <w:rPr>
          <w:rFonts w:ascii="Times New Roman" w:hAnsi="Times New Roman"/>
          <w:sz w:val="28"/>
          <w:szCs w:val="28"/>
          <w:lang w:val="uk-UA"/>
        </w:rPr>
        <w:t>і</w:t>
      </w:r>
      <w:r w:rsidRPr="00341EDD">
        <w:rPr>
          <w:rFonts w:ascii="Times New Roman" w:hAnsi="Times New Roman"/>
          <w:sz w:val="28"/>
          <w:szCs w:val="28"/>
          <w:lang w:val="uk-UA"/>
        </w:rPr>
        <w:t>лар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Марвелон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Мікрогінон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982C56">
        <w:rPr>
          <w:rFonts w:ascii="Times New Roman" w:hAnsi="Times New Roman"/>
          <w:sz w:val="28"/>
          <w:szCs w:val="28"/>
          <w:lang w:val="uk-UA"/>
        </w:rPr>
        <w:t>Л</w:t>
      </w:r>
      <w:r w:rsidRPr="00341EDD">
        <w:rPr>
          <w:rFonts w:ascii="Times New Roman" w:hAnsi="Times New Roman"/>
          <w:sz w:val="28"/>
          <w:szCs w:val="28"/>
          <w:lang w:val="uk-UA"/>
        </w:rPr>
        <w:t>огест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),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міотропн</w:t>
      </w:r>
      <w:r w:rsidR="00982C56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спазмолітики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(Но-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шпа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папаверин,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Бускопан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), нестероїдні протизапальні препарати (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ібупрофен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індометацин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), наркотичні анальгетики (</w:t>
      </w:r>
      <w:proofErr w:type="spellStart"/>
      <w:r w:rsidR="00982C56">
        <w:rPr>
          <w:rFonts w:ascii="Times New Roman" w:hAnsi="Times New Roman"/>
          <w:sz w:val="28"/>
          <w:szCs w:val="28"/>
          <w:lang w:val="uk-UA"/>
        </w:rPr>
        <w:t>О</w:t>
      </w:r>
      <w:r w:rsidRPr="00341EDD">
        <w:rPr>
          <w:rFonts w:ascii="Times New Roman" w:hAnsi="Times New Roman"/>
          <w:sz w:val="28"/>
          <w:szCs w:val="28"/>
          <w:lang w:val="uk-UA"/>
        </w:rPr>
        <w:t>мнопон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Промедол,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бупренорфін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) [17, 26].</w:t>
      </w:r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>При медикаментозному лікуванні ГЕРХ використовують два принципових варіанти тактики [15]:</w:t>
      </w:r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1. Починають лікування </w:t>
      </w:r>
      <w:r w:rsidR="00982C56">
        <w:rPr>
          <w:rFonts w:ascii="Times New Roman" w:hAnsi="Times New Roman"/>
          <w:sz w:val="28"/>
          <w:szCs w:val="28"/>
          <w:lang w:val="uk-UA"/>
        </w:rPr>
        <w:t>і</w:t>
      </w:r>
      <w:r w:rsidRPr="00341EDD">
        <w:rPr>
          <w:rFonts w:ascii="Times New Roman" w:hAnsi="Times New Roman"/>
          <w:sz w:val="28"/>
          <w:szCs w:val="28"/>
          <w:lang w:val="uk-UA"/>
        </w:rPr>
        <w:t>з застосування найпотужн</w:t>
      </w:r>
      <w:r w:rsidR="00135EA5">
        <w:rPr>
          <w:rFonts w:ascii="Times New Roman" w:hAnsi="Times New Roman"/>
          <w:sz w:val="28"/>
          <w:szCs w:val="28"/>
          <w:lang w:val="uk-UA"/>
        </w:rPr>
        <w:t>іш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их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антисекреторних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засобів - інгібіторів протонної помпи (ІПП) в стандартній або подвійн</w:t>
      </w:r>
      <w:r w:rsidR="00135EA5">
        <w:rPr>
          <w:rFonts w:ascii="Times New Roman" w:hAnsi="Times New Roman"/>
          <w:sz w:val="28"/>
          <w:szCs w:val="28"/>
          <w:lang w:val="uk-UA"/>
        </w:rPr>
        <w:t>і</w:t>
      </w:r>
      <w:r w:rsidRPr="00341EDD">
        <w:rPr>
          <w:rFonts w:ascii="Times New Roman" w:hAnsi="Times New Roman"/>
          <w:sz w:val="28"/>
          <w:szCs w:val="28"/>
          <w:lang w:val="uk-UA"/>
        </w:rPr>
        <w:t>й терапевтичній дозі, а після досягнення клінічного ефекту дозу ІПП знижують до підтримуючої (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step-down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therapy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).</w:t>
      </w:r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2. Призначають поетапно наростаючу терапію, використовуючи послідовно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антациди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(альгінати), а при їх неефективності - блокатори Н</w:t>
      </w:r>
      <w:r w:rsidRPr="00982C56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341EDD">
        <w:rPr>
          <w:rFonts w:ascii="Times New Roman" w:hAnsi="Times New Roman"/>
          <w:sz w:val="28"/>
          <w:szCs w:val="28"/>
          <w:lang w:val="uk-UA"/>
        </w:rPr>
        <w:t>-гістамінових рецепторів і, нарешті, ІПП (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step-up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therapy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) [3, 26].</w:t>
      </w:r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Безумовно,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антисекреторна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терапія доповнюється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прокінет</w:t>
      </w:r>
      <w:r w:rsidR="00982C56">
        <w:rPr>
          <w:rFonts w:ascii="Times New Roman" w:hAnsi="Times New Roman"/>
          <w:sz w:val="28"/>
          <w:szCs w:val="28"/>
          <w:lang w:val="uk-UA"/>
        </w:rPr>
        <w:t>и</w:t>
      </w:r>
      <w:r w:rsidRPr="00341EDD">
        <w:rPr>
          <w:rFonts w:ascii="Times New Roman" w:hAnsi="Times New Roman"/>
          <w:sz w:val="28"/>
          <w:szCs w:val="28"/>
          <w:lang w:val="uk-UA"/>
        </w:rPr>
        <w:t>кам</w:t>
      </w:r>
      <w:r w:rsidR="00982C56">
        <w:rPr>
          <w:rFonts w:ascii="Times New Roman" w:hAnsi="Times New Roman"/>
          <w:sz w:val="28"/>
          <w:szCs w:val="28"/>
          <w:lang w:val="uk-UA"/>
        </w:rPr>
        <w:t>и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при виборі будь-якого з двох зазначених вище варіантів тактики.</w:t>
      </w:r>
    </w:p>
    <w:p w:rsidR="0013614E" w:rsidRPr="00341EDD" w:rsidRDefault="0013614E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При лікуванні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кращою є тактика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step-down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. При цьому лікування починають з ІПП. Встановлено, що для успішного лікування ГЕР</w:t>
      </w:r>
      <w:r w:rsidR="00982C56">
        <w:rPr>
          <w:rFonts w:ascii="Times New Roman" w:hAnsi="Times New Roman"/>
          <w:sz w:val="28"/>
          <w:szCs w:val="28"/>
          <w:lang w:val="uk-UA"/>
        </w:rPr>
        <w:t>Х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необхідно, щоб показник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рН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всередині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шлунка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перевищував 4,0 протягом 16-18 годин на добу. Досягти такого результату, застосовуючи Н</w:t>
      </w:r>
      <w:r w:rsidRPr="00982C56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-блокатори в терапевтичних дозах, неможливо. Такий результат можуть забезпечити тільки ІПП. Це основна перевага цих препаратів. Крім того, ІПП не вимагають підвищення доз в процесі лікування, мають чітко встановлений механізм дії, </w:t>
      </w:r>
      <w:r w:rsidR="00982C56">
        <w:rPr>
          <w:rFonts w:ascii="Times New Roman" w:hAnsi="Times New Roman"/>
          <w:sz w:val="28"/>
          <w:szCs w:val="28"/>
          <w:lang w:val="uk-UA"/>
        </w:rPr>
        <w:t>володі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ють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антихелікобактерними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властивостями, при лікуванні використовується простий режим дозування (1-2 рази на добу), вони добре переносяться, а частота побічних ефектів низька [15, 21 ].</w:t>
      </w:r>
    </w:p>
    <w:p w:rsidR="008922EB" w:rsidRPr="00341EDD" w:rsidRDefault="008922EB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B528AC">
        <w:rPr>
          <w:rFonts w:ascii="Times New Roman" w:hAnsi="Times New Roman"/>
          <w:sz w:val="28"/>
          <w:szCs w:val="28"/>
          <w:lang w:val="uk-UA"/>
        </w:rPr>
        <w:t xml:space="preserve">Стандартна доза </w:t>
      </w:r>
      <w:proofErr w:type="spellStart"/>
      <w:r w:rsidRPr="00B528AC">
        <w:rPr>
          <w:rFonts w:ascii="Times New Roman" w:hAnsi="Times New Roman"/>
          <w:sz w:val="28"/>
          <w:szCs w:val="28"/>
          <w:lang w:val="uk-UA"/>
        </w:rPr>
        <w:t>омепразолу</w:t>
      </w:r>
      <w:proofErr w:type="spellEnd"/>
      <w:r w:rsidRPr="00B528AC">
        <w:rPr>
          <w:rFonts w:ascii="Times New Roman" w:hAnsi="Times New Roman"/>
          <w:sz w:val="28"/>
          <w:szCs w:val="28"/>
          <w:lang w:val="uk-UA"/>
        </w:rPr>
        <w:t xml:space="preserve"> - 20 мг вранці і ввечері або 40 мг одноразово; </w:t>
      </w:r>
      <w:proofErr w:type="spellStart"/>
      <w:r w:rsidRPr="00B528AC">
        <w:rPr>
          <w:rFonts w:ascii="Times New Roman" w:hAnsi="Times New Roman"/>
          <w:sz w:val="28"/>
          <w:szCs w:val="28"/>
          <w:lang w:val="uk-UA"/>
        </w:rPr>
        <w:t>лансопразол</w:t>
      </w:r>
      <w:r w:rsidR="0089772D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B528AC">
        <w:rPr>
          <w:rFonts w:ascii="Times New Roman" w:hAnsi="Times New Roman"/>
          <w:sz w:val="28"/>
          <w:szCs w:val="28"/>
          <w:lang w:val="uk-UA"/>
        </w:rPr>
        <w:t xml:space="preserve"> - 30 мг </w:t>
      </w:r>
      <w:r w:rsidR="0089772D">
        <w:rPr>
          <w:rFonts w:ascii="Times New Roman" w:hAnsi="Times New Roman"/>
          <w:sz w:val="28"/>
          <w:szCs w:val="28"/>
          <w:lang w:val="uk-UA"/>
        </w:rPr>
        <w:t>двічі</w:t>
      </w:r>
      <w:r w:rsidRPr="00B528AC">
        <w:rPr>
          <w:rFonts w:ascii="Times New Roman" w:hAnsi="Times New Roman"/>
          <w:sz w:val="28"/>
          <w:szCs w:val="28"/>
          <w:lang w:val="uk-UA"/>
        </w:rPr>
        <w:t xml:space="preserve"> на добу або 60 мг одноразово; </w:t>
      </w:r>
      <w:proofErr w:type="spellStart"/>
      <w:r w:rsidRPr="00B528AC">
        <w:rPr>
          <w:rFonts w:ascii="Times New Roman" w:hAnsi="Times New Roman"/>
          <w:sz w:val="28"/>
          <w:szCs w:val="28"/>
          <w:lang w:val="uk-UA"/>
        </w:rPr>
        <w:t>пантопразолу</w:t>
      </w:r>
      <w:proofErr w:type="spellEnd"/>
      <w:r w:rsidRPr="00B528AC">
        <w:rPr>
          <w:rFonts w:ascii="Times New Roman" w:hAnsi="Times New Roman"/>
          <w:sz w:val="28"/>
          <w:szCs w:val="28"/>
          <w:lang w:val="uk-UA"/>
        </w:rPr>
        <w:t xml:space="preserve"> - 40 мг </w:t>
      </w:r>
      <w:r w:rsidR="0089772D">
        <w:rPr>
          <w:rFonts w:ascii="Times New Roman" w:hAnsi="Times New Roman"/>
          <w:sz w:val="28"/>
          <w:szCs w:val="28"/>
          <w:lang w:val="uk-UA"/>
        </w:rPr>
        <w:t>двічі</w:t>
      </w:r>
      <w:r w:rsidR="0089772D" w:rsidRPr="00B528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28AC">
        <w:rPr>
          <w:rFonts w:ascii="Times New Roman" w:hAnsi="Times New Roman"/>
          <w:sz w:val="28"/>
          <w:szCs w:val="28"/>
          <w:lang w:val="uk-UA"/>
        </w:rPr>
        <w:t>на добу або 80 мг одноразово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рабепразолу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- 10 мг </w:t>
      </w:r>
      <w:r w:rsidR="0089772D">
        <w:rPr>
          <w:rFonts w:ascii="Times New Roman" w:hAnsi="Times New Roman"/>
          <w:sz w:val="28"/>
          <w:szCs w:val="28"/>
          <w:lang w:val="uk-UA"/>
        </w:rPr>
        <w:t>двічі</w:t>
      </w:r>
      <w:r w:rsidR="0089772D"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на добу або 20 мг одноразово;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езомепразол</w:t>
      </w:r>
      <w:r w:rsidR="0089772D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- 20 мг </w:t>
      </w:r>
      <w:r w:rsidR="0089772D">
        <w:rPr>
          <w:rFonts w:ascii="Times New Roman" w:hAnsi="Times New Roman"/>
          <w:sz w:val="28"/>
          <w:szCs w:val="28"/>
          <w:lang w:val="uk-UA"/>
        </w:rPr>
        <w:t>двічі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на добу або 40 мг одноразово. При необхідності дози ІПП можуть бути збільшені [26].</w:t>
      </w:r>
    </w:p>
    <w:p w:rsidR="008922EB" w:rsidRPr="00341EDD" w:rsidRDefault="008922EB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lastRenderedPageBreak/>
        <w:t>У 1974 р</w:t>
      </w:r>
      <w:r w:rsidR="0089772D">
        <w:rPr>
          <w:rFonts w:ascii="Times New Roman" w:hAnsi="Times New Roman"/>
          <w:sz w:val="28"/>
          <w:szCs w:val="28"/>
          <w:lang w:val="uk-UA"/>
        </w:rPr>
        <w:t>.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був синтезований перший ІПП. З того часу створено цілий ряд поколінь цих препаратів. Хоча за результатами досліджень кожне наступне покоління ІПП відрізняється «в середньому» ви</w:t>
      </w:r>
      <w:r w:rsidR="00135EA5">
        <w:rPr>
          <w:rFonts w:ascii="Times New Roman" w:hAnsi="Times New Roman"/>
          <w:sz w:val="28"/>
          <w:szCs w:val="28"/>
          <w:lang w:val="uk-UA"/>
        </w:rPr>
        <w:t>щ</w:t>
      </w:r>
      <w:r w:rsidRPr="00341EDD">
        <w:rPr>
          <w:rFonts w:ascii="Times New Roman" w:hAnsi="Times New Roman"/>
          <w:sz w:val="28"/>
          <w:szCs w:val="28"/>
          <w:lang w:val="uk-UA"/>
        </w:rPr>
        <w:t>ою активністю і тривалістю ефекту, на реальну ефективність того чи іншого препарату впливає велика кількість чинників: індивідуальні особливості секреторного апарату в цілому (</w:t>
      </w:r>
      <w:r w:rsidR="0089772D">
        <w:rPr>
          <w:rFonts w:ascii="Times New Roman" w:hAnsi="Times New Roman"/>
          <w:sz w:val="28"/>
          <w:szCs w:val="28"/>
          <w:lang w:val="uk-UA"/>
        </w:rPr>
        <w:t xml:space="preserve">так званий </w:t>
      </w:r>
      <w:proofErr w:type="spellStart"/>
      <w:r w:rsidR="0089772D">
        <w:rPr>
          <w:rFonts w:ascii="Times New Roman" w:hAnsi="Times New Roman"/>
          <w:sz w:val="28"/>
          <w:szCs w:val="28"/>
          <w:lang w:val="uk-UA"/>
        </w:rPr>
        <w:t>г</w:t>
      </w:r>
      <w:r w:rsidRPr="00341EDD">
        <w:rPr>
          <w:rFonts w:ascii="Times New Roman" w:hAnsi="Times New Roman"/>
          <w:sz w:val="28"/>
          <w:szCs w:val="28"/>
          <w:lang w:val="uk-UA"/>
        </w:rPr>
        <w:t>іперсекреторний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статус), рецепторів на поверхні парієтальних клітин, а також метаболізму (в т. ч. різна інтенсивність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мікросомального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окислення в печінці). Слід також враховувати можливість вироблення антитіл до препарату [2, 13, 14].</w:t>
      </w:r>
    </w:p>
    <w:p w:rsidR="008922EB" w:rsidRPr="00341EDD" w:rsidRDefault="008922EB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На фармацевтичному ринку доступний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.</w:t>
      </w:r>
    </w:p>
    <w:p w:rsidR="008922EB" w:rsidRPr="00341EDD" w:rsidRDefault="008922EB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ІПП розрізняються по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біодоступності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. Наприклад,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біодоступність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омепразолу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знижується при повторному прийомі,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езомепразолу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- зростає. Перевагою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є стабільно висока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біодоступність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9772D">
        <w:rPr>
          <w:rFonts w:ascii="Times New Roman" w:hAnsi="Times New Roman"/>
          <w:sz w:val="28"/>
          <w:szCs w:val="28"/>
          <w:lang w:val="uk-UA"/>
        </w:rPr>
        <w:t>тобто в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она не змінюється в залежності від того, чи прийняв пацієнт препарат перший, другий або більше разів. Важливо також, що на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біодоступність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не впливає прийом їжі </w:t>
      </w:r>
      <w:r w:rsidR="0089772D">
        <w:rPr>
          <w:rFonts w:ascii="Times New Roman" w:hAnsi="Times New Roman"/>
          <w:sz w:val="28"/>
          <w:szCs w:val="28"/>
          <w:lang w:val="uk-UA"/>
        </w:rPr>
        <w:t>й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антацидів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[2, 15, 39].</w:t>
      </w:r>
    </w:p>
    <w:p w:rsidR="0013614E" w:rsidRPr="00341EDD" w:rsidRDefault="008922EB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випускається у формі таблеток по 20 мг і 40 мг, вкритих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ентеросолюбільно</w:t>
      </w:r>
      <w:r w:rsidR="0089772D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оболонкою, що запобігає його руйнуванн</w:t>
      </w:r>
      <w:r w:rsidR="0089772D">
        <w:rPr>
          <w:rFonts w:ascii="Times New Roman" w:hAnsi="Times New Roman"/>
          <w:sz w:val="28"/>
          <w:szCs w:val="28"/>
          <w:lang w:val="uk-UA"/>
        </w:rPr>
        <w:t>ю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соляною кислотою в шлунку. Після перорального застосування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швидко всмоктується, потім він піддається незначному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пресистемному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метаболізму. Абсолютна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біодоступність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при пероральному введенні становить 77% [34]. Для парентерального введення використовують флакони, що містять 40 мг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.</w:t>
      </w:r>
    </w:p>
    <w:p w:rsidR="008922EB" w:rsidRPr="00341EDD" w:rsidRDefault="008922EB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(на відміну від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омепразолу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72D">
        <w:rPr>
          <w:rFonts w:ascii="Times New Roman" w:hAnsi="Times New Roman"/>
          <w:sz w:val="28"/>
          <w:szCs w:val="28"/>
          <w:lang w:val="uk-UA"/>
        </w:rPr>
        <w:t>й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езомепразол</w:t>
      </w:r>
      <w:r w:rsidR="0089772D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) не </w:t>
      </w:r>
      <w:r w:rsidR="0089772D">
        <w:rPr>
          <w:rFonts w:ascii="Times New Roman" w:hAnsi="Times New Roman"/>
          <w:sz w:val="28"/>
          <w:szCs w:val="28"/>
          <w:lang w:val="uk-UA"/>
        </w:rPr>
        <w:t>акумулюється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в організмі після прийому повторних доз [4, 10, 34].</w:t>
      </w:r>
    </w:p>
    <w:p w:rsidR="008922EB" w:rsidRPr="00341EDD" w:rsidRDefault="008922EB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ІПП надходять в організм людини у вигляді попередників, а потім проходять певну активацію, перетворюючись в канальцях парієтальних клітин в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тетрациклічни</w:t>
      </w:r>
      <w:r w:rsidR="0089772D">
        <w:rPr>
          <w:rFonts w:ascii="Times New Roman" w:hAnsi="Times New Roman"/>
          <w:sz w:val="28"/>
          <w:szCs w:val="28"/>
          <w:lang w:val="uk-UA"/>
        </w:rPr>
        <w:t>й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сульфенамід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який необоротно блокує активність протонної помпи, зв'язуючись з молекулами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цистину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зв'язується з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цистином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в положенні 813 і 822. Саме такий зв'язок має ключове значення для гальмування активності транспортної системи. На відміну від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</w:t>
      </w:r>
      <w:r w:rsidR="00D32E31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омепразол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зв'язується з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цистином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в положенні 892 і 813,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лансопразол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- 321, 813 і 892 [2].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- єдиний ІПП, що зв'язується з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цистином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822, розташованим глибоко в транспортному домені протонної помпи, внаслідок чого він стає недоступним для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глутатіону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2B5AA0">
        <w:rPr>
          <w:rFonts w:ascii="Times New Roman" w:hAnsi="Times New Roman"/>
          <w:sz w:val="28"/>
          <w:szCs w:val="28"/>
          <w:lang w:val="uk-UA"/>
        </w:rPr>
        <w:t>д</w:t>
      </w:r>
      <w:r w:rsidR="002B5AA0" w:rsidRPr="002B5AA0">
        <w:rPr>
          <w:rFonts w:ascii="Times New Roman" w:hAnsi="Times New Roman"/>
          <w:sz w:val="28"/>
          <w:szCs w:val="28"/>
          <w:lang w:val="uk-UA"/>
        </w:rPr>
        <w:t>и</w:t>
      </w:r>
      <w:r w:rsidRPr="002B5AA0">
        <w:rPr>
          <w:rFonts w:ascii="Times New Roman" w:hAnsi="Times New Roman"/>
          <w:sz w:val="28"/>
          <w:szCs w:val="28"/>
          <w:lang w:val="uk-UA"/>
        </w:rPr>
        <w:t>тіотреїтолу</w:t>
      </w:r>
      <w:proofErr w:type="spellEnd"/>
      <w:r w:rsidRPr="002B5AA0">
        <w:rPr>
          <w:rFonts w:ascii="Times New Roman" w:hAnsi="Times New Roman"/>
          <w:sz w:val="28"/>
          <w:szCs w:val="28"/>
          <w:lang w:val="uk-UA"/>
        </w:rPr>
        <w:t>,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які здатні усунути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інгібування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. Тому передбачається, що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має тривал</w:t>
      </w:r>
      <w:r w:rsidR="00135EA5">
        <w:rPr>
          <w:rFonts w:ascii="Times New Roman" w:hAnsi="Times New Roman"/>
          <w:sz w:val="28"/>
          <w:szCs w:val="28"/>
          <w:lang w:val="uk-UA"/>
        </w:rPr>
        <w:t>іш</w:t>
      </w:r>
      <w:r w:rsidRPr="00341EDD">
        <w:rPr>
          <w:rFonts w:ascii="Times New Roman" w:hAnsi="Times New Roman"/>
          <w:sz w:val="28"/>
          <w:szCs w:val="28"/>
          <w:lang w:val="uk-UA"/>
        </w:rPr>
        <w:t>у дію, ніж інші ІПП [4, 6, 34].</w:t>
      </w:r>
    </w:p>
    <w:p w:rsidR="008922EB" w:rsidRPr="00341EDD" w:rsidRDefault="008922EB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>З цим же пов'язаний тривал</w:t>
      </w:r>
      <w:r w:rsidR="00135EA5">
        <w:rPr>
          <w:rFonts w:ascii="Times New Roman" w:hAnsi="Times New Roman"/>
          <w:sz w:val="28"/>
          <w:szCs w:val="28"/>
          <w:lang w:val="uk-UA"/>
        </w:rPr>
        <w:t>іш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ий період, необхідний для відновлення секреції соляної кислоти після прийому ІПП. Так, для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лансопразол</w:t>
      </w:r>
      <w:r w:rsidR="0089772D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час відновлення шлункової секреції становить близько 15 годин, для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омепразолу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рабепразол</w:t>
      </w:r>
      <w:r w:rsidR="0089772D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- близько 30 годин, а для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- приблизно 46 годин [47]. Т</w:t>
      </w:r>
      <w:r w:rsidR="00B312B1">
        <w:rPr>
          <w:rFonts w:ascii="Times New Roman" w:hAnsi="Times New Roman"/>
          <w:sz w:val="28"/>
          <w:szCs w:val="28"/>
          <w:lang w:val="uk-UA"/>
        </w:rPr>
        <w:t xml:space="preserve">обто </w:t>
      </w:r>
      <w:proofErr w:type="spellStart"/>
      <w:r w:rsidR="00B312B1">
        <w:rPr>
          <w:rFonts w:ascii="Times New Roman" w:hAnsi="Times New Roman"/>
          <w:sz w:val="28"/>
          <w:szCs w:val="28"/>
          <w:lang w:val="uk-UA"/>
        </w:rPr>
        <w:t>п</w:t>
      </w:r>
      <w:r w:rsidRPr="00341EDD">
        <w:rPr>
          <w:rFonts w:ascii="Times New Roman" w:hAnsi="Times New Roman"/>
          <w:sz w:val="28"/>
          <w:szCs w:val="28"/>
          <w:lang w:val="uk-UA"/>
        </w:rPr>
        <w:t>антопразол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забезпечує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найтривал</w:t>
      </w:r>
      <w:r w:rsidR="00B312B1">
        <w:rPr>
          <w:rFonts w:ascii="Times New Roman" w:hAnsi="Times New Roman"/>
          <w:sz w:val="28"/>
          <w:szCs w:val="28"/>
          <w:lang w:val="uk-UA"/>
        </w:rPr>
        <w:t>іш</w:t>
      </w:r>
      <w:r w:rsidRPr="00341EDD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кислотознижувальні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ефект. Тривале пригнічення продукції соляної кислоти дозволяє уникати «нічного кислотного прориву» або різкого підйому кислотності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рефлюксата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при пропуску пацієнтом чергового прийому препарату [12].</w:t>
      </w:r>
    </w:p>
    <w:p w:rsidR="008922EB" w:rsidRPr="00341EDD" w:rsidRDefault="008922EB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lastRenderedPageBreak/>
        <w:t xml:space="preserve">Саме ця особливість визначає більшу клінічну ефективність препарату в порівнянні з іншими ІПП, оцінену по відсотку пацієнтів з </w:t>
      </w:r>
      <w:proofErr w:type="spellStart"/>
      <w:r w:rsidR="00B312B1">
        <w:rPr>
          <w:rFonts w:ascii="Times New Roman" w:hAnsi="Times New Roman"/>
          <w:sz w:val="28"/>
          <w:szCs w:val="28"/>
          <w:lang w:val="uk-UA"/>
        </w:rPr>
        <w:t>купіруваною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печією і загальному відсотку успішного лікування ГЕР</w:t>
      </w:r>
      <w:r w:rsidR="00B312B1">
        <w:rPr>
          <w:rFonts w:ascii="Times New Roman" w:hAnsi="Times New Roman"/>
          <w:sz w:val="28"/>
          <w:szCs w:val="28"/>
          <w:lang w:val="uk-UA"/>
        </w:rPr>
        <w:t>Х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[9, 43, 45].</w:t>
      </w:r>
    </w:p>
    <w:p w:rsidR="008922EB" w:rsidRPr="00341EDD" w:rsidRDefault="008922EB" w:rsidP="0051044C">
      <w:pPr>
        <w:spacing w:after="0" w:line="240" w:lineRule="auto"/>
        <w:ind w:firstLine="340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>У нейтральному середовищі з помірною кислотністю (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pH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= 3,5-7,4)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vitro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стабільніш</w:t>
      </w:r>
      <w:r w:rsidR="00B312B1">
        <w:rPr>
          <w:rFonts w:ascii="Times New Roman" w:hAnsi="Times New Roman"/>
          <w:sz w:val="28"/>
          <w:szCs w:val="28"/>
          <w:lang w:val="uk-UA"/>
        </w:rPr>
        <w:t>ий від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омепразолу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лансопразолу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і особливо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рабепразолу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, при</w:t>
      </w:r>
      <w:r w:rsidRPr="00341EDD">
        <w:rPr>
          <w:rFonts w:ascii="Times New Roman" w:hAnsi="Times New Roman"/>
          <w:color w:val="002060"/>
          <w:sz w:val="28"/>
          <w:szCs w:val="28"/>
          <w:lang w:val="uk-UA"/>
        </w:rPr>
        <w:t xml:space="preserve"> </w:t>
      </w:r>
    </w:p>
    <w:p w:rsidR="008922EB" w:rsidRPr="00341EDD" w:rsidRDefault="008922EB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pH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= 5,1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напівперіод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хімічної активації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(4,7 години) більше, ніж у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омепразолу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лансопразолу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рабепразолу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(1,4; 1,5; 0,12 години відповідно), при цьому всі чотири лікарськ</w:t>
      </w:r>
      <w:r w:rsidR="001E6115">
        <w:rPr>
          <w:rFonts w:ascii="Times New Roman" w:hAnsi="Times New Roman"/>
          <w:sz w:val="28"/>
          <w:szCs w:val="28"/>
          <w:lang w:val="uk-UA"/>
        </w:rPr>
        <w:t>і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речовини в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сильнокисл</w:t>
      </w:r>
      <w:r w:rsidR="001E6115">
        <w:rPr>
          <w:rFonts w:ascii="Times New Roman" w:hAnsi="Times New Roman"/>
          <w:sz w:val="28"/>
          <w:szCs w:val="28"/>
          <w:lang w:val="uk-UA"/>
        </w:rPr>
        <w:t>ому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середовищі (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pH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= 1,2) швидко перетворювалися в активні форми (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напівперіод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активації 4,6; 2,8; 2,0; 1,3 хвилин</w:t>
      </w:r>
      <w:r w:rsidR="001E6115">
        <w:rPr>
          <w:rFonts w:ascii="Times New Roman" w:hAnsi="Times New Roman"/>
          <w:sz w:val="28"/>
          <w:szCs w:val="28"/>
          <w:lang w:val="uk-UA"/>
        </w:rPr>
        <w:t>и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відповідно). </w:t>
      </w:r>
      <w:r w:rsidR="00135EA5">
        <w:rPr>
          <w:rFonts w:ascii="Times New Roman" w:hAnsi="Times New Roman"/>
          <w:sz w:val="28"/>
          <w:szCs w:val="28"/>
          <w:lang w:val="uk-UA"/>
        </w:rPr>
        <w:t>В</w:t>
      </w:r>
      <w:r w:rsidRPr="00341EDD">
        <w:rPr>
          <w:rFonts w:ascii="Times New Roman" w:hAnsi="Times New Roman"/>
          <w:sz w:val="28"/>
          <w:szCs w:val="28"/>
          <w:lang w:val="uk-UA"/>
        </w:rPr>
        <w:t>и</w:t>
      </w:r>
      <w:r w:rsidR="00135EA5">
        <w:rPr>
          <w:rFonts w:ascii="Times New Roman" w:hAnsi="Times New Roman"/>
          <w:sz w:val="28"/>
          <w:szCs w:val="28"/>
          <w:lang w:val="uk-UA"/>
        </w:rPr>
        <w:t>ща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pH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-селективність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</w:t>
      </w:r>
      <w:r w:rsidR="001E6115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означає, що він, на відміну від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омепразолу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лансопразолу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рабепразолу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з меншою ймовірністю буде накопичуватися в організмі або активуватися в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помірно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кислому середовищі (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pH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= 3-5), наприклад в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лізосомах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в пізніх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ендосома</w:t>
      </w:r>
      <w:r w:rsidR="001E6115">
        <w:rPr>
          <w:rFonts w:ascii="Times New Roman" w:hAnsi="Times New Roman"/>
          <w:sz w:val="28"/>
          <w:szCs w:val="28"/>
          <w:lang w:val="uk-UA"/>
        </w:rPr>
        <w:t>х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і мікросередовищі під поверхнею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адгезивних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макрофагів і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остеокластів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[42].</w:t>
      </w:r>
    </w:p>
    <w:p w:rsidR="008922EB" w:rsidRPr="00341EDD" w:rsidRDefault="008922EB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Таким чином, селективність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</w:t>
      </w:r>
      <w:r w:rsidR="001E6115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пояснює меншу кількість побічних ефектів і більшу безпеку препарату в порівнянні з іншими ІПП [11, 28, 46]. Ці якості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</w:t>
      </w:r>
      <w:r w:rsidR="001E6115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пояснюються ще й особливостями його метаболізму. Метаболізм ІПП відбувається в основному в печінці за участю цитохрому Р450, основними ізоферментами якого є CYP1A, CYP2C8-10, CYP2C19, CYP2D6 та CYP3A4. Ключовими </w:t>
      </w:r>
      <w:r w:rsidR="001E6115">
        <w:rPr>
          <w:rFonts w:ascii="Times New Roman" w:hAnsi="Times New Roman"/>
          <w:sz w:val="28"/>
          <w:szCs w:val="28"/>
          <w:lang w:val="uk-UA"/>
        </w:rPr>
        <w:t>і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зоферментами в деактивації ІПП є CYP2C19 і CYP3A4, що забезпечують процеси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гідроксилювання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деалкілування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. Метаболіти, що утворюються</w:t>
      </w:r>
      <w:r w:rsidR="001E6115">
        <w:rPr>
          <w:rFonts w:ascii="Times New Roman" w:hAnsi="Times New Roman"/>
          <w:sz w:val="28"/>
          <w:szCs w:val="28"/>
          <w:lang w:val="uk-UA"/>
        </w:rPr>
        <w:t>, є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неактивн</w:t>
      </w:r>
      <w:r w:rsidR="001E6115">
        <w:rPr>
          <w:rFonts w:ascii="Times New Roman" w:hAnsi="Times New Roman"/>
          <w:sz w:val="28"/>
          <w:szCs w:val="28"/>
          <w:lang w:val="uk-UA"/>
        </w:rPr>
        <w:t>ими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і виводяться з організму з сечею (на 80%).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є винятком: його метаболізм проходить без участі зазначених ізоферментів, а шляхом кон'югації (в першу чергу,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сульфатир</w:t>
      </w:r>
      <w:r w:rsidR="001E6115">
        <w:rPr>
          <w:rFonts w:ascii="Times New Roman" w:hAnsi="Times New Roman"/>
          <w:sz w:val="28"/>
          <w:szCs w:val="28"/>
          <w:lang w:val="uk-UA"/>
        </w:rPr>
        <w:t>у</w:t>
      </w:r>
      <w:r w:rsidRPr="00341EDD">
        <w:rPr>
          <w:rFonts w:ascii="Times New Roman" w:hAnsi="Times New Roman"/>
          <w:sz w:val="28"/>
          <w:szCs w:val="28"/>
          <w:lang w:val="uk-UA"/>
        </w:rPr>
        <w:t>ван</w:t>
      </w:r>
      <w:r w:rsidR="001E6115">
        <w:rPr>
          <w:rFonts w:ascii="Times New Roman" w:hAnsi="Times New Roman"/>
          <w:sz w:val="28"/>
          <w:szCs w:val="28"/>
          <w:lang w:val="uk-UA"/>
        </w:rPr>
        <w:t>н</w:t>
      </w:r>
      <w:r w:rsidRPr="00341EDD">
        <w:rPr>
          <w:rFonts w:ascii="Times New Roman" w:hAnsi="Times New Roman"/>
          <w:sz w:val="28"/>
          <w:szCs w:val="28"/>
          <w:lang w:val="uk-UA"/>
        </w:rPr>
        <w:t>я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), що забезпечує незначний вплив препарату на метаболізм інших лікарських засобів. Цим же, ймовірно, пояснюється постійна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біодоступність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після першого застосування [2, 4, 24].</w:t>
      </w:r>
    </w:p>
    <w:p w:rsidR="008922EB" w:rsidRPr="00341EDD" w:rsidRDefault="008922EB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У здорових добровольців не було відзначено клінічно значущих лікарських взаємодій між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пантопразолом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і цілим рядом інших лікарських засобів. Не було відзначено також впливу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на концентрацію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циклоспорину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або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такролімусу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в крові у пацієнтів, які перенесли трансплантацію нирки [34].</w:t>
      </w:r>
    </w:p>
    <w:p w:rsidR="008922EB" w:rsidRPr="00341EDD" w:rsidRDefault="008922EB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Відсутність «перехрещення» метаболізму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та інших препаратів є значною перевагою. При лікуванні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пантопразолом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лікар</w:t>
      </w:r>
    </w:p>
    <w:p w:rsidR="008922EB" w:rsidRPr="00341EDD" w:rsidRDefault="008922EB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може бути впевнений у відсутності ризику передозування або в зменшенні ефекту інших препаратів. У безлічі досліджень показано, що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не впливає на метаболізм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клопідогрелю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глібенкламіду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ніфедипіну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діазепаму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диклофенаку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карбамазепіну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варфарину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теофіліну і широкого кола інших препаратів (табл. 2). У зв'язку з цим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вважають найбезпечн</w:t>
      </w:r>
      <w:r w:rsidR="001C39B8">
        <w:rPr>
          <w:rFonts w:ascii="Times New Roman" w:hAnsi="Times New Roman"/>
          <w:sz w:val="28"/>
          <w:szCs w:val="28"/>
          <w:lang w:val="uk-UA"/>
        </w:rPr>
        <w:t>іш</w:t>
      </w:r>
      <w:r w:rsidRPr="00341EDD">
        <w:rPr>
          <w:rFonts w:ascii="Times New Roman" w:hAnsi="Times New Roman"/>
          <w:sz w:val="28"/>
          <w:szCs w:val="28"/>
          <w:lang w:val="uk-UA"/>
        </w:rPr>
        <w:t>им ІПП [9, 25, 29, 33].</w:t>
      </w:r>
    </w:p>
    <w:p w:rsidR="008922EB" w:rsidRPr="00341EDD" w:rsidRDefault="008922EB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В сучасних клінічних посібниках більшості пацієнтів, які перенесли гострий інфаркт міокарда, рекомендують прийом препаратів ацетилсаліцилової кислоти, багато з них також </w:t>
      </w:r>
      <w:r w:rsidR="00452E0C">
        <w:rPr>
          <w:rFonts w:ascii="Times New Roman" w:hAnsi="Times New Roman"/>
          <w:sz w:val="28"/>
          <w:szCs w:val="28"/>
          <w:lang w:val="uk-UA"/>
        </w:rPr>
        <w:t>приймають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клопідогрель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і ІПП [30]. Прийом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не асоціювався з</w:t>
      </w:r>
      <w:r w:rsidR="00452E0C" w:rsidRPr="00341EDD">
        <w:rPr>
          <w:rFonts w:ascii="Times New Roman" w:hAnsi="Times New Roman"/>
          <w:sz w:val="28"/>
          <w:szCs w:val="28"/>
          <w:lang w:val="uk-UA"/>
        </w:rPr>
        <w:t>і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збільшенням ризику повторного інфаркту міокарда у пацієнтів, що приймають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клопідогрель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в зв'язку з тим, що він не </w:t>
      </w:r>
      <w:r w:rsidRPr="00341EDD">
        <w:rPr>
          <w:rFonts w:ascii="Times New Roman" w:hAnsi="Times New Roman"/>
          <w:sz w:val="28"/>
          <w:szCs w:val="28"/>
          <w:lang w:val="uk-UA"/>
        </w:rPr>
        <w:lastRenderedPageBreak/>
        <w:t>пригнічує цитохром Р450 2С19, і, навпаки, використання інших ІПП було асоційоване зі збільшенням ризику повторного інфаркту міокарда на 40% протягом 90 днів після виписки [36]. У той же час, FDA (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Food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Drug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Administration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) рекомендує уникати одночасного прийому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клопідогрелю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з іншими препаратами, які інгібують CYP2C19 (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омепразол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езомепразол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) [51].</w:t>
      </w:r>
    </w:p>
    <w:p w:rsidR="008922EB" w:rsidRPr="00341EDD" w:rsidRDefault="008922EB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>Відсутн</w:t>
      </w:r>
      <w:r w:rsidR="00452E0C">
        <w:rPr>
          <w:rFonts w:ascii="Times New Roman" w:hAnsi="Times New Roman"/>
          <w:sz w:val="28"/>
          <w:szCs w:val="28"/>
          <w:lang w:val="uk-UA"/>
        </w:rPr>
        <w:t>іми є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повідомлення про клінічно значущ</w:t>
      </w:r>
      <w:r w:rsidR="00452E0C">
        <w:rPr>
          <w:rFonts w:ascii="Times New Roman" w:hAnsi="Times New Roman"/>
          <w:sz w:val="28"/>
          <w:szCs w:val="28"/>
          <w:lang w:val="uk-UA"/>
        </w:rPr>
        <w:t>і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змін</w:t>
      </w:r>
      <w:r w:rsidR="00452E0C">
        <w:rPr>
          <w:rFonts w:ascii="Times New Roman" w:hAnsi="Times New Roman"/>
          <w:sz w:val="28"/>
          <w:szCs w:val="28"/>
          <w:lang w:val="uk-UA"/>
        </w:rPr>
        <w:t>и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фармакокінетики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в осіб похилого віку або у пацієнтів з тяжкою нирковою недостатністю. Таким чином, у пацієнтів даних груп немає необхідності в корекції дози [16, 33].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в дозі 40-120 мг на добу при пероральному застосуванні тривалістю до 5 років добре переносився пацієнтами з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кислотозалежни</w:t>
      </w:r>
      <w:r w:rsidR="00452E0C">
        <w:rPr>
          <w:rFonts w:ascii="Times New Roman" w:hAnsi="Times New Roman"/>
          <w:sz w:val="28"/>
          <w:szCs w:val="28"/>
          <w:lang w:val="uk-UA"/>
        </w:rPr>
        <w:t>ми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захворюван</w:t>
      </w:r>
      <w:r w:rsidR="00452E0C">
        <w:rPr>
          <w:rFonts w:ascii="Times New Roman" w:hAnsi="Times New Roman"/>
          <w:sz w:val="28"/>
          <w:szCs w:val="28"/>
          <w:lang w:val="uk-UA"/>
        </w:rPr>
        <w:t>нями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, включаючи хворих з тяжким цирозом печінки [33]. Через два роки лікування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пантопразолом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в дозі 40-80 мг на добу не відзначалося суттєвих змін кількості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ентерохромафіноподобних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клітин в слизовій оболонці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шлунка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[33].</w:t>
      </w:r>
    </w:p>
    <w:p w:rsidR="008922EB" w:rsidRPr="00341EDD" w:rsidRDefault="008922EB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При пероральному застосуванні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в дозі 40-120 мг на добу добре переноситься пацієнтами як при короткочасному (менше 8 тижнів), так і при тривалому (понад 4 роки) лікуванні [31, 34].</w:t>
      </w:r>
    </w:p>
    <w:p w:rsidR="008922EB" w:rsidRPr="00341EDD" w:rsidRDefault="008922EB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в схемах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ерадикаційної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терапії виявляється ефективн</w:t>
      </w:r>
      <w:r w:rsidR="001C39B8">
        <w:rPr>
          <w:rFonts w:ascii="Times New Roman" w:hAnsi="Times New Roman"/>
          <w:sz w:val="28"/>
          <w:szCs w:val="28"/>
          <w:lang w:val="uk-UA"/>
        </w:rPr>
        <w:t>іш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им, ніж інші ІПП [9], при цьому ефективність загоєння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гастродуоденальних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виразок з успішною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ерадикацією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Helicobacter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pylori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через 4 тижні лікування становить 88-91%, а через 8 тижнів - 98-100% [39].</w:t>
      </w:r>
    </w:p>
    <w:p w:rsidR="008922EB" w:rsidRPr="00341EDD" w:rsidRDefault="008922EB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швидше</w:t>
      </w:r>
      <w:r w:rsidR="00494011">
        <w:rPr>
          <w:rFonts w:ascii="Times New Roman" w:hAnsi="Times New Roman"/>
          <w:sz w:val="28"/>
          <w:szCs w:val="28"/>
          <w:lang w:val="uk-UA"/>
        </w:rPr>
        <w:t>, ніж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езомепразол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усу</w:t>
      </w:r>
      <w:r w:rsidR="00494011">
        <w:rPr>
          <w:rFonts w:ascii="Times New Roman" w:hAnsi="Times New Roman"/>
          <w:sz w:val="28"/>
          <w:szCs w:val="28"/>
          <w:lang w:val="uk-UA"/>
        </w:rPr>
        <w:t>ває денні та нічні симптоми ГЕРХ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[25, 50].</w:t>
      </w:r>
    </w:p>
    <w:p w:rsidR="008922EB" w:rsidRPr="00341EDD" w:rsidRDefault="008922EB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Підтримуюча терапія ГЕРХ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пантопразолом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в дозі 20 мг або 40 мг на добу протягом 12-24 місяців і більше безпечна і запобігає розвитку рецидивів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рефлюкс-езофагіту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у більшості пацієнтів [20, 22, 31, 33, 38, 49].</w:t>
      </w:r>
    </w:p>
    <w:p w:rsidR="008922EB" w:rsidRPr="00341EDD" w:rsidRDefault="008922EB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усуває прояви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бронхоспазму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, викликані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гастроезофагеальним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рефлюксом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, у більшості хворих</w:t>
      </w:r>
      <w:r w:rsidR="001C39B8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Pr="00341EDD">
        <w:rPr>
          <w:rFonts w:ascii="Times New Roman" w:hAnsi="Times New Roman"/>
          <w:sz w:val="28"/>
          <w:szCs w:val="28"/>
          <w:lang w:val="uk-UA"/>
        </w:rPr>
        <w:t>ГЕРХ (більше 80%) [32, 41, 48].</w:t>
      </w:r>
    </w:p>
    <w:p w:rsidR="008922EB" w:rsidRPr="00341EDD" w:rsidRDefault="008922EB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ефективний для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купірування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і профілактики виразкових кровотеч, а також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гастропат</w:t>
      </w:r>
      <w:r w:rsidR="00494011">
        <w:rPr>
          <w:rFonts w:ascii="Times New Roman" w:hAnsi="Times New Roman"/>
          <w:sz w:val="28"/>
          <w:szCs w:val="28"/>
          <w:lang w:val="uk-UA"/>
        </w:rPr>
        <w:t>і</w:t>
      </w:r>
      <w:r w:rsidRPr="00341EDD">
        <w:rPr>
          <w:rFonts w:ascii="Times New Roman" w:hAnsi="Times New Roman"/>
          <w:sz w:val="28"/>
          <w:szCs w:val="28"/>
          <w:lang w:val="uk-UA"/>
        </w:rPr>
        <w:t>й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, викликаних прийомом нестероїдних протизапальних засобів [40].</w:t>
      </w:r>
    </w:p>
    <w:p w:rsidR="008922EB" w:rsidRPr="00341EDD" w:rsidRDefault="008922EB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є високоефективним і безпечним ІПП. При цьому він має оптимальне співвідношення ціна / ефективність, що важливо для наших хворих [2, 25].</w:t>
      </w:r>
    </w:p>
    <w:p w:rsidR="008922EB" w:rsidRPr="00341EDD" w:rsidRDefault="008922EB" w:rsidP="0051044C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 xml:space="preserve">Таким чином,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, на наш погляд, є оптимальним ІПП для лікування ГЕР</w:t>
      </w:r>
      <w:r w:rsidR="00494011">
        <w:rPr>
          <w:rFonts w:ascii="Times New Roman" w:hAnsi="Times New Roman"/>
          <w:sz w:val="28"/>
          <w:szCs w:val="28"/>
          <w:lang w:val="uk-UA"/>
        </w:rPr>
        <w:t>Х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на тлі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Pr="00341EDD">
        <w:rPr>
          <w:rFonts w:ascii="Times New Roman" w:hAnsi="Times New Roman"/>
          <w:sz w:val="28"/>
          <w:szCs w:val="28"/>
          <w:lang w:val="uk-UA"/>
        </w:rPr>
        <w:t>, коли захворювання нерідко відрізняється наполеглив</w:t>
      </w:r>
      <w:r w:rsidR="00494011">
        <w:rPr>
          <w:rFonts w:ascii="Times New Roman" w:hAnsi="Times New Roman"/>
          <w:sz w:val="28"/>
          <w:szCs w:val="28"/>
          <w:lang w:val="uk-UA"/>
        </w:rPr>
        <w:t>им перебігом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, резистентністю до терапії [21, 35, 37, 52]. Як правило, хворі потребують призначення цілого ряду препаратів, метаболізм яких не страждає при прийомі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>. Част</w:t>
      </w:r>
      <w:r w:rsidR="00494011">
        <w:rPr>
          <w:rFonts w:ascii="Times New Roman" w:hAnsi="Times New Roman"/>
          <w:sz w:val="28"/>
          <w:szCs w:val="28"/>
          <w:lang w:val="uk-UA"/>
        </w:rPr>
        <w:t>ий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розвиток </w:t>
      </w:r>
      <w:proofErr w:type="spellStart"/>
      <w:r w:rsidR="00494011">
        <w:rPr>
          <w:rFonts w:ascii="Times New Roman" w:hAnsi="Times New Roman"/>
          <w:sz w:val="28"/>
          <w:szCs w:val="28"/>
          <w:lang w:val="uk-UA"/>
        </w:rPr>
        <w:t>позатрав</w:t>
      </w:r>
      <w:r w:rsidRPr="00341EDD">
        <w:rPr>
          <w:rFonts w:ascii="Times New Roman" w:hAnsi="Times New Roman"/>
          <w:sz w:val="28"/>
          <w:szCs w:val="28"/>
          <w:lang w:val="uk-UA"/>
        </w:rPr>
        <w:t>них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проявів ГЕРХ при наявності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 також визначає складність лікування. Вигідні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фармакоекономічні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характеристики </w:t>
      </w:r>
      <w:proofErr w:type="spellStart"/>
      <w:r w:rsidRPr="00341EDD">
        <w:rPr>
          <w:rFonts w:ascii="Times New Roman" w:hAnsi="Times New Roman"/>
          <w:sz w:val="28"/>
          <w:szCs w:val="28"/>
          <w:lang w:val="uk-UA"/>
        </w:rPr>
        <w:t>пантопразол</w:t>
      </w:r>
      <w:r w:rsidR="00494011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341EDD">
        <w:rPr>
          <w:rFonts w:ascii="Times New Roman" w:hAnsi="Times New Roman"/>
          <w:sz w:val="28"/>
          <w:szCs w:val="28"/>
          <w:lang w:val="uk-UA"/>
        </w:rPr>
        <w:t xml:space="preserve"> також вкрай важливі в цій ситуації.</w:t>
      </w:r>
    </w:p>
    <w:p w:rsidR="008922EB" w:rsidRPr="00341EDD" w:rsidRDefault="008922EB" w:rsidP="0051044C">
      <w:pPr>
        <w:spacing w:after="0" w:line="240" w:lineRule="auto"/>
        <w:ind w:firstLine="340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>Таблиця 1</w:t>
      </w:r>
    </w:p>
    <w:p w:rsidR="002B5AA0" w:rsidRPr="00341EDD" w:rsidRDefault="002B5AA0" w:rsidP="0051044C">
      <w:pPr>
        <w:spacing w:after="0" w:line="240" w:lineRule="auto"/>
        <w:ind w:firstLine="340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>Залежність характеру болю від механізму виникнення</w:t>
      </w:r>
    </w:p>
    <w:p w:rsidR="008727BD" w:rsidRPr="000005A3" w:rsidRDefault="002B5AA0" w:rsidP="0051044C">
      <w:pPr>
        <w:pStyle w:val="a7"/>
        <w:ind w:firstLine="340"/>
        <w:jc w:val="center"/>
        <w:rPr>
          <w:rFonts w:ascii="Times New Roman" w:hAnsi="Times New Roman"/>
          <w:sz w:val="28"/>
          <w:szCs w:val="28"/>
          <w:lang w:val="uk-UA"/>
        </w:rPr>
      </w:pPr>
      <w:r w:rsidRPr="000005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27BD" w:rsidRPr="000005A3">
        <w:rPr>
          <w:rFonts w:ascii="Times New Roman" w:hAnsi="Times New Roman"/>
          <w:sz w:val="28"/>
          <w:szCs w:val="28"/>
          <w:lang w:val="uk-UA"/>
        </w:rPr>
        <w:t>(</w:t>
      </w:r>
      <w:r w:rsidRPr="000005A3">
        <w:rPr>
          <w:rFonts w:ascii="Times New Roman" w:hAnsi="Times New Roman"/>
          <w:sz w:val="28"/>
          <w:szCs w:val="28"/>
          <w:lang w:val="uk-UA"/>
        </w:rPr>
        <w:t>за</w:t>
      </w:r>
      <w:r w:rsidR="008727BD" w:rsidRPr="000005A3">
        <w:rPr>
          <w:rFonts w:ascii="Times New Roman" w:hAnsi="Times New Roman"/>
          <w:sz w:val="28"/>
          <w:szCs w:val="28"/>
          <w:lang w:val="uk-UA"/>
        </w:rPr>
        <w:t xml:space="preserve"> В. С. </w:t>
      </w:r>
      <w:proofErr w:type="spellStart"/>
      <w:r w:rsidR="008727BD" w:rsidRPr="000005A3">
        <w:rPr>
          <w:rFonts w:ascii="Times New Roman" w:hAnsi="Times New Roman"/>
          <w:sz w:val="28"/>
          <w:szCs w:val="28"/>
          <w:lang w:val="uk-UA"/>
        </w:rPr>
        <w:t>Голочевс</w:t>
      </w:r>
      <w:r w:rsidRPr="000005A3">
        <w:rPr>
          <w:rFonts w:ascii="Times New Roman" w:hAnsi="Times New Roman"/>
          <w:sz w:val="28"/>
          <w:szCs w:val="28"/>
          <w:lang w:val="uk-UA"/>
        </w:rPr>
        <w:t>ькою</w:t>
      </w:r>
      <w:proofErr w:type="spellEnd"/>
      <w:r w:rsidR="008727BD" w:rsidRPr="000005A3">
        <w:rPr>
          <w:rFonts w:ascii="Times New Roman" w:hAnsi="Times New Roman"/>
          <w:sz w:val="28"/>
          <w:szCs w:val="28"/>
          <w:lang w:val="uk-UA"/>
        </w:rPr>
        <w:t>, 2009 [</w:t>
      </w:r>
      <w:r w:rsidR="00C62BB0">
        <w:fldChar w:fldCharType="begin"/>
      </w:r>
      <w:r w:rsidR="00C62BB0">
        <w:instrText xml:space="preserve"> REF _Ref473031222 \r \h  \* MERGEFORMAT </w:instrText>
      </w:r>
      <w:r w:rsidR="00C62BB0">
        <w:fldChar w:fldCharType="separate"/>
      </w:r>
      <w:r w:rsidR="008727BD" w:rsidRPr="000005A3">
        <w:t>5</w:t>
      </w:r>
      <w:r w:rsidR="00C62BB0">
        <w:fldChar w:fldCharType="end"/>
      </w:r>
      <w:r w:rsidR="008727BD" w:rsidRPr="000005A3">
        <w:rPr>
          <w:rFonts w:ascii="Times New Roman" w:hAnsi="Times New Roman"/>
          <w:sz w:val="28"/>
          <w:szCs w:val="28"/>
          <w:lang w:val="uk-UA"/>
        </w:rPr>
        <w:t>])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5"/>
        <w:gridCol w:w="2698"/>
      </w:tblGrid>
      <w:tr w:rsidR="008727BD" w:rsidRPr="000005A3" w:rsidTr="003362B4">
        <w:tc>
          <w:tcPr>
            <w:tcW w:w="8188" w:type="dxa"/>
          </w:tcPr>
          <w:p w:rsidR="008727BD" w:rsidRPr="000005A3" w:rsidRDefault="008727BD" w:rsidP="0051044C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005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Характер бол</w:t>
            </w:r>
            <w:r w:rsidR="002B5AA0" w:rsidRPr="000005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</w:t>
            </w:r>
          </w:p>
        </w:tc>
        <w:tc>
          <w:tcPr>
            <w:tcW w:w="2835" w:type="dxa"/>
          </w:tcPr>
          <w:p w:rsidR="008727BD" w:rsidRPr="000005A3" w:rsidRDefault="008727BD" w:rsidP="0051044C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005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</w:t>
            </w:r>
            <w:r w:rsidR="002B5AA0" w:rsidRPr="000005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хворювання</w:t>
            </w:r>
          </w:p>
        </w:tc>
      </w:tr>
      <w:tr w:rsidR="008727BD" w:rsidRPr="000005A3" w:rsidTr="003362B4">
        <w:tc>
          <w:tcPr>
            <w:tcW w:w="8188" w:type="dxa"/>
          </w:tcPr>
          <w:p w:rsidR="008727BD" w:rsidRPr="000005A3" w:rsidRDefault="002B5AA0" w:rsidP="005104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Нападоподібн</w:t>
            </w:r>
            <w:r w:rsidR="001C39B8"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proofErr w:type="spellEnd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ангінопод</w:t>
            </w:r>
            <w:r w:rsidR="001C39B8">
              <w:rPr>
                <w:rFonts w:ascii="Times New Roman" w:hAnsi="Times New Roman"/>
                <w:sz w:val="28"/>
                <w:szCs w:val="28"/>
                <w:lang w:val="uk-UA"/>
              </w:rPr>
              <w:t>ібний</w:t>
            </w:r>
            <w:proofErr w:type="spellEnd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 </w:t>
            </w:r>
            <w:proofErr w:type="spellStart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загруд</w:t>
            </w:r>
            <w:r w:rsidR="002426B7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нн</w:t>
            </w:r>
            <w:r w:rsidR="001C39B8"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proofErr w:type="spellEnd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</w:t>
            </w:r>
            <w:r w:rsidR="001C39B8">
              <w:rPr>
                <w:rFonts w:ascii="Times New Roman" w:hAnsi="Times New Roman"/>
                <w:sz w:val="28"/>
                <w:szCs w:val="28"/>
                <w:lang w:val="uk-UA"/>
              </w:rPr>
              <w:t>іль</w:t>
            </w:r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роздира</w:t>
            </w:r>
            <w:r w:rsidR="001C39B8">
              <w:rPr>
                <w:rFonts w:ascii="Times New Roman" w:hAnsi="Times New Roman"/>
                <w:sz w:val="28"/>
                <w:szCs w:val="28"/>
                <w:lang w:val="uk-UA"/>
              </w:rPr>
              <w:t>ючого</w:t>
            </w:r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характеру, </w:t>
            </w:r>
            <w:r w:rsidR="001C39B8">
              <w:rPr>
                <w:rFonts w:ascii="Times New Roman" w:hAnsi="Times New Roman"/>
                <w:sz w:val="28"/>
                <w:szCs w:val="28"/>
                <w:lang w:val="uk-UA"/>
              </w:rPr>
              <w:t>який ір</w:t>
            </w:r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рад</w:t>
            </w:r>
            <w:r w:rsidR="001C39B8">
              <w:rPr>
                <w:rFonts w:ascii="Times New Roman" w:hAnsi="Times New Roman"/>
                <w:sz w:val="28"/>
                <w:szCs w:val="28"/>
                <w:lang w:val="uk-UA"/>
              </w:rPr>
              <w:t>іює</w:t>
            </w:r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шию, щелепу, спину. Мож</w:t>
            </w:r>
            <w:r w:rsidR="001C39B8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супроводжуватися вегетативними проявами (відчуттям </w:t>
            </w:r>
            <w:r w:rsidR="003362B4">
              <w:rPr>
                <w:rFonts w:ascii="Times New Roman" w:hAnsi="Times New Roman"/>
                <w:sz w:val="28"/>
                <w:szCs w:val="28"/>
                <w:lang w:val="uk-UA"/>
              </w:rPr>
              <w:t>жару</w:t>
            </w:r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, пітливістю, тремтінням у тілі). Знімається нітрогліцерином, ковтком води, анальгетиками</w:t>
            </w:r>
          </w:p>
        </w:tc>
        <w:tc>
          <w:tcPr>
            <w:tcW w:w="2835" w:type="dxa"/>
          </w:tcPr>
          <w:p w:rsidR="008727BD" w:rsidRPr="000005A3" w:rsidRDefault="008727BD" w:rsidP="005104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Диск</w:t>
            </w:r>
            <w:r w:rsidR="002B5AA0" w:rsidRPr="000005A3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нез</w:t>
            </w:r>
            <w:r w:rsidR="002B5AA0" w:rsidRPr="000005A3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proofErr w:type="spellEnd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B5AA0" w:rsidRPr="000005A3">
              <w:rPr>
                <w:rFonts w:ascii="Times New Roman" w:hAnsi="Times New Roman"/>
                <w:sz w:val="28"/>
                <w:szCs w:val="28"/>
                <w:lang w:val="uk-UA"/>
              </w:rPr>
              <w:t>стравоходу</w:t>
            </w:r>
          </w:p>
          <w:p w:rsidR="008727BD" w:rsidRPr="000005A3" w:rsidRDefault="008727BD" w:rsidP="005104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Ахалаз</w:t>
            </w:r>
            <w:r w:rsidR="003362B4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proofErr w:type="spellEnd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кард</w:t>
            </w:r>
            <w:r w:rsidR="003362B4">
              <w:rPr>
                <w:rFonts w:ascii="Times New Roman" w:hAnsi="Times New Roman"/>
                <w:sz w:val="28"/>
                <w:szCs w:val="28"/>
                <w:lang w:val="uk-UA"/>
              </w:rPr>
              <w:t>ії</w:t>
            </w:r>
          </w:p>
          <w:p w:rsidR="008727BD" w:rsidRPr="000005A3" w:rsidRDefault="008727BD" w:rsidP="005104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ГСОД</w:t>
            </w:r>
          </w:p>
          <w:p w:rsidR="008727BD" w:rsidRPr="000005A3" w:rsidRDefault="008727BD" w:rsidP="005104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="000005A3"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0005A3" w:rsidRPr="000005A3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8727BD" w:rsidRPr="000005A3" w:rsidTr="003362B4">
        <w:tc>
          <w:tcPr>
            <w:tcW w:w="8188" w:type="dxa"/>
          </w:tcPr>
          <w:p w:rsidR="008727BD" w:rsidRPr="000005A3" w:rsidRDefault="000005A3" w:rsidP="005104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Загруд</w:t>
            </w:r>
            <w:r w:rsidR="003362B4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нний</w:t>
            </w:r>
            <w:proofErr w:type="spellEnd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біль пекучого характеру, що підсилюється в горизонтальному положенні або нахилі тулуба вперед. </w:t>
            </w:r>
            <w:proofErr w:type="spellStart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Купірується</w:t>
            </w:r>
            <w:proofErr w:type="spellEnd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зміною положення тіла, </w:t>
            </w:r>
            <w:proofErr w:type="spellStart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антацидами</w:t>
            </w:r>
            <w:proofErr w:type="spellEnd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8727BD" w:rsidRPr="000005A3" w:rsidRDefault="000005A3" w:rsidP="005104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ГЕРХ</w:t>
            </w:r>
          </w:p>
        </w:tc>
      </w:tr>
      <w:tr w:rsidR="008727BD" w:rsidRPr="000005A3" w:rsidTr="003362B4">
        <w:tc>
          <w:tcPr>
            <w:tcW w:w="8188" w:type="dxa"/>
          </w:tcPr>
          <w:p w:rsidR="008727BD" w:rsidRPr="000005A3" w:rsidRDefault="000005A3" w:rsidP="005104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Постійний тупий або пекучий біль за грудиною</w:t>
            </w:r>
          </w:p>
        </w:tc>
        <w:tc>
          <w:tcPr>
            <w:tcW w:w="2835" w:type="dxa"/>
          </w:tcPr>
          <w:p w:rsidR="008727BD" w:rsidRPr="000005A3" w:rsidRDefault="008727BD" w:rsidP="005104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Ахалаз</w:t>
            </w:r>
            <w:r w:rsidR="000005A3" w:rsidRPr="000005A3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proofErr w:type="spellEnd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кард</w:t>
            </w:r>
            <w:r w:rsidR="000005A3" w:rsidRPr="000005A3">
              <w:rPr>
                <w:rFonts w:ascii="Times New Roman" w:hAnsi="Times New Roman"/>
                <w:sz w:val="28"/>
                <w:szCs w:val="28"/>
                <w:lang w:val="uk-UA"/>
              </w:rPr>
              <w:t>ії</w:t>
            </w:r>
          </w:p>
          <w:p w:rsidR="008727BD" w:rsidRPr="000005A3" w:rsidRDefault="008727BD" w:rsidP="005104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Дивертикул</w:t>
            </w:r>
            <w:r w:rsidR="000005A3" w:rsidRPr="000005A3">
              <w:rPr>
                <w:rFonts w:ascii="Times New Roman" w:hAnsi="Times New Roman"/>
                <w:sz w:val="28"/>
                <w:szCs w:val="28"/>
                <w:lang w:val="uk-UA"/>
              </w:rPr>
              <w:t>іти</w:t>
            </w:r>
            <w:proofErr w:type="spellEnd"/>
          </w:p>
          <w:p w:rsidR="008727BD" w:rsidRPr="000005A3" w:rsidRDefault="000005A3" w:rsidP="005104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Пухлини стравоходу</w:t>
            </w:r>
          </w:p>
        </w:tc>
      </w:tr>
      <w:tr w:rsidR="008727BD" w:rsidRPr="000005A3" w:rsidTr="003362B4">
        <w:tc>
          <w:tcPr>
            <w:tcW w:w="8188" w:type="dxa"/>
          </w:tcPr>
          <w:p w:rsidR="008727BD" w:rsidRPr="000005A3" w:rsidRDefault="008727BD" w:rsidP="005104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Одинофаг</w:t>
            </w:r>
            <w:r w:rsidR="000005A3" w:rsidRPr="000005A3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proofErr w:type="spellEnd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005A3" w:rsidRPr="000005A3">
              <w:rPr>
                <w:rFonts w:ascii="Times New Roman" w:hAnsi="Times New Roman"/>
                <w:sz w:val="28"/>
                <w:szCs w:val="28"/>
                <w:lang w:val="uk-UA"/>
              </w:rPr>
              <w:t>(болючість при ковтанні)</w:t>
            </w:r>
          </w:p>
        </w:tc>
        <w:tc>
          <w:tcPr>
            <w:tcW w:w="2835" w:type="dxa"/>
          </w:tcPr>
          <w:p w:rsidR="008727BD" w:rsidRPr="000005A3" w:rsidRDefault="000005A3" w:rsidP="005104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="008727BD"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зофаг</w:t>
            </w:r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іти</w:t>
            </w:r>
            <w:proofErr w:type="spellEnd"/>
          </w:p>
          <w:p w:rsidR="008727BD" w:rsidRPr="000005A3" w:rsidRDefault="000005A3" w:rsidP="005104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Виразка стравоходу</w:t>
            </w:r>
          </w:p>
        </w:tc>
      </w:tr>
      <w:tr w:rsidR="008727BD" w:rsidRPr="000005A3" w:rsidTr="003362B4">
        <w:tc>
          <w:tcPr>
            <w:tcW w:w="8188" w:type="dxa"/>
          </w:tcPr>
          <w:p w:rsidR="008727BD" w:rsidRPr="000005A3" w:rsidRDefault="000005A3" w:rsidP="005104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Загрудинний</w:t>
            </w:r>
            <w:proofErr w:type="spellEnd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біль з почуттям розпирання в </w:t>
            </w:r>
            <w:proofErr w:type="spellStart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епігастрії</w:t>
            </w:r>
            <w:proofErr w:type="spellEnd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нестачі повітря, </w:t>
            </w:r>
            <w:r w:rsidR="00FE2AE8">
              <w:rPr>
                <w:rFonts w:ascii="Times New Roman" w:hAnsi="Times New Roman"/>
                <w:sz w:val="28"/>
                <w:szCs w:val="28"/>
                <w:lang w:val="uk-UA"/>
              </w:rPr>
              <w:t>минає</w:t>
            </w:r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після відрижки</w:t>
            </w:r>
          </w:p>
        </w:tc>
        <w:tc>
          <w:tcPr>
            <w:tcW w:w="2835" w:type="dxa"/>
          </w:tcPr>
          <w:p w:rsidR="008727BD" w:rsidRPr="000005A3" w:rsidRDefault="008727BD" w:rsidP="005104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0005A3" w:rsidRPr="000005A3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рофаг</w:t>
            </w:r>
            <w:r w:rsidR="000005A3" w:rsidRPr="000005A3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0005A3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proofErr w:type="spellEnd"/>
          </w:p>
        </w:tc>
      </w:tr>
    </w:tbl>
    <w:p w:rsidR="008727BD" w:rsidRPr="00341EDD" w:rsidRDefault="008727BD" w:rsidP="0051044C">
      <w:pPr>
        <w:spacing w:after="0" w:line="240" w:lineRule="auto"/>
        <w:ind w:firstLine="340"/>
        <w:rPr>
          <w:rFonts w:ascii="Times New Roman" w:hAnsi="Times New Roman"/>
          <w:color w:val="002060"/>
          <w:sz w:val="16"/>
          <w:szCs w:val="16"/>
          <w:lang w:val="uk-UA"/>
        </w:rPr>
      </w:pPr>
    </w:p>
    <w:p w:rsidR="00602746" w:rsidRPr="00341EDD" w:rsidRDefault="00602746" w:rsidP="0051044C">
      <w:pPr>
        <w:spacing w:after="0" w:line="240" w:lineRule="auto"/>
        <w:ind w:firstLine="340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>Таблиця 2</w:t>
      </w:r>
    </w:p>
    <w:p w:rsidR="00602746" w:rsidRPr="00341EDD" w:rsidRDefault="00602746" w:rsidP="0051044C">
      <w:pPr>
        <w:spacing w:after="0" w:line="240" w:lineRule="auto"/>
        <w:ind w:firstLine="340"/>
        <w:rPr>
          <w:rFonts w:ascii="Times New Roman" w:hAnsi="Times New Roman"/>
          <w:sz w:val="28"/>
          <w:szCs w:val="28"/>
          <w:lang w:val="uk-UA"/>
        </w:rPr>
      </w:pPr>
      <w:r w:rsidRPr="00341EDD">
        <w:rPr>
          <w:rFonts w:ascii="Times New Roman" w:hAnsi="Times New Roman"/>
          <w:sz w:val="28"/>
          <w:szCs w:val="28"/>
          <w:lang w:val="uk-UA"/>
        </w:rPr>
        <w:t>Взаємодії різних ІПП з іншими препаратами</w:t>
      </w:r>
    </w:p>
    <w:p w:rsidR="00602746" w:rsidRPr="00327C1A" w:rsidRDefault="00602746" w:rsidP="0051044C">
      <w:pPr>
        <w:spacing w:after="0" w:line="240" w:lineRule="auto"/>
        <w:ind w:firstLine="340"/>
        <w:jc w:val="center"/>
        <w:rPr>
          <w:rFonts w:ascii="Times New Roman" w:hAnsi="Times New Roman"/>
          <w:sz w:val="28"/>
          <w:szCs w:val="28"/>
          <w:lang w:val="en-US"/>
        </w:rPr>
      </w:pPr>
      <w:r w:rsidRPr="00602746">
        <w:rPr>
          <w:rFonts w:ascii="Times New Roman" w:hAnsi="Times New Roman"/>
          <w:sz w:val="28"/>
          <w:szCs w:val="28"/>
        </w:rPr>
        <w:t xml:space="preserve"> </w:t>
      </w:r>
      <w:r w:rsidRPr="00327C1A">
        <w:rPr>
          <w:rFonts w:ascii="Times New Roman" w:hAnsi="Times New Roman"/>
          <w:sz w:val="28"/>
          <w:szCs w:val="28"/>
          <w:lang w:val="en-US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за</w:t>
      </w:r>
      <w:r w:rsidRPr="00327C1A">
        <w:rPr>
          <w:rFonts w:ascii="Times New Roman" w:hAnsi="Times New Roman"/>
          <w:sz w:val="28"/>
          <w:szCs w:val="28"/>
          <w:lang w:val="en-US"/>
        </w:rPr>
        <w:t xml:space="preserve"> S. M. Cheer et al., 2003 [</w:t>
      </w:r>
      <w:r w:rsidR="00C62BB0">
        <w:fldChar w:fldCharType="begin"/>
      </w:r>
      <w:r w:rsidR="00C62BB0" w:rsidRPr="00F62419">
        <w:rPr>
          <w:lang w:val="en-US"/>
        </w:rPr>
        <w:instrText xml:space="preserve"> REF _Ref473031624 \r \h  \* MERGEFORMAT </w:instrText>
      </w:r>
      <w:r w:rsidR="00C62BB0">
        <w:fldChar w:fldCharType="separate"/>
      </w:r>
      <w:r w:rsidRPr="00327C1A">
        <w:rPr>
          <w:rFonts w:ascii="Times New Roman" w:hAnsi="Times New Roman"/>
          <w:sz w:val="28"/>
          <w:szCs w:val="28"/>
          <w:lang w:val="en-US"/>
        </w:rPr>
        <w:t>33</w:t>
      </w:r>
      <w:r w:rsidR="00C62BB0">
        <w:fldChar w:fldCharType="end"/>
      </w:r>
      <w:r w:rsidRPr="00327C1A">
        <w:rPr>
          <w:rFonts w:ascii="Times New Roman" w:hAnsi="Times New Roman"/>
          <w:sz w:val="28"/>
          <w:szCs w:val="28"/>
          <w:lang w:val="en-US"/>
        </w:rPr>
        <w:t>], A.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327C1A">
        <w:rPr>
          <w:rFonts w:ascii="Times New Roman" w:hAnsi="Times New Roman"/>
          <w:sz w:val="28"/>
          <w:szCs w:val="28"/>
          <w:lang w:val="en-US"/>
        </w:rPr>
        <w:t>Fitton et al., 1996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327C1A">
        <w:rPr>
          <w:rFonts w:ascii="Times New Roman" w:hAnsi="Times New Roman"/>
          <w:sz w:val="28"/>
          <w:szCs w:val="28"/>
          <w:lang w:val="en-US"/>
        </w:rPr>
        <w:t>[</w:t>
      </w:r>
      <w:r w:rsidR="00C62BB0">
        <w:fldChar w:fldCharType="begin"/>
      </w:r>
      <w:r w:rsidR="00C62BB0" w:rsidRPr="00F62419">
        <w:rPr>
          <w:lang w:val="en-US"/>
        </w:rPr>
        <w:instrText xml:space="preserve"> REF _Ref473032125 \r \h  \* MERGEFORMAT </w:instrText>
      </w:r>
      <w:r w:rsidR="00C62BB0">
        <w:fldChar w:fldCharType="separate"/>
      </w:r>
      <w:r w:rsidRPr="00327C1A">
        <w:rPr>
          <w:rFonts w:ascii="Times New Roman" w:hAnsi="Times New Roman"/>
          <w:sz w:val="28"/>
          <w:szCs w:val="28"/>
          <w:lang w:val="en-US"/>
        </w:rPr>
        <w:t>34</w:t>
      </w:r>
      <w:r w:rsidR="00C62BB0">
        <w:fldChar w:fldCharType="end"/>
      </w:r>
      <w:r w:rsidRPr="00327C1A">
        <w:rPr>
          <w:rFonts w:ascii="Times New Roman" w:hAnsi="Times New Roman"/>
          <w:sz w:val="28"/>
          <w:szCs w:val="28"/>
          <w:lang w:val="en-US"/>
        </w:rPr>
        <w:t>])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701"/>
        <w:gridCol w:w="1418"/>
        <w:gridCol w:w="1417"/>
        <w:gridCol w:w="1701"/>
      </w:tblGrid>
      <w:tr w:rsidR="00243BD4" w:rsidRPr="00327C1A" w:rsidTr="00243BD4">
        <w:trPr>
          <w:trHeight w:val="26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BD4" w:rsidRPr="00602746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46705">
              <w:rPr>
                <w:rFonts w:ascii="Times New Roman" w:hAnsi="Times New Roman"/>
                <w:b/>
                <w:sz w:val="28"/>
                <w:szCs w:val="28"/>
              </w:rPr>
              <w:t>Препарат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3BD4" w:rsidRPr="00346705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46705">
              <w:rPr>
                <w:rFonts w:ascii="Times New Roman" w:hAnsi="Times New Roman"/>
                <w:b/>
                <w:sz w:val="28"/>
                <w:szCs w:val="28"/>
              </w:rPr>
              <w:t>Панто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proofErr w:type="spellStart"/>
            <w:r w:rsidRPr="00346705">
              <w:rPr>
                <w:rFonts w:ascii="Times New Roman" w:hAnsi="Times New Roman"/>
                <w:b/>
                <w:sz w:val="28"/>
                <w:szCs w:val="28"/>
              </w:rPr>
              <w:t>празол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3BD4" w:rsidRPr="00346705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6705">
              <w:rPr>
                <w:rFonts w:ascii="Times New Roman" w:hAnsi="Times New Roman"/>
                <w:b/>
                <w:sz w:val="28"/>
                <w:szCs w:val="28"/>
              </w:rPr>
              <w:t>Оме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proofErr w:type="spellStart"/>
            <w:r w:rsidRPr="00346705">
              <w:rPr>
                <w:rFonts w:ascii="Times New Roman" w:hAnsi="Times New Roman"/>
                <w:b/>
                <w:sz w:val="28"/>
                <w:szCs w:val="28"/>
              </w:rPr>
              <w:t>празол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43BD4" w:rsidRPr="00346705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46705">
              <w:rPr>
                <w:rFonts w:ascii="Times New Roman" w:hAnsi="Times New Roman"/>
                <w:b/>
                <w:sz w:val="28"/>
                <w:szCs w:val="28"/>
              </w:rPr>
              <w:t>Лансо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proofErr w:type="spellStart"/>
            <w:r w:rsidRPr="00346705">
              <w:rPr>
                <w:rFonts w:ascii="Times New Roman" w:hAnsi="Times New Roman"/>
                <w:b/>
                <w:sz w:val="28"/>
                <w:szCs w:val="28"/>
              </w:rPr>
              <w:t>празол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3BD4" w:rsidRPr="00346705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</w:t>
            </w:r>
            <w:proofErr w:type="spellStart"/>
            <w:r w:rsidRPr="00346705">
              <w:rPr>
                <w:rFonts w:ascii="Times New Roman" w:hAnsi="Times New Roman"/>
                <w:b/>
                <w:sz w:val="28"/>
                <w:szCs w:val="28"/>
              </w:rPr>
              <w:t>зоме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proofErr w:type="spellStart"/>
            <w:r w:rsidRPr="00346705">
              <w:rPr>
                <w:rFonts w:ascii="Times New Roman" w:hAnsi="Times New Roman"/>
                <w:b/>
                <w:sz w:val="28"/>
                <w:szCs w:val="28"/>
              </w:rPr>
              <w:t>празол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3BD4" w:rsidRPr="00346705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46705">
              <w:rPr>
                <w:rFonts w:ascii="Times New Roman" w:hAnsi="Times New Roman"/>
                <w:b/>
                <w:sz w:val="28"/>
                <w:szCs w:val="28"/>
              </w:rPr>
              <w:t>Рабепразол</w:t>
            </w:r>
            <w:proofErr w:type="spellEnd"/>
          </w:p>
        </w:tc>
      </w:tr>
      <w:tr w:rsidR="00243BD4" w:rsidRPr="00327C1A" w:rsidTr="00243BD4">
        <w:trPr>
          <w:trHeight w:val="398"/>
        </w:trPr>
        <w:tc>
          <w:tcPr>
            <w:tcW w:w="16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43BD4" w:rsidRPr="00602746" w:rsidRDefault="00243BD4" w:rsidP="0051044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proofErr w:type="spellStart"/>
            <w:r w:rsidRPr="00346705">
              <w:rPr>
                <w:rFonts w:ascii="Times New Roman" w:hAnsi="Times New Roman"/>
                <w:i/>
                <w:sz w:val="28"/>
                <w:szCs w:val="28"/>
              </w:rPr>
              <w:t>Проти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е</w:t>
            </w:r>
            <w:r w:rsidRPr="00346705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і-</w:t>
            </w:r>
            <w:proofErr w:type="spellStart"/>
            <w:r w:rsidRPr="00346705">
              <w:rPr>
                <w:rFonts w:ascii="Times New Roman" w:hAnsi="Times New Roman"/>
                <w:i/>
                <w:sz w:val="28"/>
                <w:szCs w:val="28"/>
              </w:rPr>
              <w:t>лепти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чні</w:t>
            </w:r>
            <w:proofErr w:type="spellEnd"/>
            <w:r w:rsidRPr="0034670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засоби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BD4" w:rsidRPr="00327C1A" w:rsidTr="00243BD4">
        <w:trPr>
          <w:trHeight w:val="225"/>
        </w:trPr>
        <w:tc>
          <w:tcPr>
            <w:tcW w:w="1668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C1A">
              <w:rPr>
                <w:rFonts w:ascii="Times New Roman" w:hAnsi="Times New Roman"/>
                <w:sz w:val="28"/>
                <w:szCs w:val="28"/>
              </w:rPr>
              <w:t>Карбамазе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27C1A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43BD4" w:rsidRPr="00C11797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↓ Кл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327C1A">
              <w:rPr>
                <w:rFonts w:ascii="Times New Roman" w:hAnsi="Times New Roman"/>
                <w:sz w:val="28"/>
                <w:szCs w:val="28"/>
              </w:rPr>
              <w:t>ренс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</w:tr>
      <w:tr w:rsidR="00243BD4" w:rsidRPr="00327C1A" w:rsidTr="00243BD4">
        <w:tc>
          <w:tcPr>
            <w:tcW w:w="1668" w:type="dxa"/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Фен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327C1A">
              <w:rPr>
                <w:rFonts w:ascii="Times New Roman" w:hAnsi="Times New Roman"/>
                <w:sz w:val="28"/>
                <w:szCs w:val="28"/>
              </w:rPr>
              <w:t>то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ї</w:t>
            </w: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1417" w:type="dxa"/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701" w:type="dxa"/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↓ Кл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327C1A">
              <w:rPr>
                <w:rFonts w:ascii="Times New Roman" w:hAnsi="Times New Roman"/>
                <w:sz w:val="28"/>
                <w:szCs w:val="28"/>
              </w:rPr>
              <w:t>ренс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↓ Кл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327C1A">
              <w:rPr>
                <w:rFonts w:ascii="Times New Roman" w:hAnsi="Times New Roman"/>
                <w:sz w:val="28"/>
                <w:szCs w:val="28"/>
              </w:rPr>
              <w:t>ренс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</w:tr>
      <w:tr w:rsidR="00243BD4" w:rsidRPr="00327C1A" w:rsidTr="00243BD4">
        <w:tc>
          <w:tcPr>
            <w:tcW w:w="1668" w:type="dxa"/>
            <w:tcBorders>
              <w:bottom w:val="single" w:sz="4" w:space="0" w:color="000000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327C1A">
              <w:rPr>
                <w:rFonts w:ascii="Times New Roman" w:hAnsi="Times New Roman"/>
                <w:sz w:val="28"/>
                <w:szCs w:val="28"/>
              </w:rPr>
              <w:t>азепам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↓ Кл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327C1A">
              <w:rPr>
                <w:rFonts w:ascii="Times New Roman" w:hAnsi="Times New Roman"/>
                <w:sz w:val="28"/>
                <w:szCs w:val="28"/>
              </w:rPr>
              <w:t>ренс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↓ Кл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327C1A">
              <w:rPr>
                <w:rFonts w:ascii="Times New Roman" w:hAnsi="Times New Roman"/>
                <w:sz w:val="28"/>
                <w:szCs w:val="28"/>
              </w:rPr>
              <w:t>ренс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</w:tr>
      <w:tr w:rsidR="00243BD4" w:rsidRPr="00327C1A" w:rsidTr="00243BD4">
        <w:tc>
          <w:tcPr>
            <w:tcW w:w="1668" w:type="dxa"/>
            <w:tcBorders>
              <w:bottom w:val="nil"/>
            </w:tcBorders>
            <w:shd w:val="clear" w:color="auto" w:fill="auto"/>
          </w:tcPr>
          <w:p w:rsidR="00243BD4" w:rsidRPr="00602746" w:rsidRDefault="00243BD4" w:rsidP="0051044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46705">
              <w:rPr>
                <w:rFonts w:ascii="Times New Roman" w:hAnsi="Times New Roman"/>
                <w:i/>
                <w:sz w:val="28"/>
                <w:szCs w:val="28"/>
              </w:rPr>
              <w:t>Сер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цеві</w:t>
            </w:r>
            <w:proofErr w:type="spellEnd"/>
            <w:r w:rsidRPr="00346705">
              <w:rPr>
                <w:rFonts w:ascii="Times New Roman" w:hAnsi="Times New Roman"/>
                <w:i/>
                <w:sz w:val="28"/>
                <w:szCs w:val="28"/>
              </w:rPr>
              <w:t xml:space="preserve"> препарат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и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BD4" w:rsidRPr="00327C1A" w:rsidTr="00243BD4">
        <w:tc>
          <w:tcPr>
            <w:tcW w:w="1668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C1A">
              <w:rPr>
                <w:rFonts w:ascii="Times New Roman" w:hAnsi="Times New Roman"/>
                <w:sz w:val="28"/>
                <w:szCs w:val="28"/>
              </w:rPr>
              <w:t>Метопро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327C1A">
              <w:rPr>
                <w:rFonts w:ascii="Times New Roman" w:hAnsi="Times New Roman"/>
                <w:sz w:val="28"/>
                <w:szCs w:val="28"/>
              </w:rPr>
              <w:t>лол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</w:tr>
      <w:tr w:rsidR="00243BD4" w:rsidRPr="00327C1A" w:rsidTr="00243BD4">
        <w:tc>
          <w:tcPr>
            <w:tcW w:w="1668" w:type="dxa"/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327C1A">
              <w:rPr>
                <w:rFonts w:ascii="Times New Roman" w:hAnsi="Times New Roman"/>
                <w:sz w:val="28"/>
                <w:szCs w:val="28"/>
              </w:rPr>
              <w:t>федип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1417" w:type="dxa"/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701" w:type="dxa"/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↑</w:t>
            </w:r>
            <w:proofErr w:type="spellStart"/>
            <w:r w:rsidRPr="00327C1A">
              <w:rPr>
                <w:rFonts w:ascii="Times New Roman" w:hAnsi="Times New Roman"/>
                <w:sz w:val="28"/>
                <w:szCs w:val="28"/>
              </w:rPr>
              <w:t>Абсорбц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327C1A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↓ Кл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327C1A">
              <w:rPr>
                <w:rFonts w:ascii="Times New Roman" w:hAnsi="Times New Roman"/>
                <w:sz w:val="28"/>
                <w:szCs w:val="28"/>
              </w:rPr>
              <w:t>ренс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417" w:type="dxa"/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701" w:type="dxa"/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</w:tr>
      <w:tr w:rsidR="00243BD4" w:rsidRPr="00327C1A" w:rsidTr="00243BD4">
        <w:tc>
          <w:tcPr>
            <w:tcW w:w="1668" w:type="dxa"/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C1A">
              <w:rPr>
                <w:rFonts w:ascii="Times New Roman" w:hAnsi="Times New Roman"/>
                <w:sz w:val="28"/>
                <w:szCs w:val="28"/>
              </w:rPr>
              <w:t>Варфарин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701" w:type="dxa"/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↓ Кл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327C1A">
              <w:rPr>
                <w:rFonts w:ascii="Times New Roman" w:hAnsi="Times New Roman"/>
                <w:sz w:val="28"/>
                <w:szCs w:val="28"/>
              </w:rPr>
              <w:t>ренс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↓ Кл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327C1A">
              <w:rPr>
                <w:rFonts w:ascii="Times New Roman" w:hAnsi="Times New Roman"/>
                <w:sz w:val="28"/>
                <w:szCs w:val="28"/>
              </w:rPr>
              <w:t>ренс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</w:tr>
      <w:tr w:rsidR="00243BD4" w:rsidRPr="00327C1A" w:rsidTr="00243BD4">
        <w:trPr>
          <w:trHeight w:val="368"/>
        </w:trPr>
        <w:tc>
          <w:tcPr>
            <w:tcW w:w="1668" w:type="dxa"/>
            <w:tcBorders>
              <w:bottom w:val="single" w:sz="4" w:space="0" w:color="000000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C1A">
              <w:rPr>
                <w:rFonts w:ascii="Times New Roman" w:hAnsi="Times New Roman"/>
                <w:sz w:val="28"/>
                <w:szCs w:val="28"/>
              </w:rPr>
              <w:t>Дигоксин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 xml:space="preserve">↑ </w:t>
            </w:r>
            <w:proofErr w:type="spellStart"/>
            <w:r w:rsidRPr="00327C1A">
              <w:rPr>
                <w:rFonts w:ascii="Times New Roman" w:hAnsi="Times New Roman"/>
                <w:sz w:val="28"/>
                <w:szCs w:val="28"/>
              </w:rPr>
              <w:t>Абсорбц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327C1A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 xml:space="preserve">↑ </w:t>
            </w:r>
            <w:proofErr w:type="spellStart"/>
            <w:r w:rsidRPr="00327C1A">
              <w:rPr>
                <w:rFonts w:ascii="Times New Roman" w:hAnsi="Times New Roman"/>
                <w:sz w:val="28"/>
                <w:szCs w:val="28"/>
              </w:rPr>
              <w:t>Абсорбц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327C1A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243BD4" w:rsidRPr="00327C1A" w:rsidTr="00243BD4">
        <w:tc>
          <w:tcPr>
            <w:tcW w:w="1668" w:type="dxa"/>
            <w:tcBorders>
              <w:bottom w:val="nil"/>
            </w:tcBorders>
            <w:shd w:val="clear" w:color="auto" w:fill="auto"/>
          </w:tcPr>
          <w:p w:rsidR="00243BD4" w:rsidRPr="00346705" w:rsidRDefault="00243BD4" w:rsidP="0051044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346705">
              <w:rPr>
                <w:rFonts w:ascii="Times New Roman" w:hAnsi="Times New Roman"/>
                <w:i/>
                <w:sz w:val="28"/>
                <w:szCs w:val="28"/>
              </w:rPr>
              <w:t>Анальгети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чні</w:t>
            </w:r>
            <w:proofErr w:type="spellEnd"/>
            <w:r w:rsidRPr="0034670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засоби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BD4" w:rsidRPr="00327C1A" w:rsidTr="00243BD4">
        <w:tc>
          <w:tcPr>
            <w:tcW w:w="1668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C1A">
              <w:rPr>
                <w:rFonts w:ascii="Times New Roman" w:hAnsi="Times New Roman"/>
                <w:sz w:val="28"/>
                <w:szCs w:val="28"/>
              </w:rPr>
              <w:t>Диклофе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327C1A">
              <w:rPr>
                <w:rFonts w:ascii="Times New Roman" w:hAnsi="Times New Roman"/>
                <w:sz w:val="28"/>
                <w:szCs w:val="28"/>
              </w:rPr>
              <w:t>нак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</w:tr>
      <w:tr w:rsidR="00243BD4" w:rsidRPr="00327C1A" w:rsidTr="00243BD4">
        <w:tc>
          <w:tcPr>
            <w:tcW w:w="1668" w:type="dxa"/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C1A">
              <w:rPr>
                <w:rFonts w:ascii="Times New Roman" w:hAnsi="Times New Roman"/>
                <w:sz w:val="28"/>
                <w:szCs w:val="28"/>
              </w:rPr>
              <w:t>Напроксен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701" w:type="dxa"/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418" w:type="dxa"/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417" w:type="dxa"/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701" w:type="dxa"/>
            <w:shd w:val="clear" w:color="auto" w:fill="auto"/>
          </w:tcPr>
          <w:p w:rsidR="00243BD4" w:rsidRPr="00327C1A" w:rsidRDefault="00243BD4" w:rsidP="0051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</w:tr>
      <w:tr w:rsidR="00243BD4" w:rsidRPr="00327C1A" w:rsidTr="00243BD4">
        <w:tc>
          <w:tcPr>
            <w:tcW w:w="1668" w:type="dxa"/>
            <w:tcBorders>
              <w:bottom w:val="single" w:sz="4" w:space="0" w:color="000000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327C1A">
              <w:rPr>
                <w:rFonts w:ascii="Times New Roman" w:hAnsi="Times New Roman"/>
                <w:sz w:val="28"/>
                <w:szCs w:val="28"/>
              </w:rPr>
              <w:t>роксикам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</w:tr>
      <w:tr w:rsidR="00243BD4" w:rsidRPr="00327C1A" w:rsidTr="00243BD4">
        <w:tc>
          <w:tcPr>
            <w:tcW w:w="1668" w:type="dxa"/>
            <w:tcBorders>
              <w:bottom w:val="nil"/>
            </w:tcBorders>
            <w:shd w:val="clear" w:color="auto" w:fill="auto"/>
          </w:tcPr>
          <w:p w:rsidR="00243BD4" w:rsidRPr="00346705" w:rsidRDefault="00243BD4" w:rsidP="00243BD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346705">
              <w:rPr>
                <w:rFonts w:ascii="Times New Roman" w:hAnsi="Times New Roman"/>
                <w:i/>
                <w:sz w:val="28"/>
                <w:szCs w:val="28"/>
              </w:rPr>
              <w:t>Протид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</w:t>
            </w:r>
            <w:r w:rsidRPr="00346705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-</w:t>
            </w:r>
            <w:proofErr w:type="spellStart"/>
            <w:r w:rsidRPr="00346705">
              <w:rPr>
                <w:rFonts w:ascii="Times New Roman" w:hAnsi="Times New Roman"/>
                <w:i/>
                <w:sz w:val="28"/>
                <w:szCs w:val="28"/>
              </w:rPr>
              <w:t>бетич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ні</w:t>
            </w:r>
            <w:r w:rsidRPr="0034670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засоби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BD4" w:rsidRPr="00327C1A" w:rsidTr="00243BD4">
        <w:tc>
          <w:tcPr>
            <w:tcW w:w="1668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C1A">
              <w:rPr>
                <w:rFonts w:ascii="Times New Roman" w:hAnsi="Times New Roman"/>
                <w:sz w:val="28"/>
                <w:szCs w:val="28"/>
              </w:rPr>
              <w:t>Гл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327C1A">
              <w:rPr>
                <w:rFonts w:ascii="Times New Roman" w:hAnsi="Times New Roman"/>
                <w:sz w:val="28"/>
                <w:szCs w:val="28"/>
              </w:rPr>
              <w:t>бенкла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27C1A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327C1A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 xml:space="preserve">о 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</w:tr>
      <w:tr w:rsidR="00243BD4" w:rsidRPr="00327C1A" w:rsidTr="00243BD4">
        <w:tc>
          <w:tcPr>
            <w:tcW w:w="1668" w:type="dxa"/>
            <w:shd w:val="clear" w:color="auto" w:fill="auto"/>
          </w:tcPr>
          <w:p w:rsidR="00243BD4" w:rsidRPr="00C11797" w:rsidRDefault="00243BD4" w:rsidP="00243BD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proofErr w:type="spellStart"/>
            <w:r w:rsidRPr="00346705">
              <w:rPr>
                <w:rFonts w:ascii="Times New Roman" w:hAnsi="Times New Roman"/>
                <w:i/>
                <w:sz w:val="28"/>
                <w:szCs w:val="28"/>
              </w:rPr>
              <w:t>Пероральн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</w:t>
            </w:r>
            <w:proofErr w:type="spellStart"/>
            <w:r w:rsidRPr="00346705">
              <w:rPr>
                <w:rFonts w:ascii="Times New Roman" w:hAnsi="Times New Roman"/>
                <w:i/>
                <w:sz w:val="28"/>
                <w:szCs w:val="28"/>
              </w:rPr>
              <w:t>контраце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-</w:t>
            </w:r>
            <w:proofErr w:type="spellStart"/>
            <w:r w:rsidRPr="00346705">
              <w:rPr>
                <w:rFonts w:ascii="Times New Roman" w:hAnsi="Times New Roman"/>
                <w:i/>
                <w:sz w:val="28"/>
                <w:szCs w:val="28"/>
              </w:rPr>
              <w:t>птив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и</w:t>
            </w:r>
          </w:p>
        </w:tc>
        <w:tc>
          <w:tcPr>
            <w:tcW w:w="1417" w:type="dxa"/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701" w:type="dxa"/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418" w:type="dxa"/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proofErr w:type="spellStart"/>
            <w:r w:rsidRPr="004168A6">
              <w:rPr>
                <w:rFonts w:ascii="Times New Roman" w:hAnsi="Times New Roman"/>
                <w:sz w:val="28"/>
                <w:szCs w:val="28"/>
              </w:rPr>
              <w:t>упереч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4168A6">
              <w:rPr>
                <w:rFonts w:ascii="Times New Roman" w:hAnsi="Times New Roman"/>
                <w:sz w:val="28"/>
                <w:szCs w:val="28"/>
              </w:rPr>
              <w:t>ливі</w:t>
            </w:r>
            <w:proofErr w:type="spellEnd"/>
            <w:r w:rsidRPr="004168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8A6">
              <w:rPr>
                <w:rFonts w:ascii="Times New Roman" w:hAnsi="Times New Roman"/>
                <w:sz w:val="28"/>
                <w:szCs w:val="28"/>
              </w:rPr>
              <w:t>резу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4168A6">
              <w:rPr>
                <w:rFonts w:ascii="Times New Roman" w:hAnsi="Times New Roman"/>
                <w:sz w:val="28"/>
                <w:szCs w:val="28"/>
              </w:rPr>
              <w:t>льтати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</w:tr>
      <w:tr w:rsidR="00243BD4" w:rsidRPr="00327C1A" w:rsidTr="00243BD4">
        <w:tc>
          <w:tcPr>
            <w:tcW w:w="1668" w:type="dxa"/>
            <w:tcBorders>
              <w:bottom w:val="single" w:sz="4" w:space="0" w:color="000000"/>
            </w:tcBorders>
            <w:shd w:val="clear" w:color="auto" w:fill="auto"/>
          </w:tcPr>
          <w:p w:rsidR="00243BD4" w:rsidRPr="00346705" w:rsidRDefault="00243BD4" w:rsidP="00243B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proofErr w:type="spellStart"/>
            <w:r w:rsidRPr="00346705">
              <w:rPr>
                <w:rFonts w:ascii="Times New Roman" w:hAnsi="Times New Roman"/>
                <w:sz w:val="28"/>
                <w:szCs w:val="28"/>
              </w:rPr>
              <w:t>танол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</w:tr>
      <w:tr w:rsidR="00243BD4" w:rsidRPr="00327C1A" w:rsidTr="00243BD4">
        <w:tc>
          <w:tcPr>
            <w:tcW w:w="1668" w:type="dxa"/>
            <w:tcBorders>
              <w:bottom w:val="nil"/>
            </w:tcBorders>
            <w:shd w:val="clear" w:color="auto" w:fill="auto"/>
          </w:tcPr>
          <w:p w:rsidR="00243BD4" w:rsidRPr="00346705" w:rsidRDefault="00243BD4" w:rsidP="00243BD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346705">
              <w:rPr>
                <w:rFonts w:ascii="Times New Roman" w:hAnsi="Times New Roman"/>
                <w:i/>
                <w:sz w:val="28"/>
                <w:szCs w:val="28"/>
              </w:rPr>
              <w:t>Протиаст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-</w:t>
            </w:r>
            <w:proofErr w:type="spellStart"/>
            <w:r w:rsidRPr="00346705">
              <w:rPr>
                <w:rFonts w:ascii="Times New Roman" w:hAnsi="Times New Roman"/>
                <w:i/>
                <w:sz w:val="28"/>
                <w:szCs w:val="28"/>
              </w:rPr>
              <w:t>матич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ні</w:t>
            </w:r>
            <w:r w:rsidRPr="0034670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засоби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BD4" w:rsidRPr="00327C1A" w:rsidTr="00243BD4">
        <w:tc>
          <w:tcPr>
            <w:tcW w:w="1668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C1A">
              <w:rPr>
                <w:rFonts w:ascii="Times New Roman" w:hAnsi="Times New Roman"/>
                <w:sz w:val="28"/>
                <w:szCs w:val="28"/>
              </w:rPr>
              <w:t>Теоф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327C1A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proofErr w:type="spellStart"/>
            <w:r w:rsidRPr="004168A6">
              <w:rPr>
                <w:rFonts w:ascii="Times New Roman" w:hAnsi="Times New Roman"/>
                <w:sz w:val="28"/>
                <w:szCs w:val="28"/>
              </w:rPr>
              <w:t>упереч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4168A6">
              <w:rPr>
                <w:rFonts w:ascii="Times New Roman" w:hAnsi="Times New Roman"/>
                <w:sz w:val="28"/>
                <w:szCs w:val="28"/>
              </w:rPr>
              <w:t>ливі</w:t>
            </w:r>
            <w:proofErr w:type="spellEnd"/>
            <w:r w:rsidRPr="004168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8A6">
              <w:rPr>
                <w:rFonts w:ascii="Times New Roman" w:hAnsi="Times New Roman"/>
                <w:sz w:val="28"/>
                <w:szCs w:val="28"/>
              </w:rPr>
              <w:t>резу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4168A6">
              <w:rPr>
                <w:rFonts w:ascii="Times New Roman" w:hAnsi="Times New Roman"/>
                <w:sz w:val="28"/>
                <w:szCs w:val="28"/>
              </w:rPr>
              <w:t>льтати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відом</w:t>
            </w:r>
            <w:proofErr w:type="spellEnd"/>
            <w:r w:rsidRPr="00327C1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43BD4" w:rsidRPr="00327C1A" w:rsidRDefault="00243BD4" w:rsidP="0024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C1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</w:tr>
    </w:tbl>
    <w:p w:rsidR="00602746" w:rsidRPr="00327C1A" w:rsidRDefault="00602746" w:rsidP="0051044C">
      <w:pPr>
        <w:spacing w:after="0" w:line="240" w:lineRule="auto"/>
        <w:ind w:firstLine="340"/>
        <w:rPr>
          <w:rFonts w:ascii="Times New Roman" w:hAnsi="Times New Roman"/>
          <w:sz w:val="28"/>
          <w:szCs w:val="28"/>
        </w:rPr>
      </w:pPr>
    </w:p>
    <w:p w:rsidR="003D3CFE" w:rsidRPr="004168A6" w:rsidRDefault="003D3CFE" w:rsidP="0051044C">
      <w:pPr>
        <w:spacing w:after="0" w:line="240" w:lineRule="auto"/>
        <w:ind w:firstLine="340"/>
        <w:rPr>
          <w:rFonts w:ascii="Times New Roman" w:hAnsi="Times New Roman"/>
          <w:b/>
          <w:sz w:val="28"/>
          <w:szCs w:val="28"/>
          <w:lang w:val="uk-UA"/>
        </w:rPr>
      </w:pPr>
      <w:r w:rsidRPr="004168A6">
        <w:rPr>
          <w:rFonts w:ascii="Times New Roman" w:hAnsi="Times New Roman"/>
          <w:b/>
          <w:sz w:val="28"/>
          <w:szCs w:val="28"/>
          <w:lang w:val="uk-UA"/>
        </w:rPr>
        <w:t>Л</w:t>
      </w:r>
      <w:r w:rsidR="004168A6" w:rsidRPr="004168A6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4168A6">
        <w:rPr>
          <w:rFonts w:ascii="Times New Roman" w:hAnsi="Times New Roman"/>
          <w:b/>
          <w:sz w:val="28"/>
          <w:szCs w:val="28"/>
          <w:lang w:val="uk-UA"/>
        </w:rPr>
        <w:t>тература</w:t>
      </w:r>
      <w:r w:rsidR="004168A6" w:rsidRPr="004168A6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4168A6" w:rsidRPr="004168A6" w:rsidRDefault="002B4596" w:rsidP="0051044C">
      <w:pPr>
        <w:spacing w:after="0" w:line="240" w:lineRule="auto"/>
        <w:ind w:firstLine="3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...............</w:t>
      </w:r>
    </w:p>
    <w:p w:rsidR="008922EB" w:rsidRPr="005474F4" w:rsidRDefault="008922EB" w:rsidP="0051044C">
      <w:pPr>
        <w:spacing w:after="0" w:line="240" w:lineRule="auto"/>
        <w:ind w:firstLine="340"/>
        <w:rPr>
          <w:rFonts w:ascii="Times New Roman" w:hAnsi="Times New Roman"/>
          <w:i/>
          <w:sz w:val="28"/>
          <w:szCs w:val="28"/>
          <w:lang w:val="uk-UA"/>
        </w:rPr>
      </w:pPr>
      <w:r w:rsidRPr="005474F4">
        <w:rPr>
          <w:rFonts w:ascii="Times New Roman" w:hAnsi="Times New Roman"/>
          <w:i/>
          <w:sz w:val="28"/>
          <w:szCs w:val="28"/>
          <w:lang w:val="uk-UA"/>
        </w:rPr>
        <w:t>Підписи до рисунків</w:t>
      </w:r>
    </w:p>
    <w:p w:rsidR="008922EB" w:rsidRPr="00341EDD" w:rsidRDefault="004168A6" w:rsidP="0051044C">
      <w:pPr>
        <w:spacing w:after="0" w:line="240" w:lineRule="auto"/>
        <w:ind w:firstLine="3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Рис</w:t>
      </w:r>
      <w:r w:rsidR="008922EB" w:rsidRPr="00341EDD">
        <w:rPr>
          <w:rFonts w:ascii="Times New Roman" w:hAnsi="Times New Roman"/>
          <w:sz w:val="28"/>
          <w:szCs w:val="28"/>
          <w:lang w:val="uk-UA"/>
        </w:rPr>
        <w:t xml:space="preserve">. 1. Короткий стравохід і аксіальна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="008922EB" w:rsidRPr="00341EDD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за</w:t>
      </w:r>
      <w:r w:rsidR="008922EB" w:rsidRPr="00341EDD">
        <w:rPr>
          <w:rFonts w:ascii="Times New Roman" w:hAnsi="Times New Roman"/>
          <w:sz w:val="28"/>
          <w:szCs w:val="28"/>
          <w:lang w:val="uk-UA"/>
        </w:rPr>
        <w:t xml:space="preserve"> F. H. </w:t>
      </w:r>
      <w:proofErr w:type="spellStart"/>
      <w:r w:rsidR="008922EB" w:rsidRPr="00341EDD">
        <w:rPr>
          <w:rFonts w:ascii="Times New Roman" w:hAnsi="Times New Roman"/>
          <w:sz w:val="28"/>
          <w:szCs w:val="28"/>
          <w:lang w:val="uk-UA"/>
        </w:rPr>
        <w:t>Netter</w:t>
      </w:r>
      <w:proofErr w:type="spellEnd"/>
      <w:r w:rsidR="008922EB" w:rsidRPr="00341EDD">
        <w:rPr>
          <w:rFonts w:ascii="Times New Roman" w:hAnsi="Times New Roman"/>
          <w:sz w:val="28"/>
          <w:szCs w:val="28"/>
          <w:lang w:val="uk-UA"/>
        </w:rPr>
        <w:t>, 2002 [44]).</w:t>
      </w:r>
    </w:p>
    <w:p w:rsidR="008922EB" w:rsidRPr="00341EDD" w:rsidRDefault="004168A6" w:rsidP="0051044C">
      <w:pPr>
        <w:spacing w:after="0" w:line="240" w:lineRule="auto"/>
        <w:ind w:firstLine="3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Рис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922EB" w:rsidRPr="00341EDD">
        <w:rPr>
          <w:rFonts w:ascii="Times New Roman" w:hAnsi="Times New Roman"/>
          <w:sz w:val="28"/>
          <w:szCs w:val="28"/>
          <w:lang w:val="uk-UA"/>
        </w:rPr>
        <w:t xml:space="preserve"> 2. Рентгенограма. Аксіальна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="008922EB" w:rsidRPr="00341EDD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за</w:t>
      </w:r>
      <w:r w:rsidR="008922EB" w:rsidRPr="00341EDD">
        <w:rPr>
          <w:rFonts w:ascii="Times New Roman" w:hAnsi="Times New Roman"/>
          <w:sz w:val="28"/>
          <w:szCs w:val="28"/>
          <w:lang w:val="uk-UA"/>
        </w:rPr>
        <w:t xml:space="preserve"> Я. Г. </w:t>
      </w:r>
      <w:proofErr w:type="spellStart"/>
      <w:r w:rsidR="008922EB" w:rsidRPr="00341EDD">
        <w:rPr>
          <w:rFonts w:ascii="Times New Roman" w:hAnsi="Times New Roman"/>
          <w:sz w:val="28"/>
          <w:szCs w:val="28"/>
          <w:lang w:val="uk-UA"/>
        </w:rPr>
        <w:t>Колк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8922EB" w:rsidRPr="00341EDD">
        <w:rPr>
          <w:rFonts w:ascii="Times New Roman" w:hAnsi="Times New Roman"/>
          <w:sz w:val="28"/>
          <w:szCs w:val="28"/>
          <w:lang w:val="uk-UA"/>
        </w:rPr>
        <w:t>н</w:t>
      </w:r>
      <w:r w:rsidR="00B30168">
        <w:rPr>
          <w:rFonts w:ascii="Times New Roman" w:hAnsi="Times New Roman"/>
          <w:sz w:val="28"/>
          <w:szCs w:val="28"/>
          <w:lang w:val="uk-UA"/>
        </w:rPr>
        <w:t>им</w:t>
      </w:r>
      <w:proofErr w:type="spellEnd"/>
      <w:r w:rsidR="008922EB" w:rsidRPr="00341EDD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2B4596">
        <w:rPr>
          <w:rFonts w:ascii="Times New Roman" w:hAnsi="Times New Roman"/>
          <w:sz w:val="28"/>
          <w:szCs w:val="28"/>
          <w:lang w:val="uk-UA"/>
        </w:rPr>
        <w:t>і</w:t>
      </w:r>
      <w:r w:rsidR="008922EB"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922EB" w:rsidRPr="00341EDD">
        <w:rPr>
          <w:rFonts w:ascii="Times New Roman" w:hAnsi="Times New Roman"/>
          <w:sz w:val="28"/>
          <w:szCs w:val="28"/>
          <w:lang w:val="uk-UA"/>
        </w:rPr>
        <w:t>співавт</w:t>
      </w:r>
      <w:proofErr w:type="spellEnd"/>
      <w:r w:rsidR="008922EB" w:rsidRPr="00341EDD">
        <w:rPr>
          <w:rFonts w:ascii="Times New Roman" w:hAnsi="Times New Roman"/>
          <w:sz w:val="28"/>
          <w:szCs w:val="28"/>
          <w:lang w:val="uk-UA"/>
        </w:rPr>
        <w:t>., 1996. [8]).</w:t>
      </w:r>
    </w:p>
    <w:p w:rsidR="008922EB" w:rsidRPr="00341EDD" w:rsidRDefault="004168A6" w:rsidP="0051044C">
      <w:pPr>
        <w:spacing w:after="0" w:line="240" w:lineRule="auto"/>
        <w:ind w:firstLine="3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Рис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922EB" w:rsidRPr="00341EDD">
        <w:rPr>
          <w:rFonts w:ascii="Times New Roman" w:hAnsi="Times New Roman"/>
          <w:sz w:val="28"/>
          <w:szCs w:val="28"/>
          <w:lang w:val="uk-UA"/>
        </w:rPr>
        <w:t xml:space="preserve"> 3. </w:t>
      </w:r>
      <w:proofErr w:type="spellStart"/>
      <w:r w:rsidR="008922EB" w:rsidRPr="00341EDD">
        <w:rPr>
          <w:rFonts w:ascii="Times New Roman" w:hAnsi="Times New Roman"/>
          <w:sz w:val="28"/>
          <w:szCs w:val="28"/>
          <w:lang w:val="uk-UA"/>
        </w:rPr>
        <w:t>Параезофагеальн</w:t>
      </w:r>
      <w:r w:rsidR="002B4596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="008922EB"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="008922EB" w:rsidRPr="00341EDD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за</w:t>
      </w:r>
      <w:r w:rsidR="008922EB" w:rsidRPr="00341EDD">
        <w:rPr>
          <w:rFonts w:ascii="Times New Roman" w:hAnsi="Times New Roman"/>
          <w:sz w:val="28"/>
          <w:szCs w:val="28"/>
          <w:lang w:val="uk-UA"/>
        </w:rPr>
        <w:t xml:space="preserve"> F. H. </w:t>
      </w:r>
      <w:proofErr w:type="spellStart"/>
      <w:r w:rsidR="008922EB" w:rsidRPr="00341EDD">
        <w:rPr>
          <w:rFonts w:ascii="Times New Roman" w:hAnsi="Times New Roman"/>
          <w:sz w:val="28"/>
          <w:szCs w:val="28"/>
          <w:lang w:val="uk-UA"/>
        </w:rPr>
        <w:t>Netter</w:t>
      </w:r>
      <w:proofErr w:type="spellEnd"/>
      <w:r w:rsidR="008922EB" w:rsidRPr="00341EDD">
        <w:rPr>
          <w:rFonts w:ascii="Times New Roman" w:hAnsi="Times New Roman"/>
          <w:sz w:val="28"/>
          <w:szCs w:val="28"/>
          <w:lang w:val="uk-UA"/>
        </w:rPr>
        <w:t>, 2002 [44]).</w:t>
      </w:r>
    </w:p>
    <w:p w:rsidR="008922EB" w:rsidRPr="00341EDD" w:rsidRDefault="004168A6" w:rsidP="0051044C">
      <w:pPr>
        <w:spacing w:after="0" w:line="240" w:lineRule="auto"/>
        <w:ind w:firstLine="3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Рис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922EB" w:rsidRPr="00341EDD">
        <w:rPr>
          <w:rFonts w:ascii="Times New Roman" w:hAnsi="Times New Roman"/>
          <w:sz w:val="28"/>
          <w:szCs w:val="28"/>
          <w:lang w:val="uk-UA"/>
        </w:rPr>
        <w:t xml:space="preserve">4. Рентгенограма. </w:t>
      </w:r>
      <w:proofErr w:type="spellStart"/>
      <w:r w:rsidR="008922EB" w:rsidRPr="00341EDD">
        <w:rPr>
          <w:rFonts w:ascii="Times New Roman" w:hAnsi="Times New Roman"/>
          <w:sz w:val="28"/>
          <w:szCs w:val="28"/>
          <w:lang w:val="uk-UA"/>
        </w:rPr>
        <w:t>Параезофагеальн</w:t>
      </w:r>
      <w:r w:rsidR="002B4596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="008922EB"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="008922EB" w:rsidRPr="00341EDD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за</w:t>
      </w:r>
      <w:r w:rsidR="008922EB" w:rsidRPr="00341EDD">
        <w:rPr>
          <w:rFonts w:ascii="Times New Roman" w:hAnsi="Times New Roman"/>
          <w:sz w:val="28"/>
          <w:szCs w:val="28"/>
          <w:lang w:val="uk-UA"/>
        </w:rPr>
        <w:t xml:space="preserve"> Я. Г. </w:t>
      </w:r>
      <w:proofErr w:type="spellStart"/>
      <w:r w:rsidR="008922EB" w:rsidRPr="00341EDD">
        <w:rPr>
          <w:rFonts w:ascii="Times New Roman" w:hAnsi="Times New Roman"/>
          <w:sz w:val="28"/>
          <w:szCs w:val="28"/>
          <w:lang w:val="uk-UA"/>
        </w:rPr>
        <w:t>Колк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8922EB" w:rsidRPr="00341EDD">
        <w:rPr>
          <w:rFonts w:ascii="Times New Roman" w:hAnsi="Times New Roman"/>
          <w:sz w:val="28"/>
          <w:szCs w:val="28"/>
          <w:lang w:val="uk-UA"/>
        </w:rPr>
        <w:t>н</w:t>
      </w:r>
      <w:r w:rsidR="00B30168">
        <w:rPr>
          <w:rFonts w:ascii="Times New Roman" w:hAnsi="Times New Roman"/>
          <w:sz w:val="28"/>
          <w:szCs w:val="28"/>
          <w:lang w:val="uk-UA"/>
        </w:rPr>
        <w:t>им</w:t>
      </w:r>
      <w:proofErr w:type="spellEnd"/>
      <w:r w:rsidR="008922EB" w:rsidRPr="00341EDD">
        <w:rPr>
          <w:rFonts w:ascii="Times New Roman" w:hAnsi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8922EB"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922EB" w:rsidRPr="00341EDD">
        <w:rPr>
          <w:rFonts w:ascii="Times New Roman" w:hAnsi="Times New Roman"/>
          <w:sz w:val="28"/>
          <w:szCs w:val="28"/>
          <w:lang w:val="uk-UA"/>
        </w:rPr>
        <w:t>співавт</w:t>
      </w:r>
      <w:proofErr w:type="spellEnd"/>
      <w:r w:rsidR="008922EB" w:rsidRPr="00341EDD">
        <w:rPr>
          <w:rFonts w:ascii="Times New Roman" w:hAnsi="Times New Roman"/>
          <w:sz w:val="28"/>
          <w:szCs w:val="28"/>
          <w:lang w:val="uk-UA"/>
        </w:rPr>
        <w:t>., 1996. [8]).</w:t>
      </w:r>
    </w:p>
    <w:p w:rsidR="008922EB" w:rsidRPr="00341EDD" w:rsidRDefault="004168A6" w:rsidP="0051044C">
      <w:pPr>
        <w:spacing w:after="0" w:line="240" w:lineRule="auto"/>
        <w:ind w:firstLine="3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Рис</w:t>
      </w:r>
      <w:r w:rsidRPr="00341ED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922EB" w:rsidRPr="00341EDD">
        <w:rPr>
          <w:rFonts w:ascii="Times New Roman" w:hAnsi="Times New Roman"/>
          <w:sz w:val="28"/>
          <w:szCs w:val="28"/>
          <w:lang w:val="uk-UA"/>
        </w:rPr>
        <w:t xml:space="preserve"> 5. Схематичне зображення змішаної </w:t>
      </w:r>
      <w:r w:rsidR="00341EDD">
        <w:rPr>
          <w:rFonts w:ascii="Times New Roman" w:hAnsi="Times New Roman"/>
          <w:sz w:val="28"/>
          <w:szCs w:val="28"/>
          <w:lang w:val="uk-UA"/>
        </w:rPr>
        <w:t>ГСОД</w:t>
      </w:r>
      <w:r w:rsidR="008922EB" w:rsidRPr="00341EDD">
        <w:rPr>
          <w:rFonts w:ascii="Times New Roman" w:hAnsi="Times New Roman"/>
          <w:sz w:val="28"/>
          <w:szCs w:val="28"/>
          <w:lang w:val="uk-UA"/>
        </w:rPr>
        <w:t xml:space="preserve">, для якої характерно поєднання ознак аксіальних і </w:t>
      </w:r>
      <w:proofErr w:type="spellStart"/>
      <w:r w:rsidR="008922EB" w:rsidRPr="00341EDD">
        <w:rPr>
          <w:rFonts w:ascii="Times New Roman" w:hAnsi="Times New Roman"/>
          <w:sz w:val="28"/>
          <w:szCs w:val="28"/>
          <w:lang w:val="uk-UA"/>
        </w:rPr>
        <w:t>параезофагеальних</w:t>
      </w:r>
      <w:proofErr w:type="spellEnd"/>
      <w:r w:rsidR="008922EB" w:rsidRPr="00341EDD">
        <w:rPr>
          <w:rFonts w:ascii="Times New Roman" w:hAnsi="Times New Roman"/>
          <w:sz w:val="28"/>
          <w:szCs w:val="28"/>
          <w:lang w:val="uk-UA"/>
        </w:rPr>
        <w:t xml:space="preserve"> гриж (</w:t>
      </w:r>
      <w:r>
        <w:rPr>
          <w:rFonts w:ascii="Times New Roman" w:hAnsi="Times New Roman"/>
          <w:sz w:val="28"/>
          <w:szCs w:val="28"/>
          <w:lang w:val="uk-UA"/>
        </w:rPr>
        <w:t>за</w:t>
      </w:r>
      <w:r w:rsidR="008922EB" w:rsidRPr="00341EDD">
        <w:rPr>
          <w:rFonts w:ascii="Times New Roman" w:hAnsi="Times New Roman"/>
          <w:sz w:val="28"/>
          <w:szCs w:val="28"/>
          <w:lang w:val="uk-UA"/>
        </w:rPr>
        <w:t xml:space="preserve"> Г. Е. </w:t>
      </w:r>
      <w:proofErr w:type="spellStart"/>
      <w:r w:rsidR="008922EB" w:rsidRPr="00341EDD">
        <w:rPr>
          <w:rFonts w:ascii="Times New Roman" w:hAnsi="Times New Roman"/>
          <w:sz w:val="28"/>
          <w:szCs w:val="28"/>
          <w:lang w:val="uk-UA"/>
        </w:rPr>
        <w:t>Ройтберг</w:t>
      </w:r>
      <w:r w:rsidR="00B30168">
        <w:rPr>
          <w:rFonts w:ascii="Times New Roman" w:hAnsi="Times New Roman"/>
          <w:sz w:val="28"/>
          <w:szCs w:val="28"/>
          <w:lang w:val="uk-UA"/>
        </w:rPr>
        <w:t>ом</w:t>
      </w:r>
      <w:proofErr w:type="spellEnd"/>
      <w:r w:rsidR="008922EB" w:rsidRPr="00341EDD">
        <w:rPr>
          <w:rFonts w:ascii="Times New Roman" w:hAnsi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8922EB" w:rsidRPr="00341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922EB" w:rsidRPr="00341EDD">
        <w:rPr>
          <w:rFonts w:ascii="Times New Roman" w:hAnsi="Times New Roman"/>
          <w:sz w:val="28"/>
          <w:szCs w:val="28"/>
          <w:lang w:val="uk-UA"/>
        </w:rPr>
        <w:t>співавт</w:t>
      </w:r>
      <w:proofErr w:type="spellEnd"/>
      <w:r w:rsidR="008922EB" w:rsidRPr="00341EDD">
        <w:rPr>
          <w:rFonts w:ascii="Times New Roman" w:hAnsi="Times New Roman"/>
          <w:sz w:val="28"/>
          <w:szCs w:val="28"/>
          <w:lang w:val="uk-UA"/>
        </w:rPr>
        <w:t>., 2007 [18]).</w:t>
      </w:r>
    </w:p>
    <w:sectPr w:rsidR="008922EB" w:rsidRPr="00341EDD" w:rsidSect="0051044C">
      <w:headerReference w:type="default" r:id="rId8"/>
      <w:pgSz w:w="11906" w:h="16838"/>
      <w:pgMar w:top="1134" w:right="851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0F8" w:rsidRDefault="00C820F8" w:rsidP="003328BE">
      <w:pPr>
        <w:spacing w:after="0" w:line="240" w:lineRule="auto"/>
      </w:pPr>
      <w:r>
        <w:separator/>
      </w:r>
    </w:p>
  </w:endnote>
  <w:endnote w:type="continuationSeparator" w:id="0">
    <w:p w:rsidR="00C820F8" w:rsidRDefault="00C820F8" w:rsidP="0033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0F8" w:rsidRDefault="00C820F8" w:rsidP="003328BE">
      <w:pPr>
        <w:spacing w:after="0" w:line="240" w:lineRule="auto"/>
      </w:pPr>
      <w:r>
        <w:separator/>
      </w:r>
    </w:p>
  </w:footnote>
  <w:footnote w:type="continuationSeparator" w:id="0">
    <w:p w:rsidR="00C820F8" w:rsidRDefault="00C820F8" w:rsidP="00332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5A3" w:rsidRDefault="000005A3">
    <w:pPr>
      <w:pStyle w:val="a3"/>
    </w:pPr>
  </w:p>
  <w:p w:rsidR="000005A3" w:rsidRDefault="000005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12EE4"/>
    <w:multiLevelType w:val="hybridMultilevel"/>
    <w:tmpl w:val="4904B376"/>
    <w:lvl w:ilvl="0" w:tplc="9E92EA8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84008F1"/>
    <w:multiLevelType w:val="hybridMultilevel"/>
    <w:tmpl w:val="6444E230"/>
    <w:lvl w:ilvl="0" w:tplc="9E92EA8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8BE"/>
    <w:rsid w:val="000005A3"/>
    <w:rsid w:val="00002D97"/>
    <w:rsid w:val="000A7F98"/>
    <w:rsid w:val="000E650B"/>
    <w:rsid w:val="00135EA5"/>
    <w:rsid w:val="0013614E"/>
    <w:rsid w:val="001476D5"/>
    <w:rsid w:val="001C39B8"/>
    <w:rsid w:val="001E6115"/>
    <w:rsid w:val="00211D45"/>
    <w:rsid w:val="002426B7"/>
    <w:rsid w:val="00243BD4"/>
    <w:rsid w:val="00262867"/>
    <w:rsid w:val="00296CC5"/>
    <w:rsid w:val="002B4596"/>
    <w:rsid w:val="002B5AA0"/>
    <w:rsid w:val="003328BE"/>
    <w:rsid w:val="003362B4"/>
    <w:rsid w:val="00341EDD"/>
    <w:rsid w:val="003D3CFE"/>
    <w:rsid w:val="003F4AFA"/>
    <w:rsid w:val="004168A6"/>
    <w:rsid w:val="00417A88"/>
    <w:rsid w:val="00452E0C"/>
    <w:rsid w:val="004622A6"/>
    <w:rsid w:val="00494011"/>
    <w:rsid w:val="004D57ED"/>
    <w:rsid w:val="0051044C"/>
    <w:rsid w:val="005409A0"/>
    <w:rsid w:val="005474F4"/>
    <w:rsid w:val="00602746"/>
    <w:rsid w:val="00615AEC"/>
    <w:rsid w:val="0066431F"/>
    <w:rsid w:val="007C4FBC"/>
    <w:rsid w:val="00822378"/>
    <w:rsid w:val="008727BD"/>
    <w:rsid w:val="008922EB"/>
    <w:rsid w:val="0089772D"/>
    <w:rsid w:val="008A13E0"/>
    <w:rsid w:val="00941582"/>
    <w:rsid w:val="00982C56"/>
    <w:rsid w:val="009E2B8D"/>
    <w:rsid w:val="00A01442"/>
    <w:rsid w:val="00A1666E"/>
    <w:rsid w:val="00A3117E"/>
    <w:rsid w:val="00AC525D"/>
    <w:rsid w:val="00AF22A9"/>
    <w:rsid w:val="00B171EF"/>
    <w:rsid w:val="00B30168"/>
    <w:rsid w:val="00B312B1"/>
    <w:rsid w:val="00B50199"/>
    <w:rsid w:val="00B528AC"/>
    <w:rsid w:val="00B92848"/>
    <w:rsid w:val="00BD6F36"/>
    <w:rsid w:val="00C11797"/>
    <w:rsid w:val="00C62BB0"/>
    <w:rsid w:val="00C820F8"/>
    <w:rsid w:val="00CB4649"/>
    <w:rsid w:val="00CD7FCD"/>
    <w:rsid w:val="00D32E31"/>
    <w:rsid w:val="00D46F93"/>
    <w:rsid w:val="00F01699"/>
    <w:rsid w:val="00F20715"/>
    <w:rsid w:val="00F62419"/>
    <w:rsid w:val="00F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A5D19-B663-4920-90A9-AED258A0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28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28BE"/>
  </w:style>
  <w:style w:type="paragraph" w:styleId="a5">
    <w:name w:val="footer"/>
    <w:basedOn w:val="a"/>
    <w:link w:val="a6"/>
    <w:uiPriority w:val="99"/>
    <w:unhideWhenUsed/>
    <w:rsid w:val="00332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28BE"/>
  </w:style>
  <w:style w:type="paragraph" w:styleId="a7">
    <w:name w:val="No Spacing"/>
    <w:uiPriority w:val="1"/>
    <w:qFormat/>
    <w:rsid w:val="003D3CF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F9446-94EA-44C8-A764-F2B79BA6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9</Pages>
  <Words>3370</Words>
  <Characters>19214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dcterms:created xsi:type="dcterms:W3CDTF">2019-07-10T12:23:00Z</dcterms:created>
  <dcterms:modified xsi:type="dcterms:W3CDTF">2019-08-28T10:15:00Z</dcterms:modified>
</cp:coreProperties>
</file>