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3FB" w:rsidRPr="00B6234E" w:rsidRDefault="00B543FB" w:rsidP="00B543FB">
      <w:pPr>
        <w:jc w:val="center"/>
        <w:rPr>
          <w:b/>
          <w:lang w:val="en-US"/>
        </w:rPr>
      </w:pPr>
      <w:r w:rsidRPr="00B6234E">
        <w:rPr>
          <w:b/>
          <w:lang w:val="en-US"/>
        </w:rPr>
        <w:t>Staging chronic pancreatitis with exocrine function tests: are we better?</w:t>
      </w:r>
    </w:p>
    <w:p w:rsidR="00B543FB" w:rsidRPr="00B6234E" w:rsidRDefault="00B543FB" w:rsidP="00B543FB">
      <w:pPr>
        <w:jc w:val="center"/>
        <w:rPr>
          <w:lang w:val="en-US"/>
        </w:rPr>
      </w:pPr>
      <w:r w:rsidRPr="00B6234E">
        <w:rPr>
          <w:lang w:val="en-US"/>
        </w:rPr>
        <w:t xml:space="preserve">C. </w:t>
      </w:r>
      <w:proofErr w:type="spellStart"/>
      <w:r w:rsidRPr="00B6234E">
        <w:rPr>
          <w:lang w:val="en-US"/>
        </w:rPr>
        <w:t>Sperti</w:t>
      </w:r>
      <w:proofErr w:type="spellEnd"/>
      <w:r w:rsidRPr="00B6234E">
        <w:rPr>
          <w:lang w:val="en-US"/>
        </w:rPr>
        <w:t xml:space="preserve">, L. </w:t>
      </w:r>
      <w:proofErr w:type="spellStart"/>
      <w:r w:rsidRPr="00B6234E">
        <w:rPr>
          <w:lang w:val="en-US"/>
        </w:rPr>
        <w:t>Moletta</w:t>
      </w:r>
      <w:proofErr w:type="spellEnd"/>
    </w:p>
    <w:p w:rsidR="00B543FB" w:rsidRPr="00B6234E" w:rsidRDefault="00B543FB" w:rsidP="00B543FB">
      <w:pPr>
        <w:jc w:val="center"/>
        <w:rPr>
          <w:lang w:val="en-US"/>
        </w:rPr>
      </w:pPr>
      <w:r w:rsidRPr="00B6234E">
        <w:rPr>
          <w:lang w:val="en-US"/>
        </w:rPr>
        <w:t>Department of Surgery, Oncology and Gastroenterology, 3</w:t>
      </w:r>
      <w:r w:rsidRPr="00B6234E">
        <w:rPr>
          <w:vertAlign w:val="superscript"/>
          <w:lang w:val="en-US"/>
        </w:rPr>
        <w:t>rd</w:t>
      </w:r>
      <w:r w:rsidRPr="00B6234E">
        <w:rPr>
          <w:lang w:val="en-US"/>
        </w:rPr>
        <w:t xml:space="preserve"> Surgical Clinic, University of Padua, Italy</w:t>
      </w:r>
    </w:p>
    <w:p w:rsidR="00B543FB" w:rsidRPr="00B6234E" w:rsidRDefault="00B543FB" w:rsidP="00B543FB">
      <w:pPr>
        <w:jc w:val="center"/>
        <w:rPr>
          <w:lang w:val="en-US"/>
        </w:rPr>
      </w:pPr>
    </w:p>
    <w:p w:rsidR="00B543FB" w:rsidRPr="00B6234E" w:rsidRDefault="00B543FB" w:rsidP="00B543FB">
      <w:pPr>
        <w:jc w:val="center"/>
        <w:rPr>
          <w:lang w:val="en-US"/>
        </w:rPr>
      </w:pPr>
      <w:proofErr w:type="gramStart"/>
      <w:r w:rsidRPr="00B6234E">
        <w:rPr>
          <w:lang w:val="en-US"/>
        </w:rPr>
        <w:t xml:space="preserve">World J. </w:t>
      </w:r>
      <w:proofErr w:type="spellStart"/>
      <w:r w:rsidRPr="00B6234E">
        <w:rPr>
          <w:lang w:val="en-US"/>
        </w:rPr>
        <w:t>Gastroenterol</w:t>
      </w:r>
      <w:proofErr w:type="spellEnd"/>
      <w:r w:rsidRPr="00B6234E">
        <w:rPr>
          <w:lang w:val="en-US"/>
        </w:rPr>
        <w:t>.</w:t>
      </w:r>
      <w:proofErr w:type="gramEnd"/>
      <w:r w:rsidRPr="00B6234E">
        <w:rPr>
          <w:lang w:val="en-US"/>
        </w:rPr>
        <w:t xml:space="preserve"> — 2017. — Vol. 23, No 38. — P. 6927–6930.</w:t>
      </w:r>
    </w:p>
    <w:p w:rsidR="00B543FB" w:rsidRPr="00B6234E" w:rsidRDefault="00B543FB" w:rsidP="00B543FB">
      <w:pPr>
        <w:autoSpaceDE w:val="0"/>
        <w:autoSpaceDN w:val="0"/>
        <w:adjustRightInd w:val="0"/>
        <w:rPr>
          <w:lang w:val="en-US"/>
        </w:rPr>
      </w:pPr>
    </w:p>
    <w:p w:rsidR="007B11E7" w:rsidRPr="00B543FB" w:rsidRDefault="00B543FB" w:rsidP="00B543FB">
      <w:pPr>
        <w:autoSpaceDE w:val="0"/>
        <w:autoSpaceDN w:val="0"/>
        <w:adjustRightInd w:val="0"/>
        <w:rPr>
          <w:lang w:val="en-US"/>
        </w:rPr>
      </w:pPr>
      <w:r w:rsidRPr="00B6234E">
        <w:rPr>
          <w:b/>
          <w:lang w:val="en-US"/>
        </w:rPr>
        <w:t>Key words:</w:t>
      </w:r>
      <w:r w:rsidRPr="00B6234E">
        <w:rPr>
          <w:lang w:val="en-US"/>
        </w:rPr>
        <w:t xml:space="preserve"> chronic pancreatitis, exocrine pancreatic insufficiency, fecal elastase-1, pancreatic function tests, </w:t>
      </w:r>
      <w:proofErr w:type="spellStart"/>
      <w:r w:rsidRPr="00B6234E">
        <w:rPr>
          <w:lang w:val="en-US"/>
        </w:rPr>
        <w:t>steathorrea</w:t>
      </w:r>
      <w:proofErr w:type="spellEnd"/>
    </w:p>
    <w:p w:rsidR="00131A89" w:rsidRPr="00B543FB" w:rsidRDefault="00B543FB" w:rsidP="008F2112">
      <w:pPr>
        <w:autoSpaceDE w:val="0"/>
        <w:autoSpaceDN w:val="0"/>
        <w:adjustRightInd w:val="0"/>
        <w:rPr>
          <w:szCs w:val="20"/>
          <w:lang w:val="en-US"/>
        </w:rPr>
      </w:pPr>
      <w:r>
        <w:rPr>
          <w:b/>
          <w:szCs w:val="20"/>
          <w:lang w:val="en-US"/>
        </w:rPr>
        <w:t>Core</w:t>
      </w:r>
      <w:r w:rsidRPr="00B543FB">
        <w:rPr>
          <w:b/>
          <w:szCs w:val="20"/>
          <w:lang w:val="en-US"/>
        </w:rPr>
        <w:t xml:space="preserve"> </w:t>
      </w:r>
      <w:r>
        <w:rPr>
          <w:b/>
          <w:szCs w:val="20"/>
          <w:lang w:val="en-US"/>
        </w:rPr>
        <w:t>tip</w:t>
      </w:r>
      <w:r w:rsidR="00DE052B" w:rsidRPr="00B543FB">
        <w:rPr>
          <w:b/>
          <w:szCs w:val="20"/>
          <w:lang w:val="en-US"/>
        </w:rPr>
        <w:t xml:space="preserve">: </w:t>
      </w:r>
      <w:r w:rsidRPr="00B543FB">
        <w:rPr>
          <w:rFonts w:eastAsiaTheme="minorEastAsia"/>
          <w:szCs w:val="20"/>
          <w:lang w:val="en-US" w:eastAsia="zh-CN"/>
        </w:rPr>
        <w:t xml:space="preserve">Classification of chronic pancreatitis is useful for planning adequate diagnosis and management of the disease, particularly in the early detection and prevention of related-complications. Recognition of pancreatic exocrine insufficiency is useful for graduating severity of chronic pancreatitis in modern classification systems, and fecal </w:t>
      </w:r>
      <w:proofErr w:type="spellStart"/>
      <w:r w:rsidRPr="00B543FB">
        <w:rPr>
          <w:rFonts w:eastAsiaTheme="minorEastAsia"/>
          <w:szCs w:val="20"/>
          <w:lang w:val="en-US" w:eastAsia="zh-CN"/>
        </w:rPr>
        <w:t>elastase</w:t>
      </w:r>
      <w:proofErr w:type="spellEnd"/>
      <w:r w:rsidRPr="00B543FB">
        <w:rPr>
          <w:rFonts w:eastAsiaTheme="minorEastAsia"/>
          <w:szCs w:val="20"/>
          <w:lang w:val="en-US" w:eastAsia="zh-CN"/>
        </w:rPr>
        <w:t xml:space="preserve"> determination appears the better method in term of simplicity and sensitivity to stage exocrine function of the pancreas. However, sensitivity of elastase-1 is low in early stage of chronic pancreatitis, and new diagnostic tools or </w:t>
      </w:r>
      <w:proofErr w:type="gramStart"/>
      <w:r w:rsidRPr="00B543FB">
        <w:rPr>
          <w:rFonts w:eastAsiaTheme="minorEastAsia"/>
          <w:szCs w:val="20"/>
          <w:lang w:val="en-US" w:eastAsia="zh-CN"/>
        </w:rPr>
        <w:t>combination of different procedures are</w:t>
      </w:r>
      <w:proofErr w:type="gramEnd"/>
      <w:r w:rsidRPr="00B543FB">
        <w:rPr>
          <w:rFonts w:eastAsiaTheme="minorEastAsia"/>
          <w:szCs w:val="20"/>
          <w:lang w:val="en-US" w:eastAsia="zh-CN"/>
        </w:rPr>
        <w:t xml:space="preserve"> needed to better</w:t>
      </w:r>
      <w:r>
        <w:rPr>
          <w:rFonts w:eastAsiaTheme="minorEastAsia"/>
          <w:szCs w:val="20"/>
          <w:lang w:val="en-US" w:eastAsia="zh-CN"/>
        </w:rPr>
        <w:t xml:space="preserve"> </w:t>
      </w:r>
      <w:r w:rsidRPr="00B543FB">
        <w:rPr>
          <w:rFonts w:eastAsiaTheme="minorEastAsia"/>
          <w:szCs w:val="20"/>
          <w:lang w:val="en-US" w:eastAsia="zh-CN"/>
        </w:rPr>
        <w:t>stage pancreatic function.</w:t>
      </w:r>
    </w:p>
    <w:p w:rsidR="00B543FB" w:rsidRPr="00B543FB" w:rsidRDefault="00B543FB" w:rsidP="00B543FB">
      <w:pPr>
        <w:autoSpaceDE w:val="0"/>
        <w:autoSpaceDN w:val="0"/>
        <w:adjustRightInd w:val="0"/>
        <w:rPr>
          <w:b/>
          <w:szCs w:val="20"/>
          <w:lang w:val="en-US"/>
        </w:rPr>
      </w:pPr>
      <w:r w:rsidRPr="00B543FB">
        <w:rPr>
          <w:b/>
          <w:szCs w:val="20"/>
          <w:lang w:val="en-US"/>
        </w:rPr>
        <w:t>INTRODUCTION</w:t>
      </w:r>
    </w:p>
    <w:p w:rsidR="000E60E2" w:rsidRPr="00B543FB" w:rsidRDefault="00B543FB" w:rsidP="00B543FB">
      <w:pPr>
        <w:autoSpaceDE w:val="0"/>
        <w:autoSpaceDN w:val="0"/>
        <w:adjustRightInd w:val="0"/>
        <w:rPr>
          <w:lang w:val="en-US"/>
        </w:rPr>
      </w:pPr>
      <w:r w:rsidRPr="00B543FB">
        <w:rPr>
          <w:szCs w:val="20"/>
          <w:lang w:val="en-US"/>
        </w:rPr>
        <w:t>Chronic pancreatitis (CP) is the most commonly known cause of pancreatic exocrine insufficiency (PEI)</w:t>
      </w:r>
      <w:r>
        <w:rPr>
          <w:szCs w:val="20"/>
          <w:lang w:val="en-US"/>
        </w:rPr>
        <w:t xml:space="preserve"> </w:t>
      </w:r>
      <w:r w:rsidRPr="00B543FB">
        <w:rPr>
          <w:szCs w:val="20"/>
          <w:lang w:val="en-US"/>
        </w:rPr>
        <w:t xml:space="preserve">[1]. Every patient with a new diagnosis of CP should be screened for PEI and in order to detect </w:t>
      </w:r>
      <w:proofErr w:type="spellStart"/>
      <w:r w:rsidRPr="00B543FB">
        <w:rPr>
          <w:szCs w:val="20"/>
          <w:lang w:val="en-US"/>
        </w:rPr>
        <w:t>maldigestion</w:t>
      </w:r>
      <w:proofErr w:type="spellEnd"/>
      <w:r w:rsidRPr="00B543FB">
        <w:rPr>
          <w:szCs w:val="20"/>
          <w:lang w:val="en-US"/>
        </w:rPr>
        <w:t xml:space="preserve"> prior to the occurrence of overt clinical symptoms, the presence of PEI should be evaluated annually in patients with CP. PEI can lead to poor quality of life, </w:t>
      </w:r>
      <w:proofErr w:type="spellStart"/>
      <w:r w:rsidRPr="00B543FB">
        <w:rPr>
          <w:szCs w:val="20"/>
          <w:lang w:val="en-US"/>
        </w:rPr>
        <w:t>steathorrea</w:t>
      </w:r>
      <w:proofErr w:type="spellEnd"/>
      <w:r w:rsidRPr="00B543FB">
        <w:rPr>
          <w:szCs w:val="20"/>
          <w:lang w:val="en-US"/>
        </w:rPr>
        <w:t xml:space="preserve">, abdominal pain and </w:t>
      </w:r>
      <w:proofErr w:type="spellStart"/>
      <w:r w:rsidRPr="00B543FB">
        <w:rPr>
          <w:szCs w:val="20"/>
          <w:lang w:val="en-US"/>
        </w:rPr>
        <w:t>malabsorption</w:t>
      </w:r>
      <w:proofErr w:type="spellEnd"/>
      <w:r w:rsidRPr="00B543FB">
        <w:rPr>
          <w:szCs w:val="20"/>
          <w:lang w:val="en-US"/>
        </w:rPr>
        <w:t xml:space="preserve">, and early diagnosis of PEI is important to prevent malnutrition-related complications. Many tests are nowadays available for the diagnosis of PEI, but each one has some diagnostic limitations. As a consequence, PEI is still </w:t>
      </w:r>
      <w:proofErr w:type="spellStart"/>
      <w:r w:rsidRPr="00B543FB">
        <w:rPr>
          <w:szCs w:val="20"/>
          <w:lang w:val="en-US"/>
        </w:rPr>
        <w:t>underdiagnosed</w:t>
      </w:r>
      <w:proofErr w:type="spellEnd"/>
      <w:r w:rsidRPr="00B543FB">
        <w:rPr>
          <w:szCs w:val="20"/>
          <w:lang w:val="en-US"/>
        </w:rPr>
        <w:t xml:space="preserve"> and undertreated.</w:t>
      </w:r>
      <w:r>
        <w:rPr>
          <w:szCs w:val="20"/>
          <w:lang w:val="en-US"/>
        </w:rPr>
        <w:t xml:space="preserve"> </w:t>
      </w:r>
      <w:r w:rsidRPr="00B543FB">
        <w:rPr>
          <w:szCs w:val="20"/>
          <w:lang w:val="en-US"/>
        </w:rPr>
        <w:t xml:space="preserve">In addition to its clinical relevance, PEI represents </w:t>
      </w:r>
      <w:proofErr w:type="gramStart"/>
      <w:r w:rsidRPr="00B543FB">
        <w:rPr>
          <w:szCs w:val="20"/>
          <w:lang w:val="en-US"/>
        </w:rPr>
        <w:t>an</w:t>
      </w:r>
      <w:proofErr w:type="gramEnd"/>
      <w:r w:rsidRPr="00B543FB">
        <w:rPr>
          <w:szCs w:val="20"/>
          <w:lang w:val="en-US"/>
        </w:rPr>
        <w:t xml:space="preserve"> helpful method for staging CP in different classification systems. The M-ANNHEIM classification is a new system for staging and grading</w:t>
      </w:r>
      <w:r>
        <w:rPr>
          <w:szCs w:val="20"/>
          <w:lang w:val="en-US"/>
        </w:rPr>
        <w:t xml:space="preserve"> </w:t>
      </w:r>
      <w:r w:rsidRPr="00B543FB">
        <w:rPr>
          <w:szCs w:val="20"/>
          <w:lang w:val="en-US"/>
        </w:rPr>
        <w:t>the severity of CP</w:t>
      </w:r>
      <w:r>
        <w:rPr>
          <w:szCs w:val="20"/>
          <w:lang w:val="en-US"/>
        </w:rPr>
        <w:t xml:space="preserve"> </w:t>
      </w:r>
      <w:r w:rsidRPr="00B543FB">
        <w:rPr>
          <w:szCs w:val="20"/>
          <w:lang w:val="en-US"/>
        </w:rPr>
        <w:t>[2]. The M-ANNHEIM classification system is based on the categorization determined by etiological factors, clinical stage and severity of CP. This system constitutes</w:t>
      </w:r>
      <w:r>
        <w:rPr>
          <w:szCs w:val="20"/>
          <w:lang w:val="en-US"/>
        </w:rPr>
        <w:t xml:space="preserve"> </w:t>
      </w:r>
      <w:r w:rsidRPr="00B543FB">
        <w:rPr>
          <w:szCs w:val="20"/>
          <w:lang w:val="en-US"/>
        </w:rPr>
        <w:t>a simple, objective, accurate and non-invasive method for clinicians which combines the influence</w:t>
      </w:r>
      <w:r>
        <w:rPr>
          <w:szCs w:val="20"/>
          <w:lang w:val="en-US"/>
        </w:rPr>
        <w:t xml:space="preserve"> </w:t>
      </w:r>
      <w:r w:rsidRPr="00B543FB">
        <w:rPr>
          <w:szCs w:val="20"/>
          <w:lang w:val="en-US"/>
        </w:rPr>
        <w:t xml:space="preserve">and interaction of several risk </w:t>
      </w:r>
      <w:proofErr w:type="spellStart"/>
      <w:r w:rsidRPr="00B543FB">
        <w:rPr>
          <w:szCs w:val="20"/>
          <w:lang w:val="en-US"/>
        </w:rPr>
        <w:t>factos</w:t>
      </w:r>
      <w:proofErr w:type="spellEnd"/>
      <w:r w:rsidRPr="00B543FB">
        <w:rPr>
          <w:szCs w:val="20"/>
          <w:lang w:val="en-US"/>
        </w:rPr>
        <w:t xml:space="preserve"> on the course of the disease. These multiple (M) risk factors included the subsets of alcohol consumption (A), </w:t>
      </w:r>
      <w:proofErr w:type="spellStart"/>
      <w:r w:rsidRPr="00B543FB">
        <w:rPr>
          <w:szCs w:val="20"/>
          <w:lang w:val="en-US"/>
        </w:rPr>
        <w:t>nicotin</w:t>
      </w:r>
      <w:proofErr w:type="spellEnd"/>
      <w:r w:rsidRPr="00B543FB">
        <w:rPr>
          <w:szCs w:val="20"/>
          <w:lang w:val="en-US"/>
        </w:rPr>
        <w:t xml:space="preserve"> consumption (N), nutritional factors (N), hereditary factors (H), efferent pancreatic duct factors (E), immunological factors (I), and various rare miscellaneous and metabolic (M) factors</w:t>
      </w:r>
      <w:r>
        <w:rPr>
          <w:szCs w:val="20"/>
          <w:lang w:val="en-US"/>
        </w:rPr>
        <w:t xml:space="preserve"> </w:t>
      </w:r>
      <w:r w:rsidRPr="00B543FB">
        <w:rPr>
          <w:szCs w:val="20"/>
          <w:lang w:val="en-US"/>
        </w:rPr>
        <w:t xml:space="preserve">[2]. </w:t>
      </w:r>
      <w:proofErr w:type="gramStart"/>
      <w:r w:rsidRPr="00B543FB">
        <w:rPr>
          <w:szCs w:val="20"/>
          <w:lang w:val="en-US"/>
        </w:rPr>
        <w:t>The M-ANNHEIM staging of CP is divided into an asymptomatic phase (stage 0) and a symptomatic phase (stages I, II, III, IV) of the disease</w:t>
      </w:r>
      <w:r>
        <w:rPr>
          <w:szCs w:val="20"/>
          <w:lang w:val="en-US"/>
        </w:rPr>
        <w:t xml:space="preserve"> </w:t>
      </w:r>
      <w:r w:rsidRPr="00B543FB">
        <w:rPr>
          <w:szCs w:val="20"/>
          <w:lang w:val="en-US"/>
        </w:rPr>
        <w:t>[2].</w:t>
      </w:r>
      <w:proofErr w:type="gramEnd"/>
      <w:r w:rsidRPr="00B543FB">
        <w:rPr>
          <w:szCs w:val="20"/>
          <w:lang w:val="en-US"/>
        </w:rPr>
        <w:t xml:space="preserve"> The latter phase represents the period of clinically evident chronic</w:t>
      </w:r>
      <w:r>
        <w:rPr>
          <w:szCs w:val="20"/>
          <w:lang w:val="en-US"/>
        </w:rPr>
        <w:t xml:space="preserve"> </w:t>
      </w:r>
      <w:r w:rsidRPr="00B543FB">
        <w:rPr>
          <w:szCs w:val="20"/>
          <w:lang w:val="en-US"/>
        </w:rPr>
        <w:t xml:space="preserve">inflammation of </w:t>
      </w:r>
      <w:r>
        <w:rPr>
          <w:szCs w:val="20"/>
          <w:lang w:val="en-US"/>
        </w:rPr>
        <w:t>t</w:t>
      </w:r>
      <w:r w:rsidRPr="00B543FB">
        <w:rPr>
          <w:szCs w:val="20"/>
          <w:lang w:val="en-US"/>
        </w:rPr>
        <w:t>he pancreas. The evaluation of the symptomatic phases of CP is based on pain and on the presence and degree of PEI</w:t>
      </w:r>
      <w:r>
        <w:rPr>
          <w:szCs w:val="20"/>
          <w:lang w:val="en-US"/>
        </w:rPr>
        <w:t xml:space="preserve"> </w:t>
      </w:r>
      <w:r w:rsidRPr="00B543FB">
        <w:rPr>
          <w:szCs w:val="20"/>
          <w:lang w:val="en-US"/>
        </w:rPr>
        <w:t>[2]. An accurate evaluation of PEI is therefore necessary to validate the diagnosis and allow the proper treatment of the disease. In fact, a correct diagnosis of PEI suggests the pancreatic enzyme replacement therapy (PERT) and it is essential to monitor the efficacy of treatment in order to avoid complications of CP. Only few studies in the literature have compared the different diagnostic power of the tests available to evaluate PEI, and only few data are available for determining their role in the present staging system of CP.</w:t>
      </w:r>
    </w:p>
    <w:p w:rsidR="000E60E2" w:rsidRPr="00B543FB" w:rsidRDefault="00B543FB" w:rsidP="000E60E2">
      <w:pPr>
        <w:autoSpaceDE w:val="0"/>
        <w:autoSpaceDN w:val="0"/>
        <w:adjustRightInd w:val="0"/>
        <w:rPr>
          <w:b/>
          <w:lang w:val="en-US"/>
        </w:rPr>
      </w:pPr>
      <w:r w:rsidRPr="00B543FB">
        <w:rPr>
          <w:b/>
          <w:lang w:val="en-US"/>
        </w:rPr>
        <w:t>STUDY ANALYSIS</w:t>
      </w:r>
    </w:p>
    <w:p w:rsidR="00B543FB" w:rsidRPr="00B543FB" w:rsidRDefault="00B543FB" w:rsidP="00B543FB">
      <w:pPr>
        <w:autoSpaceDE w:val="0"/>
        <w:autoSpaceDN w:val="0"/>
        <w:adjustRightInd w:val="0"/>
        <w:rPr>
          <w:lang w:val="en-US"/>
        </w:rPr>
      </w:pPr>
      <w:r w:rsidRPr="00B543FB">
        <w:rPr>
          <w:lang w:val="en-US"/>
        </w:rPr>
        <w:t xml:space="preserve">In the recent issue of the World Journal of Gastroenterology, </w:t>
      </w:r>
      <w:proofErr w:type="spellStart"/>
      <w:r w:rsidRPr="00B543FB">
        <w:rPr>
          <w:lang w:val="en-US"/>
        </w:rPr>
        <w:t>Kamath</w:t>
      </w:r>
      <w:proofErr w:type="spellEnd"/>
      <w:r w:rsidRPr="00B543FB">
        <w:rPr>
          <w:lang w:val="en-US"/>
        </w:rPr>
        <w:t xml:space="preserve"> et al</w:t>
      </w:r>
      <w:r>
        <w:rPr>
          <w:lang w:val="en-US"/>
        </w:rPr>
        <w:t xml:space="preserve"> </w:t>
      </w:r>
      <w:r w:rsidRPr="00B543FB">
        <w:rPr>
          <w:lang w:val="en-US"/>
        </w:rPr>
        <w:t xml:space="preserve">[3] reported a prospective analysis comparing two tests for PEI to use in M-ANNHEIM staging for pancreatitis. In this study, 116 patients with CP were included. PEI was analyzed by </w:t>
      </w:r>
      <w:proofErr w:type="spellStart"/>
      <w:r w:rsidRPr="00B543FB">
        <w:rPr>
          <w:lang w:val="en-US"/>
        </w:rPr>
        <w:t>faecal</w:t>
      </w:r>
      <w:proofErr w:type="spellEnd"/>
      <w:r w:rsidRPr="00B543FB">
        <w:rPr>
          <w:lang w:val="en-US"/>
        </w:rPr>
        <w:t xml:space="preserve"> elastase-1 (FE-1) value and fecal fat excretion by the acid </w:t>
      </w:r>
      <w:proofErr w:type="spellStart"/>
      <w:r w:rsidRPr="00B543FB">
        <w:rPr>
          <w:lang w:val="en-US"/>
        </w:rPr>
        <w:t>steatocrit</w:t>
      </w:r>
      <w:proofErr w:type="spellEnd"/>
      <w:r w:rsidRPr="00B543FB">
        <w:rPr>
          <w:lang w:val="en-US"/>
        </w:rPr>
        <w:t xml:space="preserve"> method. Based on the results of the two tests, the patients were separately categorized as per M-ANNHEIM stages. Among the 116 patients with CP, the presence of PEI was evident in 61 (52.5%) and 79 (68.1%) by the acid </w:t>
      </w:r>
      <w:proofErr w:type="spellStart"/>
      <w:r w:rsidRPr="00B543FB">
        <w:rPr>
          <w:lang w:val="en-US"/>
        </w:rPr>
        <w:t>steatocrit</w:t>
      </w:r>
      <w:proofErr w:type="spellEnd"/>
      <w:r w:rsidRPr="00B543FB">
        <w:rPr>
          <w:lang w:val="en-US"/>
        </w:rPr>
        <w:t xml:space="preserve"> method and FE-1, respectively. A statistically significant difference was seen </w:t>
      </w:r>
      <w:r w:rsidRPr="00B543FB">
        <w:rPr>
          <w:lang w:val="en-US"/>
        </w:rPr>
        <w:lastRenderedPageBreak/>
        <w:t xml:space="preserve">between the M-ANNHEIM stages as classified separately by acid </w:t>
      </w:r>
      <w:proofErr w:type="spellStart"/>
      <w:r w:rsidRPr="00B543FB">
        <w:rPr>
          <w:lang w:val="en-US"/>
        </w:rPr>
        <w:t>steatocrit</w:t>
      </w:r>
      <w:proofErr w:type="spellEnd"/>
      <w:r w:rsidRPr="00B543FB">
        <w:rPr>
          <w:lang w:val="en-US"/>
        </w:rPr>
        <w:t xml:space="preserve"> and the FE-1. The Authors concluded that FE-1 estimation permits better staging of pancreatitis by the M-ANNHEIM classification, since it diagnosed a higher number</w:t>
      </w:r>
      <w:r>
        <w:rPr>
          <w:lang w:val="en-US"/>
        </w:rPr>
        <w:t xml:space="preserve"> </w:t>
      </w:r>
      <w:r w:rsidRPr="00B543FB">
        <w:rPr>
          <w:lang w:val="en-US"/>
        </w:rPr>
        <w:t xml:space="preserve">of patients with exocrine pancreatic insufficiency. They recommend the use of FE-1 test for staging CP by the M-ANNHEIM classification. The study of </w:t>
      </w:r>
      <w:proofErr w:type="spellStart"/>
      <w:r w:rsidRPr="00B543FB">
        <w:rPr>
          <w:lang w:val="en-US"/>
        </w:rPr>
        <w:t>Kamath</w:t>
      </w:r>
      <w:proofErr w:type="spellEnd"/>
      <w:r w:rsidRPr="00B543FB">
        <w:rPr>
          <w:lang w:val="en-US"/>
        </w:rPr>
        <w:t xml:space="preserve"> et al</w:t>
      </w:r>
      <w:r>
        <w:rPr>
          <w:lang w:val="en-US"/>
        </w:rPr>
        <w:t xml:space="preserve"> </w:t>
      </w:r>
      <w:r w:rsidRPr="00B543FB">
        <w:rPr>
          <w:lang w:val="en-US"/>
        </w:rPr>
        <w:t>[3] is interesting because it deals with the assessment of PEI, which still remains a diagnostic challenge in patients affected by CP.</w:t>
      </w:r>
    </w:p>
    <w:p w:rsidR="00B543FB" w:rsidRPr="00B543FB" w:rsidRDefault="00B543FB" w:rsidP="00B543FB">
      <w:pPr>
        <w:autoSpaceDE w:val="0"/>
        <w:autoSpaceDN w:val="0"/>
        <w:adjustRightInd w:val="0"/>
        <w:rPr>
          <w:lang w:val="en-US"/>
        </w:rPr>
      </w:pPr>
      <w:r w:rsidRPr="00B543FB">
        <w:rPr>
          <w:lang w:val="en-US"/>
        </w:rPr>
        <w:t>The ideal test for the diagnosis of PEI should be accurate, non-invasive, widely available and easy to perform.</w:t>
      </w:r>
      <w:r>
        <w:rPr>
          <w:lang w:val="en-US"/>
        </w:rPr>
        <w:t xml:space="preserve"> </w:t>
      </w:r>
      <w:r w:rsidRPr="00B543FB">
        <w:rPr>
          <w:lang w:val="en-US"/>
        </w:rPr>
        <w:t>In our Center, in twenty years of experience, we observed 325 patients with a diagnosis of CP, and among them 253 received surgery</w:t>
      </w:r>
      <w:r>
        <w:rPr>
          <w:lang w:val="en-US"/>
        </w:rPr>
        <w:t xml:space="preserve"> </w:t>
      </w:r>
      <w:r w:rsidRPr="00B543FB">
        <w:rPr>
          <w:lang w:val="en-US"/>
        </w:rPr>
        <w:t>[4,</w:t>
      </w:r>
      <w:r>
        <w:rPr>
          <w:lang w:val="en-US"/>
        </w:rPr>
        <w:t xml:space="preserve"> </w:t>
      </w:r>
      <w:r w:rsidRPr="00B543FB">
        <w:rPr>
          <w:lang w:val="en-US"/>
        </w:rPr>
        <w:t>5]. In this period, different tests were used to diagnose PEI (fecal fat excretion, p-</w:t>
      </w:r>
      <w:proofErr w:type="spellStart"/>
      <w:r w:rsidRPr="00B543FB">
        <w:rPr>
          <w:lang w:val="en-US"/>
        </w:rPr>
        <w:t>aminobenzoic</w:t>
      </w:r>
      <w:proofErr w:type="spellEnd"/>
      <w:r w:rsidRPr="00B543FB">
        <w:rPr>
          <w:lang w:val="en-US"/>
        </w:rPr>
        <w:t xml:space="preserve"> acid test, coefficient of fat absorption, fecal </w:t>
      </w:r>
      <w:proofErr w:type="spellStart"/>
      <w:r w:rsidRPr="00B543FB">
        <w:rPr>
          <w:lang w:val="en-US"/>
        </w:rPr>
        <w:t>chymotrypsin</w:t>
      </w:r>
      <w:proofErr w:type="spellEnd"/>
      <w:r w:rsidRPr="00B543FB">
        <w:rPr>
          <w:lang w:val="en-US"/>
        </w:rPr>
        <w:t>)</w:t>
      </w:r>
      <w:r>
        <w:rPr>
          <w:lang w:val="en-US"/>
        </w:rPr>
        <w:t xml:space="preserve"> </w:t>
      </w:r>
      <w:r w:rsidRPr="00B543FB">
        <w:rPr>
          <w:lang w:val="en-US"/>
        </w:rPr>
        <w:t>[4</w:t>
      </w:r>
      <w:r>
        <w:rPr>
          <w:lang w:val="en-US"/>
        </w:rPr>
        <w:t xml:space="preserve">, 5, </w:t>
      </w:r>
      <w:r w:rsidRPr="00B543FB">
        <w:rPr>
          <w:lang w:val="en-US"/>
        </w:rPr>
        <w:t>6], and in more recent years they have been replaced by FE-1 test. Nowadays, two different groups of tests (direct and indirect tests) are available for the diagnosis of PEI</w:t>
      </w:r>
      <w:r>
        <w:rPr>
          <w:lang w:val="en-US"/>
        </w:rPr>
        <w:t xml:space="preserve"> </w:t>
      </w:r>
      <w:r w:rsidRPr="00B543FB">
        <w:rPr>
          <w:lang w:val="en-US"/>
        </w:rPr>
        <w:t xml:space="preserve">[1] (Table 1). Among direct tests, the most sensitive method is derived from the aspiration of the pancreatic secretions during </w:t>
      </w:r>
      <w:proofErr w:type="spellStart"/>
      <w:r w:rsidRPr="00B543FB">
        <w:rPr>
          <w:lang w:val="en-US"/>
        </w:rPr>
        <w:t>secretin-cholecystokinin</w:t>
      </w:r>
      <w:proofErr w:type="spellEnd"/>
      <w:r w:rsidRPr="00B543FB">
        <w:rPr>
          <w:lang w:val="en-US"/>
        </w:rPr>
        <w:t>/</w:t>
      </w:r>
      <w:proofErr w:type="spellStart"/>
      <w:r w:rsidRPr="00B543FB">
        <w:rPr>
          <w:lang w:val="en-US"/>
        </w:rPr>
        <w:t>cerulein</w:t>
      </w:r>
      <w:proofErr w:type="spellEnd"/>
      <w:r w:rsidRPr="00B543FB">
        <w:rPr>
          <w:lang w:val="en-US"/>
        </w:rPr>
        <w:t xml:space="preserve"> administration</w:t>
      </w:r>
      <w:r>
        <w:rPr>
          <w:lang w:val="en-US"/>
        </w:rPr>
        <w:t xml:space="preserve"> </w:t>
      </w:r>
      <w:r w:rsidRPr="00B543FB">
        <w:rPr>
          <w:lang w:val="en-US"/>
        </w:rPr>
        <w:t>[7]. However, this test is invasive and it is available only in few specialized centers</w:t>
      </w:r>
      <w:r>
        <w:rPr>
          <w:lang w:val="en-US"/>
        </w:rPr>
        <w:t xml:space="preserve"> </w:t>
      </w:r>
      <w:r w:rsidRPr="00B543FB">
        <w:rPr>
          <w:lang w:val="en-US"/>
        </w:rPr>
        <w:t>[7].</w:t>
      </w:r>
      <w:r>
        <w:rPr>
          <w:lang w:val="en-US"/>
        </w:rPr>
        <w:t xml:space="preserve"> </w:t>
      </w:r>
      <w:r w:rsidRPr="00B543FB">
        <w:rPr>
          <w:lang w:val="en-US"/>
        </w:rPr>
        <w:t xml:space="preserve">Among indirect test, the coefficient of fat absorption (CFA), the fecal-elastase-1 determination and the acid </w:t>
      </w:r>
      <w:proofErr w:type="spellStart"/>
      <w:r w:rsidRPr="00B543FB">
        <w:rPr>
          <w:lang w:val="en-US"/>
        </w:rPr>
        <w:t>steatocrit</w:t>
      </w:r>
      <w:proofErr w:type="spellEnd"/>
      <w:r w:rsidRPr="00B543FB">
        <w:rPr>
          <w:lang w:val="en-US"/>
        </w:rPr>
        <w:t xml:space="preserve"> test are the most frequently used</w:t>
      </w:r>
      <w:r>
        <w:rPr>
          <w:lang w:val="en-US"/>
        </w:rPr>
        <w:t xml:space="preserve"> </w:t>
      </w:r>
      <w:r w:rsidRPr="00B543FB">
        <w:rPr>
          <w:lang w:val="en-US"/>
        </w:rPr>
        <w:t>[7].</w:t>
      </w:r>
      <w:r>
        <w:rPr>
          <w:lang w:val="en-US"/>
        </w:rPr>
        <w:t xml:space="preserve"> </w:t>
      </w:r>
      <w:r w:rsidRPr="00B543FB">
        <w:rPr>
          <w:lang w:val="en-US"/>
        </w:rPr>
        <w:t xml:space="preserve">FDA </w:t>
      </w:r>
      <w:proofErr w:type="gramStart"/>
      <w:r w:rsidRPr="00B543FB">
        <w:rPr>
          <w:lang w:val="en-US"/>
        </w:rPr>
        <w:t>have</w:t>
      </w:r>
      <w:proofErr w:type="gramEnd"/>
      <w:r w:rsidRPr="00B543FB">
        <w:rPr>
          <w:lang w:val="en-US"/>
        </w:rPr>
        <w:t xml:space="preserve"> approved treatments for PEI based on randomized controlled trials that used CFA to define PEI</w:t>
      </w:r>
      <w:r>
        <w:rPr>
          <w:lang w:val="en-US"/>
        </w:rPr>
        <w:t xml:space="preserve"> </w:t>
      </w:r>
      <w:r w:rsidRPr="00B543FB">
        <w:rPr>
          <w:lang w:val="en-US"/>
        </w:rPr>
        <w:t>[8]. The CFA is also useful to monitor pancreatic enzyme replacement therapy (PERT). The CFA requires patients to maintain a strict diet containing 100 g of fat per day over five days, and to collect the total amount of stools excreted over the last three days</w:t>
      </w:r>
      <w:r>
        <w:rPr>
          <w:lang w:val="en-US"/>
        </w:rPr>
        <w:t xml:space="preserve"> </w:t>
      </w:r>
      <w:r w:rsidRPr="00B543FB">
        <w:rPr>
          <w:lang w:val="en-US"/>
        </w:rPr>
        <w:t>[9]. A CFA &lt; 93% is considered pathological</w:t>
      </w:r>
      <w:r>
        <w:rPr>
          <w:lang w:val="en-US"/>
        </w:rPr>
        <w:t xml:space="preserve"> </w:t>
      </w:r>
      <w:r w:rsidRPr="00B543FB">
        <w:rPr>
          <w:lang w:val="en-US"/>
        </w:rPr>
        <w:t xml:space="preserve">[9]. However, this test is not easy to perform, it is difficult to control the amount of fat consumed, especially in alcoholic patients, and collection of </w:t>
      </w:r>
      <w:proofErr w:type="spellStart"/>
      <w:r w:rsidRPr="00B543FB">
        <w:rPr>
          <w:lang w:val="en-US"/>
        </w:rPr>
        <w:t>faeces</w:t>
      </w:r>
      <w:proofErr w:type="spellEnd"/>
      <w:r w:rsidRPr="00B543FB">
        <w:rPr>
          <w:lang w:val="en-US"/>
        </w:rPr>
        <w:t xml:space="preserve"> is unpleasant and cumbersome for patients.</w:t>
      </w:r>
      <w:r>
        <w:rPr>
          <w:lang w:val="en-US"/>
        </w:rPr>
        <w:t xml:space="preserve"> </w:t>
      </w:r>
      <w:r w:rsidRPr="00B543FB">
        <w:rPr>
          <w:lang w:val="en-US"/>
        </w:rPr>
        <w:t>Fecal Elastase-1 (FE-1) is an indirect assessment of the pancreatic secretion. This test is easy to perform, widely available and only requires a small stool sample for analysis</w:t>
      </w:r>
      <w:r>
        <w:rPr>
          <w:lang w:val="en-US"/>
        </w:rPr>
        <w:t xml:space="preserve"> </w:t>
      </w:r>
      <w:r w:rsidRPr="00B543FB">
        <w:rPr>
          <w:lang w:val="en-US"/>
        </w:rPr>
        <w:t>[10]. However, FE-1 test is not able to exclude mild to moderate PEI, and there is no consensus concerning the ideal cut-off for PEI in patients with CP: figures of &lt; 15, 50, 100 and 200 mg/g have been proposed, and a threshold of 200 mg/g has been used most frequently in accordance with the intended use label of the test</w:t>
      </w:r>
      <w:r>
        <w:rPr>
          <w:lang w:val="en-US"/>
        </w:rPr>
        <w:t xml:space="preserve"> </w:t>
      </w:r>
      <w:r w:rsidRPr="00B543FB">
        <w:rPr>
          <w:lang w:val="en-US"/>
        </w:rPr>
        <w:t xml:space="preserve">[11]. The acid </w:t>
      </w:r>
      <w:proofErr w:type="spellStart"/>
      <w:r w:rsidRPr="00B543FB">
        <w:rPr>
          <w:lang w:val="en-US"/>
        </w:rPr>
        <w:t>steatocrit</w:t>
      </w:r>
      <w:proofErr w:type="spellEnd"/>
      <w:r w:rsidRPr="00B543FB">
        <w:rPr>
          <w:lang w:val="en-US"/>
        </w:rPr>
        <w:t xml:space="preserve"> method is a quantitative measurement of fat expressed as a proportion of an entire </w:t>
      </w:r>
      <w:proofErr w:type="spellStart"/>
      <w:r w:rsidRPr="00B543FB">
        <w:rPr>
          <w:lang w:val="en-US"/>
        </w:rPr>
        <w:t>centrifugated</w:t>
      </w:r>
      <w:proofErr w:type="spellEnd"/>
      <w:r w:rsidRPr="00B543FB">
        <w:rPr>
          <w:lang w:val="en-US"/>
        </w:rPr>
        <w:t xml:space="preserve"> homogenized stool sample; it correlates well with the 72 h quantitative </w:t>
      </w:r>
      <w:proofErr w:type="spellStart"/>
      <w:r w:rsidRPr="00B543FB">
        <w:rPr>
          <w:lang w:val="en-US"/>
        </w:rPr>
        <w:t>faecal</w:t>
      </w:r>
      <w:proofErr w:type="spellEnd"/>
      <w:r w:rsidRPr="00B543FB">
        <w:rPr>
          <w:lang w:val="en-US"/>
        </w:rPr>
        <w:t xml:space="preserve"> fat estimation</w:t>
      </w:r>
      <w:r>
        <w:rPr>
          <w:lang w:val="en-US"/>
        </w:rPr>
        <w:t xml:space="preserve"> </w:t>
      </w:r>
      <w:r w:rsidRPr="00B543FB">
        <w:rPr>
          <w:lang w:val="en-US"/>
        </w:rPr>
        <w:t>[12].</w:t>
      </w:r>
      <w:r>
        <w:rPr>
          <w:lang w:val="en-US"/>
        </w:rPr>
        <w:t xml:space="preserve"> </w:t>
      </w:r>
      <w:r w:rsidRPr="00B543FB">
        <w:rPr>
          <w:lang w:val="en-US"/>
        </w:rPr>
        <w:t xml:space="preserve">However, the acid </w:t>
      </w:r>
      <w:proofErr w:type="spellStart"/>
      <w:r w:rsidRPr="00B543FB">
        <w:rPr>
          <w:lang w:val="en-US"/>
        </w:rPr>
        <w:t>steatocrit</w:t>
      </w:r>
      <w:proofErr w:type="spellEnd"/>
      <w:r w:rsidRPr="00B543FB">
        <w:rPr>
          <w:lang w:val="en-US"/>
        </w:rPr>
        <w:t xml:space="preserve"> method has some disadvantages which include a lack of standardization of the test and the possible effect of dietary fat intake during the sample collection</w:t>
      </w:r>
      <w:r>
        <w:rPr>
          <w:lang w:val="en-US"/>
        </w:rPr>
        <w:t xml:space="preserve"> </w:t>
      </w:r>
      <w:r w:rsidRPr="00B543FB">
        <w:rPr>
          <w:lang w:val="en-US"/>
        </w:rPr>
        <w:t>[12].</w:t>
      </w:r>
    </w:p>
    <w:p w:rsidR="00B543FB" w:rsidRPr="00B543FB" w:rsidRDefault="00B543FB" w:rsidP="00B543FB">
      <w:pPr>
        <w:autoSpaceDE w:val="0"/>
        <w:autoSpaceDN w:val="0"/>
        <w:adjustRightInd w:val="0"/>
        <w:rPr>
          <w:lang w:val="en-US"/>
        </w:rPr>
      </w:pPr>
      <w:r w:rsidRPr="00B543FB">
        <w:rPr>
          <w:lang w:val="en-US"/>
        </w:rPr>
        <w:t>Other tests are currently available. The 13 C-Mixed Triglyceride Breath test (TGBT)</w:t>
      </w:r>
      <w:r>
        <w:rPr>
          <w:lang w:val="en-US"/>
        </w:rPr>
        <w:t xml:space="preserve"> </w:t>
      </w:r>
      <w:r w:rsidRPr="00B543FB">
        <w:rPr>
          <w:lang w:val="en-US"/>
        </w:rPr>
        <w:t>is a valid</w:t>
      </w:r>
      <w:r>
        <w:rPr>
          <w:lang w:val="en-US"/>
        </w:rPr>
        <w:t xml:space="preserve"> </w:t>
      </w:r>
      <w:r w:rsidRPr="00B543FB">
        <w:rPr>
          <w:lang w:val="en-US"/>
        </w:rPr>
        <w:t>alternative to the CFA, both for the diagnosis of PEI and for evaluating the efficacy of PERT in clinical practice</w:t>
      </w:r>
      <w:r>
        <w:rPr>
          <w:lang w:val="en-US"/>
        </w:rPr>
        <w:t xml:space="preserve"> </w:t>
      </w:r>
      <w:r w:rsidRPr="00B543FB">
        <w:rPr>
          <w:lang w:val="en-US"/>
        </w:rPr>
        <w:t>[13]. Modifications of the test may allow the detection of mild to moderate PEI</w:t>
      </w:r>
      <w:r>
        <w:rPr>
          <w:lang w:val="en-US"/>
        </w:rPr>
        <w:t xml:space="preserve"> </w:t>
      </w:r>
      <w:r w:rsidRPr="00B543FB">
        <w:rPr>
          <w:lang w:val="en-US"/>
        </w:rPr>
        <w:t xml:space="preserve">[13]. However, the test also has limitations in terms of specificity (false positive results in non-pancreatic fat </w:t>
      </w:r>
      <w:proofErr w:type="spellStart"/>
      <w:r w:rsidRPr="00B543FB">
        <w:rPr>
          <w:lang w:val="en-US"/>
        </w:rPr>
        <w:t>malabsorption</w:t>
      </w:r>
      <w:proofErr w:type="spellEnd"/>
      <w:r w:rsidRPr="00B543FB">
        <w:rPr>
          <w:lang w:val="en-US"/>
        </w:rPr>
        <w:t>)</w:t>
      </w:r>
      <w:proofErr w:type="gramStart"/>
      <w:r w:rsidRPr="00B543FB">
        <w:rPr>
          <w:lang w:val="en-US"/>
        </w:rPr>
        <w:t>,</w:t>
      </w:r>
      <w:proofErr w:type="gramEnd"/>
      <w:r w:rsidRPr="00B543FB">
        <w:rPr>
          <w:lang w:val="en-US"/>
        </w:rPr>
        <w:t xml:space="preserve"> it is not easily available since it is commercialized only in few European countries. Pancreatic secretion volume can be evaluated </w:t>
      </w:r>
      <w:proofErr w:type="spellStart"/>
      <w:r w:rsidRPr="00B543FB">
        <w:rPr>
          <w:lang w:val="en-US"/>
        </w:rPr>
        <w:t>semiquantitatively</w:t>
      </w:r>
      <w:proofErr w:type="spellEnd"/>
      <w:r w:rsidRPr="00B543FB">
        <w:rPr>
          <w:lang w:val="en-US"/>
        </w:rPr>
        <w:t xml:space="preserve"> by </w:t>
      </w:r>
      <w:proofErr w:type="spellStart"/>
      <w:r w:rsidRPr="00B543FB">
        <w:rPr>
          <w:lang w:val="en-US"/>
        </w:rPr>
        <w:t>secretin</w:t>
      </w:r>
      <w:proofErr w:type="spellEnd"/>
      <w:r w:rsidRPr="00B543FB">
        <w:rPr>
          <w:lang w:val="en-US"/>
        </w:rPr>
        <w:t xml:space="preserve"> enhanced-MRCP (s-MRCP)</w:t>
      </w:r>
      <w:r>
        <w:rPr>
          <w:lang w:val="en-US"/>
        </w:rPr>
        <w:t xml:space="preserve"> </w:t>
      </w:r>
      <w:r w:rsidRPr="00B543FB">
        <w:rPr>
          <w:lang w:val="en-US"/>
        </w:rPr>
        <w:t>[14]. Pancreatic secretion evaluated by this technique correlates with FE-1 test results; however, its sensitivity for PEI is as low as 69%</w:t>
      </w:r>
      <w:r>
        <w:rPr>
          <w:lang w:val="en-US"/>
        </w:rPr>
        <w:t xml:space="preserve"> </w:t>
      </w:r>
      <w:r w:rsidRPr="00B543FB">
        <w:rPr>
          <w:lang w:val="en-US"/>
        </w:rPr>
        <w:t>[14]. In addition, there is very limited evidence supporting this technique for the diagnosis of PEI in clinical practice.</w:t>
      </w:r>
    </w:p>
    <w:p w:rsidR="00761163" w:rsidRPr="00B543FB" w:rsidRDefault="00B543FB" w:rsidP="00B543FB">
      <w:pPr>
        <w:autoSpaceDE w:val="0"/>
        <w:autoSpaceDN w:val="0"/>
        <w:adjustRightInd w:val="0"/>
        <w:rPr>
          <w:szCs w:val="20"/>
          <w:lang w:val="en-US"/>
        </w:rPr>
      </w:pPr>
      <w:r w:rsidRPr="00B543FB">
        <w:rPr>
          <w:lang w:val="en-US"/>
        </w:rPr>
        <w:t>In conclusion, many tests are available for the diagnosis and evaluation of PEI in CP, but every test has some limits and pitfalls. In particular, a diagnostic, non-invasive method to differentiate mild and moderate PEI is still required. Further studies are needed to identify the ideal method in the diagnostic setting of PEI.</w:t>
      </w:r>
    </w:p>
    <w:p w:rsidR="00761163" w:rsidRPr="00B543FB" w:rsidRDefault="00761163" w:rsidP="008F2112">
      <w:pPr>
        <w:autoSpaceDE w:val="0"/>
        <w:autoSpaceDN w:val="0"/>
        <w:adjustRightInd w:val="0"/>
        <w:rPr>
          <w:szCs w:val="20"/>
          <w:lang w:val="en-US"/>
        </w:rPr>
      </w:pPr>
    </w:p>
    <w:p w:rsidR="00B543FB" w:rsidRDefault="00B543FB" w:rsidP="005F199A">
      <w:pPr>
        <w:autoSpaceDE w:val="0"/>
        <w:autoSpaceDN w:val="0"/>
        <w:adjustRightInd w:val="0"/>
        <w:rPr>
          <w:b/>
          <w:szCs w:val="20"/>
          <w:lang w:val="en-US"/>
        </w:rPr>
      </w:pPr>
      <w:r w:rsidRPr="00B543FB">
        <w:rPr>
          <w:b/>
          <w:szCs w:val="20"/>
          <w:lang w:val="en-US"/>
        </w:rPr>
        <w:t xml:space="preserve">PERSPECTIVE </w:t>
      </w:r>
    </w:p>
    <w:p w:rsidR="0038495B" w:rsidRDefault="00B543FB" w:rsidP="005F199A">
      <w:pPr>
        <w:autoSpaceDE w:val="0"/>
        <w:autoSpaceDN w:val="0"/>
        <w:adjustRightInd w:val="0"/>
        <w:rPr>
          <w:szCs w:val="20"/>
          <w:lang w:val="en-US"/>
        </w:rPr>
      </w:pPr>
      <w:r w:rsidRPr="00B543FB">
        <w:rPr>
          <w:szCs w:val="20"/>
          <w:lang w:val="en-US"/>
        </w:rPr>
        <w:t xml:space="preserve">Accurate staging of pancreatitis is crucial to study both the natural history of the disease and the effect of treatment. In the study by </w:t>
      </w:r>
      <w:proofErr w:type="spellStart"/>
      <w:r w:rsidRPr="00B543FB">
        <w:rPr>
          <w:szCs w:val="20"/>
          <w:lang w:val="en-US"/>
        </w:rPr>
        <w:t>Kalmath</w:t>
      </w:r>
      <w:proofErr w:type="spellEnd"/>
      <w:r w:rsidRPr="00B543FB">
        <w:rPr>
          <w:szCs w:val="20"/>
          <w:lang w:val="en-US"/>
        </w:rPr>
        <w:t xml:space="preserve"> et al</w:t>
      </w:r>
      <w:r>
        <w:rPr>
          <w:szCs w:val="20"/>
          <w:lang w:val="en-US"/>
        </w:rPr>
        <w:t xml:space="preserve"> </w:t>
      </w:r>
      <w:r w:rsidRPr="00B543FB">
        <w:rPr>
          <w:szCs w:val="20"/>
          <w:lang w:val="en-US"/>
        </w:rPr>
        <w:t xml:space="preserve">[3], acid </w:t>
      </w:r>
      <w:proofErr w:type="spellStart"/>
      <w:r w:rsidRPr="00B543FB">
        <w:rPr>
          <w:szCs w:val="20"/>
          <w:lang w:val="en-US"/>
        </w:rPr>
        <w:t>steatocrit</w:t>
      </w:r>
      <w:proofErr w:type="spellEnd"/>
      <w:r w:rsidRPr="00B543FB">
        <w:rPr>
          <w:szCs w:val="20"/>
          <w:lang w:val="en-US"/>
        </w:rPr>
        <w:t xml:space="preserve"> and FE1 were compared, while other standard tests like CFA or the 13 C-Mixed Triglyceride Breath test were not considered. It would be interesting in future studies to investigate the comparative usefulness of </w:t>
      </w:r>
      <w:r w:rsidRPr="00B543FB">
        <w:rPr>
          <w:szCs w:val="20"/>
          <w:lang w:val="en-US"/>
        </w:rPr>
        <w:lastRenderedPageBreak/>
        <w:t xml:space="preserve">these tests comprehensively. Moreover, it is reasonable to believe that the additional use of biomarkers could improve the staging systems and this aspect should be explored in future studies. Recently, it has been reported that serum </w:t>
      </w:r>
      <w:proofErr w:type="spellStart"/>
      <w:r w:rsidRPr="00B543FB">
        <w:rPr>
          <w:szCs w:val="20"/>
          <w:lang w:val="en-US"/>
        </w:rPr>
        <w:t>monocyte</w:t>
      </w:r>
      <w:proofErr w:type="spellEnd"/>
      <w:r w:rsidRPr="00B543FB">
        <w:rPr>
          <w:szCs w:val="20"/>
          <w:lang w:val="en-US"/>
        </w:rPr>
        <w:t xml:space="preserve"> </w:t>
      </w:r>
      <w:proofErr w:type="spellStart"/>
      <w:r w:rsidRPr="00B543FB">
        <w:rPr>
          <w:szCs w:val="20"/>
          <w:lang w:val="en-US"/>
        </w:rPr>
        <w:t>chemoattractant</w:t>
      </w:r>
      <w:proofErr w:type="spellEnd"/>
      <w:r w:rsidRPr="00B543FB">
        <w:rPr>
          <w:szCs w:val="20"/>
          <w:lang w:val="en-US"/>
        </w:rPr>
        <w:t xml:space="preserve"> protein-1 levels were lower in patients with CP and PEI as compared to patients with CP without PEI</w:t>
      </w:r>
      <w:r>
        <w:rPr>
          <w:szCs w:val="20"/>
          <w:lang w:val="en-US"/>
        </w:rPr>
        <w:t xml:space="preserve"> </w:t>
      </w:r>
      <w:r w:rsidRPr="00B543FB">
        <w:rPr>
          <w:szCs w:val="20"/>
          <w:lang w:val="en-US"/>
        </w:rPr>
        <w:t xml:space="preserve">[15]. A panel of 6 serum </w:t>
      </w:r>
      <w:proofErr w:type="spellStart"/>
      <w:r w:rsidRPr="00B543FB">
        <w:rPr>
          <w:szCs w:val="20"/>
          <w:lang w:val="en-US"/>
        </w:rPr>
        <w:t>miRNA</w:t>
      </w:r>
      <w:proofErr w:type="spellEnd"/>
      <w:r w:rsidRPr="00B543FB">
        <w:rPr>
          <w:szCs w:val="20"/>
          <w:lang w:val="en-US"/>
        </w:rPr>
        <w:t xml:space="preserve"> has been recently suggested as potential useful investigation for diagnosis of CP, especially for the early diagnosis of CP</w:t>
      </w:r>
      <w:r>
        <w:rPr>
          <w:szCs w:val="20"/>
          <w:lang w:val="en-US"/>
        </w:rPr>
        <w:t xml:space="preserve"> </w:t>
      </w:r>
      <w:r w:rsidRPr="00B543FB">
        <w:rPr>
          <w:szCs w:val="20"/>
          <w:lang w:val="en-US"/>
        </w:rPr>
        <w:t>[16]. Future studies concerning the association of tests, such as pancreatic function tests, biomarkers or radiological-endoscopic imaging, could be helpful for the early detection of CP.</w:t>
      </w:r>
    </w:p>
    <w:p w:rsidR="00B543FB" w:rsidRDefault="00B543FB">
      <w:pPr>
        <w:spacing w:after="200" w:line="276" w:lineRule="auto"/>
        <w:jc w:val="left"/>
        <w:rPr>
          <w:szCs w:val="20"/>
          <w:lang w:val="en-US"/>
        </w:rPr>
      </w:pPr>
      <w:r>
        <w:rPr>
          <w:szCs w:val="20"/>
          <w:lang w:val="en-US"/>
        </w:rPr>
        <w:br w:type="page"/>
      </w:r>
    </w:p>
    <w:p w:rsidR="00B543FB" w:rsidRPr="00B543FB" w:rsidRDefault="00B543FB" w:rsidP="005F199A">
      <w:pPr>
        <w:autoSpaceDE w:val="0"/>
        <w:autoSpaceDN w:val="0"/>
        <w:adjustRightInd w:val="0"/>
        <w:rPr>
          <w:szCs w:val="20"/>
          <w:lang w:val="en-US"/>
        </w:rPr>
      </w:pPr>
      <w:r>
        <w:rPr>
          <w:noProof/>
          <w:szCs w:val="20"/>
          <w:lang w:eastAsia="zh-CN"/>
        </w:rPr>
        <w:lastRenderedPageBreak/>
        <w:pict>
          <v:shapetype id="_x0000_t202" coordsize="21600,21600" o:spt="202" path="m,l,21600r21600,l21600,xe">
            <v:stroke joinstyle="miter"/>
            <v:path gradientshapeok="t" o:connecttype="rect"/>
          </v:shapetype>
          <v:shape id="文本框 3" o:spid="_x0000_s1029" type="#_x0000_t202" style="position:absolute;left:0;text-align:left;margin-left:-23.55pt;margin-top:108.3pt;width:416.05pt;height:343.5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">
            <v:textbox style="mso-fit-shape-to-text:t">
              <w:txbxContent>
                <w:p w:rsidR="00B543FB" w:rsidRPr="00B543FB" w:rsidRDefault="00B543FB" w:rsidP="00B543FB">
                  <w:pPr>
                    <w:tabs>
                      <w:tab w:val="left" w:pos="360"/>
                    </w:tabs>
                    <w:suppressAutoHyphens/>
                    <w:autoSpaceDE w:val="0"/>
                    <w:autoSpaceDN w:val="0"/>
                    <w:adjustRightInd w:val="0"/>
                    <w:spacing w:line="200" w:lineRule="atLeast"/>
                    <w:ind w:left="360" w:hanging="360"/>
                    <w:textAlignment w:val="center"/>
                    <w:rPr>
                      <w:rFonts w:hint="eastAsia"/>
                      <w:b/>
                      <w:lang w:val="en-US"/>
                    </w:rPr>
                  </w:pPr>
                  <w:r w:rsidRPr="00B543FB">
                    <w:rPr>
                      <w:b/>
                      <w:lang w:val="en-US"/>
                    </w:rPr>
                    <w:t>Table 1</w:t>
                  </w:r>
                  <w:r>
                    <w:rPr>
                      <w:b/>
                      <w:lang w:val="en-US"/>
                    </w:rPr>
                    <w:t xml:space="preserve"> </w:t>
                  </w:r>
                  <w:r w:rsidRPr="00B543FB">
                    <w:rPr>
                      <w:b/>
                      <w:lang w:val="en-US"/>
                    </w:rPr>
                    <w:t>Advantages and pitfalls of function tests for pancreatic exocrine insufficiency</w:t>
                  </w:r>
                </w:p>
                <w:tbl>
                  <w:tblPr>
                    <w:tblW w:w="9552" w:type="dxa"/>
                    <w:tblInd w:w="28" w:type="dxa"/>
                    <w:tblBorders>
                      <w:top w:val="single" w:sz="6" w:space="0" w:color="000000"/>
                      <w:bottom w:val="single" w:sz="6" w:space="0" w:color="000000"/>
                    </w:tblBorders>
                    <w:tblLayout w:type="fixed"/>
                    <w:tblCellMar>
                      <w:left w:w="0" w:type="dxa"/>
                      <w:right w:w="0" w:type="dxa"/>
                    </w:tblCellMar>
                    <w:tblLook w:val="0000"/>
                  </w:tblPr>
                  <w:tblGrid>
                    <w:gridCol w:w="3561"/>
                    <w:gridCol w:w="2996"/>
                    <w:gridCol w:w="2995"/>
                  </w:tblGrid>
                  <w:tr w:rsidR="00B543FB" w:rsidRPr="00335351" w:rsidTr="00C51F5E">
                    <w:tblPrEx>
                      <w:tblCellMar>
                        <w:top w:w="0" w:type="dxa"/>
                        <w:left w:w="0" w:type="dxa"/>
                        <w:bottom w:w="0" w:type="dxa"/>
                        <w:right w:w="0" w:type="dxa"/>
                      </w:tblCellMar>
                    </w:tblPrEx>
                    <w:trPr>
                      <w:trHeight w:hRule="exact" w:val="445"/>
                    </w:trPr>
                    <w:tc>
                      <w:tcPr>
                        <w:tcW w:w="3561" w:type="dxa"/>
                        <w:tcBorders>
                          <w:top w:val="single" w:sz="6" w:space="0" w:color="000000"/>
                          <w:bottom w:val="single" w:sz="6" w:space="0" w:color="000000"/>
                        </w:tcBorders>
                        <w:tcMar>
                          <w:top w:w="28" w:type="dxa"/>
                          <w:left w:w="28" w:type="dxa"/>
                          <w:bottom w:w="28" w:type="dxa"/>
                          <w:right w:w="28" w:type="dxa"/>
                        </w:tcMar>
                      </w:tcPr>
                      <w:p w:rsidR="00B543FB" w:rsidRPr="00335351" w:rsidRDefault="00B543FB" w:rsidP="00C51F5E">
                        <w:pPr>
                          <w:suppressAutoHyphens/>
                          <w:autoSpaceDE w:val="0"/>
                          <w:autoSpaceDN w:val="0"/>
                          <w:adjustRightInd w:val="0"/>
                          <w:spacing w:line="288" w:lineRule="auto"/>
                          <w:jc w:val="left"/>
                          <w:textAlignment w:val="center"/>
                          <w:rPr>
                            <w:rFonts w:ascii="Albertus" w:hAnsi="Albertus" w:cs="Albertus"/>
                            <w:b/>
                            <w:bCs/>
                            <w:color w:val="000000"/>
                            <w:sz w:val="14"/>
                            <w:szCs w:val="14"/>
                            <w:lang w:val="zh-CN"/>
                          </w:rPr>
                        </w:pPr>
                        <w:r w:rsidRPr="00335351">
                          <w:rPr>
                            <w:rFonts w:ascii="Albertus" w:hAnsi="Albertus" w:cs="Albertus"/>
                            <w:b/>
                            <w:bCs/>
                            <w:color w:val="000000"/>
                            <w:sz w:val="14"/>
                            <w:szCs w:val="14"/>
                            <w:lang w:val="zh-CN"/>
                          </w:rPr>
                          <w:t>Test</w:t>
                        </w:r>
                      </w:p>
                      <w:p w:rsidR="00B543FB" w:rsidRPr="00335351" w:rsidRDefault="00B543FB" w:rsidP="00C51F5E">
                        <w:pPr>
                          <w:suppressAutoHyphens/>
                          <w:autoSpaceDE w:val="0"/>
                          <w:autoSpaceDN w:val="0"/>
                          <w:adjustRightInd w:val="0"/>
                          <w:spacing w:line="288" w:lineRule="auto"/>
                          <w:jc w:val="left"/>
                          <w:textAlignment w:val="center"/>
                          <w:rPr>
                            <w:rFonts w:ascii="Albertus" w:hAnsi="Albertus" w:cs="Albertus"/>
                            <w:b/>
                            <w:bCs/>
                            <w:color w:val="000000"/>
                            <w:sz w:val="14"/>
                            <w:szCs w:val="14"/>
                            <w:lang w:val="zh-CN"/>
                          </w:rPr>
                        </w:pPr>
                      </w:p>
                    </w:tc>
                    <w:tc>
                      <w:tcPr>
                        <w:tcW w:w="2996" w:type="dxa"/>
                        <w:tcBorders>
                          <w:top w:val="single" w:sz="6" w:space="0" w:color="000000"/>
                          <w:bottom w:val="single" w:sz="6" w:space="0" w:color="000000"/>
                        </w:tcBorders>
                        <w:tcMar>
                          <w:top w:w="28" w:type="dxa"/>
                          <w:left w:w="28" w:type="dxa"/>
                          <w:bottom w:w="28" w:type="dxa"/>
                          <w:right w:w="28" w:type="dxa"/>
                        </w:tcMar>
                      </w:tcPr>
                      <w:p w:rsidR="00B543FB" w:rsidRPr="00335351" w:rsidRDefault="00B543FB" w:rsidP="00C51F5E">
                        <w:pPr>
                          <w:suppressAutoHyphens/>
                          <w:autoSpaceDE w:val="0"/>
                          <w:autoSpaceDN w:val="0"/>
                          <w:adjustRightInd w:val="0"/>
                          <w:spacing w:line="288" w:lineRule="auto"/>
                          <w:jc w:val="center"/>
                          <w:textAlignment w:val="center"/>
                          <w:rPr>
                            <w:rFonts w:ascii="Albertus" w:hAnsi="Albertus" w:cs="Albertus"/>
                            <w:b/>
                            <w:bCs/>
                            <w:color w:val="000000"/>
                            <w:sz w:val="14"/>
                            <w:szCs w:val="14"/>
                            <w:lang w:val="zh-CN"/>
                          </w:rPr>
                        </w:pPr>
                        <w:r w:rsidRPr="00335351">
                          <w:rPr>
                            <w:rFonts w:ascii="Albertus" w:hAnsi="Albertus" w:cs="Albertus"/>
                            <w:b/>
                            <w:bCs/>
                            <w:color w:val="000000"/>
                            <w:sz w:val="14"/>
                            <w:szCs w:val="14"/>
                            <w:lang w:val="zh-CN"/>
                          </w:rPr>
                          <w:t>Advantages</w:t>
                        </w:r>
                      </w:p>
                      <w:p w:rsidR="00B543FB" w:rsidRPr="00335351" w:rsidRDefault="00B543FB" w:rsidP="00C51F5E">
                        <w:pPr>
                          <w:suppressAutoHyphens/>
                          <w:autoSpaceDE w:val="0"/>
                          <w:autoSpaceDN w:val="0"/>
                          <w:adjustRightInd w:val="0"/>
                          <w:spacing w:line="288" w:lineRule="auto"/>
                          <w:jc w:val="center"/>
                          <w:textAlignment w:val="center"/>
                          <w:rPr>
                            <w:rFonts w:ascii="Albertus" w:hAnsi="Albertus" w:cs="Albertus"/>
                            <w:b/>
                            <w:bCs/>
                            <w:color w:val="000000"/>
                            <w:sz w:val="14"/>
                            <w:szCs w:val="14"/>
                            <w:lang w:val="zh-CN"/>
                          </w:rPr>
                        </w:pPr>
                      </w:p>
                    </w:tc>
                    <w:tc>
                      <w:tcPr>
                        <w:tcW w:w="2995" w:type="dxa"/>
                        <w:tcBorders>
                          <w:top w:val="single" w:sz="6" w:space="0" w:color="000000"/>
                          <w:bottom w:val="single" w:sz="6" w:space="0" w:color="000000"/>
                        </w:tcBorders>
                        <w:tcMar>
                          <w:top w:w="28" w:type="dxa"/>
                          <w:left w:w="28" w:type="dxa"/>
                          <w:bottom w:w="28" w:type="dxa"/>
                          <w:right w:w="28" w:type="dxa"/>
                        </w:tcMar>
                      </w:tcPr>
                      <w:p w:rsidR="00B543FB" w:rsidRPr="00335351" w:rsidRDefault="00B543FB" w:rsidP="00C51F5E">
                        <w:pPr>
                          <w:suppressAutoHyphens/>
                          <w:autoSpaceDE w:val="0"/>
                          <w:autoSpaceDN w:val="0"/>
                          <w:adjustRightInd w:val="0"/>
                          <w:spacing w:line="288" w:lineRule="auto"/>
                          <w:jc w:val="center"/>
                          <w:textAlignment w:val="center"/>
                          <w:rPr>
                            <w:rFonts w:ascii="Albertus" w:hAnsi="Albertus" w:cs="Albertus"/>
                            <w:b/>
                            <w:bCs/>
                            <w:color w:val="000000"/>
                            <w:sz w:val="14"/>
                            <w:szCs w:val="14"/>
                            <w:lang w:val="zh-CN"/>
                          </w:rPr>
                        </w:pPr>
                        <w:r w:rsidRPr="00335351">
                          <w:rPr>
                            <w:rFonts w:ascii="Albertus" w:hAnsi="Albertus" w:cs="Albertus"/>
                            <w:b/>
                            <w:bCs/>
                            <w:color w:val="000000"/>
                            <w:sz w:val="14"/>
                            <w:szCs w:val="14"/>
                            <w:lang w:val="zh-CN"/>
                          </w:rPr>
                          <w:t>Pitfalls</w:t>
                        </w:r>
                      </w:p>
                      <w:p w:rsidR="00B543FB" w:rsidRPr="00335351" w:rsidRDefault="00B543FB" w:rsidP="00C51F5E">
                        <w:pPr>
                          <w:suppressAutoHyphens/>
                          <w:autoSpaceDE w:val="0"/>
                          <w:autoSpaceDN w:val="0"/>
                          <w:adjustRightInd w:val="0"/>
                          <w:spacing w:line="288" w:lineRule="auto"/>
                          <w:jc w:val="center"/>
                          <w:textAlignment w:val="center"/>
                          <w:rPr>
                            <w:rFonts w:ascii="Albertus" w:hAnsi="Albertus" w:cs="Albertus"/>
                            <w:b/>
                            <w:bCs/>
                            <w:color w:val="000000"/>
                            <w:sz w:val="14"/>
                            <w:szCs w:val="14"/>
                            <w:lang w:val="zh-CN"/>
                          </w:rPr>
                        </w:pPr>
                      </w:p>
                    </w:tc>
                  </w:tr>
                  <w:tr w:rsidR="00B543FB" w:rsidRPr="00335351" w:rsidTr="00C51F5E">
                    <w:tblPrEx>
                      <w:tblCellMar>
                        <w:top w:w="0" w:type="dxa"/>
                        <w:left w:w="0" w:type="dxa"/>
                        <w:bottom w:w="0" w:type="dxa"/>
                        <w:right w:w="0" w:type="dxa"/>
                      </w:tblCellMar>
                    </w:tblPrEx>
                    <w:trPr>
                      <w:trHeight w:val="60"/>
                    </w:trPr>
                    <w:tc>
                      <w:tcPr>
                        <w:tcW w:w="3561" w:type="dxa"/>
                        <w:tcBorders>
                          <w:top w:val="single" w:sz="6" w:space="0" w:color="000000"/>
                        </w:tcBorders>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 xml:space="preserve">Aspiration of pancreatic contents (during </w:t>
                        </w:r>
                        <w:proofErr w:type="spellStart"/>
                        <w:r w:rsidRPr="00335351">
                          <w:rPr>
                            <w:rFonts w:ascii="Book Antiqua" w:hAnsi="Book Antiqua" w:cs="Book Antiqua"/>
                            <w:bCs/>
                            <w:color w:val="000000"/>
                            <w:sz w:val="14"/>
                            <w:szCs w:val="14"/>
                          </w:rPr>
                          <w:t>secretin-cholecystokinin</w:t>
                        </w:r>
                        <w:proofErr w:type="spellEnd"/>
                        <w:r w:rsidRPr="00335351">
                          <w:rPr>
                            <w:rFonts w:ascii="Book Antiqua" w:hAnsi="Book Antiqua" w:cs="Book Antiqua"/>
                            <w:bCs/>
                            <w:color w:val="000000"/>
                            <w:sz w:val="14"/>
                            <w:szCs w:val="14"/>
                          </w:rPr>
                          <w:t>/</w:t>
                        </w:r>
                        <w:proofErr w:type="spellStart"/>
                        <w:r w:rsidRPr="00335351">
                          <w:rPr>
                            <w:rFonts w:ascii="Book Antiqua" w:hAnsi="Book Antiqua" w:cs="Book Antiqua"/>
                            <w:bCs/>
                            <w:color w:val="000000"/>
                            <w:sz w:val="14"/>
                            <w:szCs w:val="14"/>
                          </w:rPr>
                          <w:t>cerulein</w:t>
                        </w:r>
                        <w:proofErr w:type="spellEnd"/>
                        <w:r w:rsidRPr="00335351">
                          <w:rPr>
                            <w:rFonts w:ascii="Book Antiqua" w:hAnsi="Book Antiqua" w:cs="Book Antiqua"/>
                            <w:bCs/>
                            <w:color w:val="000000"/>
                            <w:sz w:val="14"/>
                            <w:szCs w:val="14"/>
                          </w:rPr>
                          <w:t xml:space="preserve"> administration)</w:t>
                        </w:r>
                      </w:p>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rPr>
                        </w:pPr>
                      </w:p>
                    </w:tc>
                    <w:tc>
                      <w:tcPr>
                        <w:tcW w:w="2996" w:type="dxa"/>
                        <w:tcBorders>
                          <w:top w:val="single" w:sz="6" w:space="0" w:color="000000"/>
                        </w:tcBorders>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lang w:val="zh-CN"/>
                          </w:rPr>
                        </w:pPr>
                        <w:r w:rsidRPr="00335351">
                          <w:rPr>
                            <w:rFonts w:ascii="Book Antiqua" w:hAnsi="Book Antiqua" w:cs="Book Antiqua"/>
                            <w:bCs/>
                            <w:color w:val="000000"/>
                            <w:sz w:val="14"/>
                            <w:szCs w:val="14"/>
                            <w:lang w:val="zh-CN"/>
                          </w:rPr>
                          <w:t>High sensitivity</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lang w:val="zh-CN"/>
                          </w:rPr>
                        </w:pPr>
                      </w:p>
                    </w:tc>
                    <w:tc>
                      <w:tcPr>
                        <w:tcW w:w="2995" w:type="dxa"/>
                        <w:tcBorders>
                          <w:top w:val="single" w:sz="6" w:space="0" w:color="000000"/>
                        </w:tcBorders>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Invasive; only available in specialized centers</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r>
                  <w:tr w:rsidR="00B543FB" w:rsidRPr="00335351" w:rsidTr="00C51F5E">
                    <w:tblPrEx>
                      <w:tblCellMar>
                        <w:top w:w="0" w:type="dxa"/>
                        <w:left w:w="0" w:type="dxa"/>
                        <w:bottom w:w="0" w:type="dxa"/>
                        <w:right w:w="0" w:type="dxa"/>
                      </w:tblCellMar>
                    </w:tblPrEx>
                    <w:trPr>
                      <w:trHeight w:val="60"/>
                    </w:trPr>
                    <w:tc>
                      <w:tcPr>
                        <w:tcW w:w="3561"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r w:rsidRPr="00335351">
                          <w:rPr>
                            <w:rFonts w:ascii="Book Antiqua" w:hAnsi="Book Antiqua" w:cs="Book Antiqua"/>
                            <w:bCs/>
                            <w:color w:val="000000"/>
                            <w:sz w:val="14"/>
                            <w:szCs w:val="14"/>
                            <w:lang w:val="zh-CN"/>
                          </w:rPr>
                          <w:t>CFA</w:t>
                        </w:r>
                      </w:p>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p>
                    </w:tc>
                    <w:tc>
                      <w:tcPr>
                        <w:tcW w:w="2996"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Gold standard; useful in monitoring PERT</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c>
                      <w:tcPr>
                        <w:tcW w:w="2995"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Need of a strict diet; unpleasant and long stool collection; no simultaneous PERT</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r>
                  <w:tr w:rsidR="00B543FB" w:rsidRPr="00335351" w:rsidTr="00C51F5E">
                    <w:tblPrEx>
                      <w:tblCellMar>
                        <w:top w:w="0" w:type="dxa"/>
                        <w:left w:w="0" w:type="dxa"/>
                        <w:bottom w:w="0" w:type="dxa"/>
                        <w:right w:w="0" w:type="dxa"/>
                      </w:tblCellMar>
                    </w:tblPrEx>
                    <w:trPr>
                      <w:trHeight w:val="60"/>
                    </w:trPr>
                    <w:tc>
                      <w:tcPr>
                        <w:tcW w:w="3561"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r w:rsidRPr="00335351">
                          <w:rPr>
                            <w:rFonts w:ascii="Book Antiqua" w:hAnsi="Book Antiqua" w:cs="Book Antiqua"/>
                            <w:bCs/>
                            <w:color w:val="000000"/>
                            <w:sz w:val="14"/>
                            <w:szCs w:val="14"/>
                            <w:lang w:val="zh-CN"/>
                          </w:rPr>
                          <w:t>FE-1</w:t>
                        </w:r>
                      </w:p>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p>
                    </w:tc>
                    <w:tc>
                      <w:tcPr>
                        <w:tcW w:w="2996"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Easy test; widely available; no need to stop PERT</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c>
                      <w:tcPr>
                        <w:tcW w:w="2995"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Low sensitivity in mild PEI; not clear cut-off</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r>
                  <w:tr w:rsidR="00B543FB" w:rsidRPr="00335351" w:rsidTr="00C51F5E">
                    <w:tblPrEx>
                      <w:tblCellMar>
                        <w:top w:w="0" w:type="dxa"/>
                        <w:left w:w="0" w:type="dxa"/>
                        <w:bottom w:w="0" w:type="dxa"/>
                        <w:right w:w="0" w:type="dxa"/>
                      </w:tblCellMar>
                    </w:tblPrEx>
                    <w:trPr>
                      <w:trHeight w:val="60"/>
                    </w:trPr>
                    <w:tc>
                      <w:tcPr>
                        <w:tcW w:w="3561"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r w:rsidRPr="00335351">
                          <w:rPr>
                            <w:rFonts w:ascii="Book Antiqua" w:hAnsi="Book Antiqua" w:cs="Book Antiqua"/>
                            <w:bCs/>
                            <w:color w:val="000000"/>
                            <w:sz w:val="14"/>
                            <w:szCs w:val="14"/>
                            <w:lang w:val="zh-CN"/>
                          </w:rPr>
                          <w:t>Acid steatocrit</w:t>
                        </w:r>
                      </w:p>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p>
                    </w:tc>
                    <w:tc>
                      <w:tcPr>
                        <w:tcW w:w="2996"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lang w:val="zh-CN"/>
                          </w:rPr>
                        </w:pPr>
                        <w:r w:rsidRPr="00335351">
                          <w:rPr>
                            <w:rFonts w:ascii="Book Antiqua" w:hAnsi="Book Antiqua" w:cs="Book Antiqua"/>
                            <w:bCs/>
                            <w:color w:val="000000"/>
                            <w:sz w:val="14"/>
                            <w:szCs w:val="14"/>
                            <w:lang w:val="zh-CN"/>
                          </w:rPr>
                          <w:t>Good correlation with CFA</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lang w:val="zh-CN"/>
                          </w:rPr>
                        </w:pPr>
                      </w:p>
                    </w:tc>
                    <w:tc>
                      <w:tcPr>
                        <w:tcW w:w="2995"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Lack of standardization; Influenced by dietary fat intake</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r>
                  <w:tr w:rsidR="00B543FB" w:rsidRPr="00335351" w:rsidTr="00C51F5E">
                    <w:tblPrEx>
                      <w:tblCellMar>
                        <w:top w:w="0" w:type="dxa"/>
                        <w:left w:w="0" w:type="dxa"/>
                        <w:bottom w:w="0" w:type="dxa"/>
                        <w:right w:w="0" w:type="dxa"/>
                      </w:tblCellMar>
                    </w:tblPrEx>
                    <w:trPr>
                      <w:trHeight w:val="60"/>
                    </w:trPr>
                    <w:tc>
                      <w:tcPr>
                        <w:tcW w:w="3561"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r w:rsidRPr="00335351">
                          <w:rPr>
                            <w:rFonts w:ascii="Book Antiqua" w:hAnsi="Book Antiqua" w:cs="Book Antiqua"/>
                            <w:bCs/>
                            <w:color w:val="000000"/>
                            <w:sz w:val="14"/>
                            <w:szCs w:val="14"/>
                            <w:vertAlign w:val="superscript"/>
                            <w:lang w:val="zh-CN"/>
                          </w:rPr>
                          <w:t>13</w:t>
                        </w:r>
                        <w:r w:rsidRPr="00335351">
                          <w:rPr>
                            <w:rFonts w:ascii="Book Antiqua" w:hAnsi="Book Antiqua" w:cs="Book Antiqua"/>
                            <w:bCs/>
                            <w:color w:val="000000"/>
                            <w:sz w:val="14"/>
                            <w:szCs w:val="14"/>
                            <w:lang w:val="zh-CN"/>
                          </w:rPr>
                          <w:t>C-mixed Triglyceride Breath Test</w:t>
                        </w:r>
                      </w:p>
                      <w:p w:rsidR="00B543FB" w:rsidRPr="00335351" w:rsidRDefault="00B543FB" w:rsidP="00C51F5E">
                        <w:pPr>
                          <w:suppressAutoHyphens/>
                          <w:autoSpaceDE w:val="0"/>
                          <w:autoSpaceDN w:val="0"/>
                          <w:adjustRightInd w:val="0"/>
                          <w:spacing w:line="200" w:lineRule="atLeast"/>
                          <w:jc w:val="left"/>
                          <w:textAlignment w:val="center"/>
                          <w:rPr>
                            <w:rFonts w:ascii="Book Antiqua" w:hAnsi="Book Antiqua" w:cs="Book Antiqua"/>
                            <w:bCs/>
                            <w:color w:val="000000"/>
                            <w:sz w:val="14"/>
                            <w:szCs w:val="14"/>
                            <w:lang w:val="zh-CN"/>
                          </w:rPr>
                        </w:pPr>
                      </w:p>
                    </w:tc>
                    <w:tc>
                      <w:tcPr>
                        <w:tcW w:w="2996"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Good sensitivity in detecting mild to moderate PEI; useful in monitoring PERT</w:t>
                        </w:r>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c>
                      <w:tcPr>
                        <w:tcW w:w="2995" w:type="dxa"/>
                        <w:tcMar>
                          <w:top w:w="28" w:type="dxa"/>
                          <w:left w:w="28" w:type="dxa"/>
                          <w:bottom w:w="28" w:type="dxa"/>
                          <w:right w:w="28" w:type="dxa"/>
                        </w:tcMar>
                      </w:tcPr>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 xml:space="preserve">Only available in specialized center; false positive results in </w:t>
                        </w:r>
                        <w:proofErr w:type="spellStart"/>
                        <w:r w:rsidRPr="00335351">
                          <w:rPr>
                            <w:rFonts w:ascii="Book Antiqua" w:hAnsi="Book Antiqua" w:cs="Book Antiqua"/>
                            <w:bCs/>
                            <w:color w:val="000000"/>
                            <w:sz w:val="14"/>
                            <w:szCs w:val="14"/>
                          </w:rPr>
                          <w:t>non</w:t>
                        </w:r>
                        <w:proofErr w:type="spellEnd"/>
                        <w:r w:rsidRPr="00335351">
                          <w:rPr>
                            <w:rFonts w:ascii="Book Antiqua" w:hAnsi="Book Antiqua" w:cs="Book Antiqua"/>
                            <w:bCs/>
                            <w:color w:val="000000"/>
                            <w:sz w:val="14"/>
                            <w:szCs w:val="14"/>
                          </w:rPr>
                          <w:t xml:space="preserve"> </w:t>
                        </w:r>
                        <w:proofErr w:type="spellStart"/>
                        <w:r w:rsidRPr="00335351">
                          <w:rPr>
                            <w:rFonts w:ascii="Book Antiqua" w:hAnsi="Book Antiqua" w:cs="Book Antiqua"/>
                            <w:bCs/>
                            <w:color w:val="000000"/>
                            <w:sz w:val="14"/>
                            <w:szCs w:val="14"/>
                          </w:rPr>
                          <w:t>pancreatic</w:t>
                        </w:r>
                        <w:proofErr w:type="spellEnd"/>
                        <w:r w:rsidRPr="00335351">
                          <w:rPr>
                            <w:rFonts w:ascii="Book Antiqua" w:hAnsi="Book Antiqua" w:cs="Book Antiqua"/>
                            <w:bCs/>
                            <w:color w:val="000000"/>
                            <w:sz w:val="14"/>
                            <w:szCs w:val="14"/>
                          </w:rPr>
                          <w:t xml:space="preserve"> fat </w:t>
                        </w:r>
                        <w:proofErr w:type="spellStart"/>
                        <w:r w:rsidRPr="00335351">
                          <w:rPr>
                            <w:rFonts w:ascii="Book Antiqua" w:hAnsi="Book Antiqua" w:cs="Book Antiqua"/>
                            <w:bCs/>
                            <w:color w:val="000000"/>
                            <w:sz w:val="14"/>
                            <w:szCs w:val="14"/>
                          </w:rPr>
                          <w:t>malabsorpion</w:t>
                        </w:r>
                        <w:proofErr w:type="spellEnd"/>
                      </w:p>
                      <w:p w:rsidR="00B543FB" w:rsidRPr="00335351" w:rsidRDefault="00B543FB" w:rsidP="00C51F5E">
                        <w:pPr>
                          <w:suppressAutoHyphens/>
                          <w:autoSpaceDE w:val="0"/>
                          <w:autoSpaceDN w:val="0"/>
                          <w:adjustRightInd w:val="0"/>
                          <w:spacing w:line="200" w:lineRule="atLeast"/>
                          <w:jc w:val="center"/>
                          <w:textAlignment w:val="center"/>
                          <w:rPr>
                            <w:rFonts w:ascii="Book Antiqua" w:hAnsi="Book Antiqua" w:cs="Book Antiqua"/>
                            <w:bCs/>
                            <w:color w:val="000000"/>
                            <w:sz w:val="14"/>
                            <w:szCs w:val="14"/>
                          </w:rPr>
                        </w:pPr>
                      </w:p>
                    </w:tc>
                  </w:tr>
                </w:tbl>
                <w:p w:rsidR="00B543FB" w:rsidRPr="00030C92" w:rsidRDefault="00B543FB" w:rsidP="00B543FB">
                  <w:pPr>
                    <w:suppressAutoHyphens/>
                    <w:autoSpaceDE w:val="0"/>
                    <w:autoSpaceDN w:val="0"/>
                    <w:adjustRightInd w:val="0"/>
                    <w:spacing w:line="200" w:lineRule="atLeast"/>
                    <w:textAlignment w:val="center"/>
                    <w:rPr>
                      <w:rFonts w:ascii="Book Antiqua" w:hAnsi="Book Antiqua" w:cs="Book Antiqua"/>
                      <w:bCs/>
                      <w:color w:val="000000"/>
                      <w:sz w:val="14"/>
                      <w:szCs w:val="14"/>
                    </w:rPr>
                  </w:pPr>
                  <w:r w:rsidRPr="00335351">
                    <w:rPr>
                      <w:rFonts w:ascii="Book Antiqua" w:hAnsi="Book Antiqua" w:cs="Book Antiqua"/>
                      <w:bCs/>
                      <w:color w:val="000000"/>
                      <w:sz w:val="14"/>
                      <w:szCs w:val="14"/>
                    </w:rPr>
                    <w:t>CFA: Coefficient off at absorption; PERT: Pancreatic enzyme supplementation therapy; FE-1: Fecal elastase-1; PEI: Pancreatic exocrine insufficiency.</w:t>
                  </w:r>
                </w:p>
              </w:txbxContent>
            </v:textbox>
            <w10:wrap type="square"/>
          </v:shape>
        </w:pict>
      </w:r>
    </w:p>
    <w:p w:rsidR="00CA6FA0" w:rsidRPr="00B543FB" w:rsidRDefault="00CA6FA0" w:rsidP="00176B92">
      <w:pPr>
        <w:autoSpaceDE w:val="0"/>
        <w:autoSpaceDN w:val="0"/>
        <w:adjustRightInd w:val="0"/>
        <w:jc w:val="right"/>
        <w:rPr>
          <w:szCs w:val="20"/>
          <w:lang w:val="en-US"/>
        </w:rPr>
      </w:pPr>
    </w:p>
    <w:p w:rsidR="00B543FB" w:rsidRDefault="00B543FB">
      <w:pPr>
        <w:spacing w:after="200" w:line="276" w:lineRule="auto"/>
        <w:jc w:val="left"/>
        <w:rPr>
          <w:b/>
          <w:lang w:val="en-US"/>
        </w:rPr>
      </w:pPr>
      <w:r>
        <w:rPr>
          <w:b/>
          <w:lang w:val="en-US"/>
        </w:rPr>
        <w:br w:type="page"/>
      </w:r>
    </w:p>
    <w:p w:rsidR="00746701" w:rsidRPr="00B6234E" w:rsidRDefault="00B543FB" w:rsidP="007C0239">
      <w:pPr>
        <w:autoSpaceDE w:val="0"/>
        <w:autoSpaceDN w:val="0"/>
        <w:adjustRightInd w:val="0"/>
        <w:rPr>
          <w:b/>
        </w:rPr>
      </w:pPr>
      <w:r>
        <w:rPr>
          <w:b/>
          <w:lang w:val="en-US"/>
        </w:rPr>
        <w:lastRenderedPageBreak/>
        <w:t>References</w:t>
      </w:r>
      <w:r w:rsidR="00C6165D" w:rsidRPr="00B6234E">
        <w:rPr>
          <w:b/>
        </w:rPr>
        <w:t>:</w:t>
      </w:r>
    </w:p>
    <w:p w:rsidR="00606F3B" w:rsidRPr="00B6234E" w:rsidRDefault="00606F3B" w:rsidP="00C6165D">
      <w:pPr>
        <w:pStyle w:val="a6"/>
        <w:numPr>
          <w:ilvl w:val="0"/>
          <w:numId w:val="1"/>
        </w:numPr>
        <w:autoSpaceDE w:val="0"/>
        <w:autoSpaceDN w:val="0"/>
        <w:adjustRightInd w:val="0"/>
        <w:rPr>
          <w:lang w:val="en-US"/>
        </w:rPr>
      </w:pPr>
      <w:bookmarkStart w:id="0" w:name="_Ref519544787"/>
      <w:r w:rsidRPr="00B6234E">
        <w:rPr>
          <w:lang w:val="en-US"/>
        </w:rPr>
        <w:t xml:space="preserve">Comparing acid </w:t>
      </w:r>
      <w:proofErr w:type="spellStart"/>
      <w:r w:rsidRPr="00B6234E">
        <w:rPr>
          <w:lang w:val="en-US"/>
        </w:rPr>
        <w:t>steatocrit</w:t>
      </w:r>
      <w:proofErr w:type="spellEnd"/>
      <w:r w:rsidRPr="00B6234E">
        <w:rPr>
          <w:lang w:val="en-US"/>
        </w:rPr>
        <w:t xml:space="preserve"> and </w:t>
      </w:r>
      <w:proofErr w:type="spellStart"/>
      <w:r w:rsidRPr="00B6234E">
        <w:rPr>
          <w:lang w:val="en-US"/>
        </w:rPr>
        <w:t>faecal</w:t>
      </w:r>
      <w:proofErr w:type="spellEnd"/>
      <w:r w:rsidRPr="00B6234E">
        <w:rPr>
          <w:lang w:val="en-US"/>
        </w:rPr>
        <w:t xml:space="preserve"> </w:t>
      </w:r>
      <w:proofErr w:type="spellStart"/>
      <w:r w:rsidRPr="00B6234E">
        <w:rPr>
          <w:lang w:val="en-US"/>
        </w:rPr>
        <w:t>elastase</w:t>
      </w:r>
      <w:proofErr w:type="spellEnd"/>
      <w:r w:rsidRPr="00B6234E">
        <w:rPr>
          <w:lang w:val="en-US"/>
        </w:rPr>
        <w:t xml:space="preserve"> estimations for use in M-ANNHEIM staging for pancreatitis / </w:t>
      </w:r>
      <w:r w:rsidRPr="00B6234E">
        <w:rPr>
          <w:bCs/>
          <w:lang w:val="en-US"/>
        </w:rPr>
        <w:t xml:space="preserve">M. G. </w:t>
      </w:r>
      <w:proofErr w:type="spellStart"/>
      <w:r w:rsidRPr="00B6234E">
        <w:rPr>
          <w:bCs/>
          <w:lang w:val="en-US"/>
        </w:rPr>
        <w:t>Kamath</w:t>
      </w:r>
      <w:proofErr w:type="spellEnd"/>
      <w:r w:rsidRPr="00B6234E">
        <w:rPr>
          <w:lang w:val="en-US"/>
        </w:rPr>
        <w:t xml:space="preserve">, C. G. </w:t>
      </w:r>
      <w:proofErr w:type="spellStart"/>
      <w:r w:rsidRPr="00B6234E">
        <w:rPr>
          <w:lang w:val="en-US"/>
        </w:rPr>
        <w:t>Pai</w:t>
      </w:r>
      <w:proofErr w:type="spellEnd"/>
      <w:r w:rsidRPr="00B6234E">
        <w:rPr>
          <w:lang w:val="en-US"/>
        </w:rPr>
        <w:t xml:space="preserve">, A. </w:t>
      </w:r>
      <w:proofErr w:type="spellStart"/>
      <w:r w:rsidRPr="00B6234E">
        <w:rPr>
          <w:lang w:val="en-US"/>
        </w:rPr>
        <w:t>Kamath</w:t>
      </w:r>
      <w:proofErr w:type="spellEnd"/>
      <w:r w:rsidRPr="00B6234E">
        <w:rPr>
          <w:lang w:val="en-US"/>
        </w:rPr>
        <w:t xml:space="preserve">, </w:t>
      </w:r>
      <w:proofErr w:type="spellStart"/>
      <w:r w:rsidRPr="00B6234E">
        <w:rPr>
          <w:lang w:val="en-US"/>
        </w:rPr>
        <w:t>A.Kurien</w:t>
      </w:r>
      <w:proofErr w:type="spellEnd"/>
      <w:r w:rsidRPr="00B6234E">
        <w:rPr>
          <w:lang w:val="en-US"/>
        </w:rPr>
        <w:t xml:space="preserve"> // </w:t>
      </w:r>
      <w:r w:rsidRPr="00B6234E">
        <w:rPr>
          <w:iCs/>
          <w:lang w:val="en-US"/>
        </w:rPr>
        <w:t xml:space="preserve">World J. </w:t>
      </w:r>
      <w:proofErr w:type="spellStart"/>
      <w:r w:rsidRPr="00B6234E">
        <w:rPr>
          <w:iCs/>
          <w:lang w:val="en-US"/>
        </w:rPr>
        <w:t>Gastroenterol</w:t>
      </w:r>
      <w:proofErr w:type="spellEnd"/>
      <w:r w:rsidRPr="00B6234E">
        <w:rPr>
          <w:iCs/>
          <w:lang w:val="en-US"/>
        </w:rPr>
        <w:t xml:space="preserve">. — </w:t>
      </w:r>
      <w:r w:rsidRPr="00B6234E">
        <w:rPr>
          <w:lang w:val="en-US"/>
        </w:rPr>
        <w:t xml:space="preserve">2017. — Vol. </w:t>
      </w:r>
      <w:r w:rsidRPr="00B6234E">
        <w:rPr>
          <w:bCs/>
          <w:lang w:val="en-US"/>
        </w:rPr>
        <w:t>23</w:t>
      </w:r>
      <w:r w:rsidRPr="00B6234E">
        <w:rPr>
          <w:lang w:val="en-US"/>
        </w:rPr>
        <w:t>. — P. 2217–2222.</w:t>
      </w:r>
      <w:bookmarkEnd w:id="0"/>
    </w:p>
    <w:p w:rsidR="00606F3B" w:rsidRPr="00B6234E" w:rsidRDefault="00606F3B" w:rsidP="00C6165D">
      <w:pPr>
        <w:pStyle w:val="a6"/>
        <w:numPr>
          <w:ilvl w:val="0"/>
          <w:numId w:val="1"/>
        </w:numPr>
        <w:autoSpaceDE w:val="0"/>
        <w:autoSpaceDN w:val="0"/>
        <w:adjustRightInd w:val="0"/>
        <w:rPr>
          <w:lang w:val="en-US"/>
        </w:rPr>
      </w:pPr>
      <w:bookmarkStart w:id="1" w:name="_Ref519544940"/>
      <w:r w:rsidRPr="00B6234E">
        <w:rPr>
          <w:lang w:val="en-US"/>
        </w:rPr>
        <w:t xml:space="preserve">Diagnosis of exocrine pancreatic insufficiency in chronic pancreatitis: 13C-Mixed Triglyceride Breath Test versus Fecal </w:t>
      </w:r>
      <w:proofErr w:type="spellStart"/>
      <w:r w:rsidRPr="00B6234E">
        <w:rPr>
          <w:lang w:val="en-US"/>
        </w:rPr>
        <w:t>Elastase</w:t>
      </w:r>
      <w:proofErr w:type="spellEnd"/>
      <w:r w:rsidRPr="00B6234E">
        <w:rPr>
          <w:lang w:val="en-US"/>
        </w:rPr>
        <w:t xml:space="preserve"> / </w:t>
      </w:r>
      <w:r w:rsidRPr="00B6234E">
        <w:rPr>
          <w:bCs/>
          <w:lang w:val="en-US"/>
        </w:rPr>
        <w:t>V. Gonzalez-Sanchez</w:t>
      </w:r>
      <w:r w:rsidRPr="00B6234E">
        <w:rPr>
          <w:lang w:val="en-US"/>
        </w:rPr>
        <w:t xml:space="preserve">, R. </w:t>
      </w:r>
      <w:proofErr w:type="spellStart"/>
      <w:r w:rsidRPr="00B6234E">
        <w:rPr>
          <w:lang w:val="en-US"/>
        </w:rPr>
        <w:t>Amrani</w:t>
      </w:r>
      <w:proofErr w:type="spellEnd"/>
      <w:r w:rsidRPr="00B6234E">
        <w:rPr>
          <w:lang w:val="en-US"/>
        </w:rPr>
        <w:t xml:space="preserve">, V. Gonzalez [et al.] // </w:t>
      </w:r>
      <w:proofErr w:type="spellStart"/>
      <w:r w:rsidRPr="00B6234E">
        <w:rPr>
          <w:iCs/>
          <w:lang w:val="en-US"/>
        </w:rPr>
        <w:t>Pancreatology</w:t>
      </w:r>
      <w:proofErr w:type="spellEnd"/>
      <w:r w:rsidRPr="00B6234E">
        <w:rPr>
          <w:iCs/>
          <w:lang w:val="en-US"/>
        </w:rPr>
        <w:t xml:space="preserve">. — </w:t>
      </w:r>
      <w:r w:rsidRPr="00B6234E">
        <w:rPr>
          <w:lang w:val="en-US"/>
        </w:rPr>
        <w:t xml:space="preserve">2017. — Vol. </w:t>
      </w:r>
      <w:r w:rsidRPr="00B6234E">
        <w:rPr>
          <w:bCs/>
          <w:lang w:val="en-US"/>
        </w:rPr>
        <w:t>17</w:t>
      </w:r>
      <w:r w:rsidRPr="00B6234E">
        <w:rPr>
          <w:lang w:val="en-US"/>
        </w:rPr>
        <w:t>. — P. 580–585.</w:t>
      </w:r>
      <w:bookmarkEnd w:id="1"/>
    </w:p>
    <w:p w:rsidR="00606F3B" w:rsidRPr="00B6234E" w:rsidRDefault="00606F3B" w:rsidP="00C6165D">
      <w:pPr>
        <w:pStyle w:val="a6"/>
        <w:numPr>
          <w:ilvl w:val="0"/>
          <w:numId w:val="1"/>
        </w:numPr>
        <w:autoSpaceDE w:val="0"/>
        <w:autoSpaceDN w:val="0"/>
        <w:adjustRightInd w:val="0"/>
        <w:rPr>
          <w:lang w:val="en-US"/>
        </w:rPr>
      </w:pPr>
      <w:bookmarkStart w:id="2" w:name="_Ref519544896"/>
      <w:r w:rsidRPr="00B6234E">
        <w:rPr>
          <w:lang w:val="en-US"/>
        </w:rPr>
        <w:t xml:space="preserve">Efficacy and safety of Creon 24,000 in subjects with exocrine pancreatic insufficiency due to cystic fibrosis / </w:t>
      </w:r>
      <w:r w:rsidRPr="00B6234E">
        <w:rPr>
          <w:bCs/>
          <w:lang w:val="en-US"/>
        </w:rPr>
        <w:t xml:space="preserve">B. C. </w:t>
      </w:r>
      <w:proofErr w:type="spellStart"/>
      <w:r w:rsidRPr="00B6234E">
        <w:rPr>
          <w:bCs/>
          <w:lang w:val="en-US"/>
        </w:rPr>
        <w:t>Trapnell</w:t>
      </w:r>
      <w:proofErr w:type="spellEnd"/>
      <w:r w:rsidRPr="00B6234E">
        <w:rPr>
          <w:lang w:val="en-US"/>
        </w:rPr>
        <w:t xml:space="preserve">, K. </w:t>
      </w:r>
      <w:proofErr w:type="spellStart"/>
      <w:r w:rsidRPr="00B6234E">
        <w:rPr>
          <w:lang w:val="en-US"/>
        </w:rPr>
        <w:t>Maguiness</w:t>
      </w:r>
      <w:proofErr w:type="spellEnd"/>
      <w:r w:rsidRPr="00B6234E">
        <w:rPr>
          <w:lang w:val="en-US"/>
        </w:rPr>
        <w:t xml:space="preserve">, G. R. Graff [et al.] // </w:t>
      </w:r>
      <w:r w:rsidRPr="00B6234E">
        <w:rPr>
          <w:iCs/>
          <w:lang w:val="en-US"/>
        </w:rPr>
        <w:t xml:space="preserve">J. Cyst. </w:t>
      </w:r>
      <w:proofErr w:type="spellStart"/>
      <w:r w:rsidRPr="00B6234E">
        <w:rPr>
          <w:iCs/>
          <w:lang w:val="en-US"/>
        </w:rPr>
        <w:t>Fibros</w:t>
      </w:r>
      <w:proofErr w:type="spellEnd"/>
      <w:r w:rsidRPr="00B6234E">
        <w:rPr>
          <w:iCs/>
          <w:lang w:val="en-US"/>
        </w:rPr>
        <w:t xml:space="preserve">. — </w:t>
      </w:r>
      <w:r w:rsidRPr="00B6234E">
        <w:rPr>
          <w:lang w:val="en-US"/>
        </w:rPr>
        <w:t xml:space="preserve">2009. — Vol. </w:t>
      </w:r>
      <w:r w:rsidRPr="00B6234E">
        <w:rPr>
          <w:bCs/>
          <w:lang w:val="en-US"/>
        </w:rPr>
        <w:t>8</w:t>
      </w:r>
      <w:r w:rsidRPr="00B6234E">
        <w:rPr>
          <w:lang w:val="en-US"/>
        </w:rPr>
        <w:t>. — P. 370–377.</w:t>
      </w:r>
      <w:bookmarkEnd w:id="2"/>
    </w:p>
    <w:p w:rsidR="00606F3B" w:rsidRPr="00B6234E" w:rsidRDefault="00606F3B" w:rsidP="00C6165D">
      <w:pPr>
        <w:pStyle w:val="a6"/>
        <w:numPr>
          <w:ilvl w:val="0"/>
          <w:numId w:val="1"/>
        </w:numPr>
        <w:autoSpaceDE w:val="0"/>
        <w:autoSpaceDN w:val="0"/>
        <w:adjustRightInd w:val="0"/>
        <w:rPr>
          <w:lang w:val="en-US"/>
        </w:rPr>
      </w:pPr>
      <w:bookmarkStart w:id="3" w:name="_Ref519544869"/>
      <w:r w:rsidRPr="00B6234E">
        <w:rPr>
          <w:lang w:val="en-US"/>
        </w:rPr>
        <w:t xml:space="preserve">Efficacy of a pancreatic enzyme formulation in the treatment of </w:t>
      </w:r>
      <w:proofErr w:type="spellStart"/>
      <w:r w:rsidRPr="00B6234E">
        <w:rPr>
          <w:lang w:val="en-US"/>
        </w:rPr>
        <w:t>steatorrhea</w:t>
      </w:r>
      <w:proofErr w:type="spellEnd"/>
      <w:r w:rsidRPr="00B6234E">
        <w:rPr>
          <w:lang w:val="en-US"/>
        </w:rPr>
        <w:t xml:space="preserve"> in patients with chronic pancreatitis / </w:t>
      </w:r>
      <w:r w:rsidRPr="00B6234E">
        <w:rPr>
          <w:bCs/>
          <w:lang w:val="en-US"/>
        </w:rPr>
        <w:t>C</w:t>
      </w:r>
      <w:r w:rsidRPr="00B6234E">
        <w:rPr>
          <w:lang w:val="en-US"/>
        </w:rPr>
        <w:t xml:space="preserve">. </w:t>
      </w:r>
      <w:proofErr w:type="spellStart"/>
      <w:r w:rsidRPr="00B6234E">
        <w:rPr>
          <w:bCs/>
          <w:lang w:val="en-US"/>
        </w:rPr>
        <w:t>Pasquali</w:t>
      </w:r>
      <w:proofErr w:type="spellEnd"/>
      <w:r w:rsidRPr="00B6234E">
        <w:rPr>
          <w:lang w:val="en-US"/>
        </w:rPr>
        <w:t xml:space="preserve">, P. </w:t>
      </w:r>
      <w:proofErr w:type="spellStart"/>
      <w:r w:rsidRPr="00B6234E">
        <w:rPr>
          <w:lang w:val="en-US"/>
        </w:rPr>
        <w:t>Fogar</w:t>
      </w:r>
      <w:proofErr w:type="spellEnd"/>
      <w:r w:rsidRPr="00B6234E">
        <w:rPr>
          <w:lang w:val="en-US"/>
        </w:rPr>
        <w:t xml:space="preserve">, C. </w:t>
      </w:r>
      <w:proofErr w:type="spellStart"/>
      <w:r w:rsidRPr="00B6234E">
        <w:rPr>
          <w:lang w:val="en-US"/>
        </w:rPr>
        <w:t>Sperti</w:t>
      </w:r>
      <w:proofErr w:type="spellEnd"/>
      <w:r w:rsidRPr="00B6234E">
        <w:rPr>
          <w:lang w:val="en-US"/>
        </w:rPr>
        <w:t xml:space="preserve"> [et al.] // </w:t>
      </w:r>
      <w:proofErr w:type="spellStart"/>
      <w:r w:rsidRPr="00B6234E">
        <w:rPr>
          <w:iCs/>
          <w:lang w:val="en-US"/>
        </w:rPr>
        <w:t>Curr</w:t>
      </w:r>
      <w:proofErr w:type="spellEnd"/>
      <w:r w:rsidRPr="00B6234E">
        <w:rPr>
          <w:iCs/>
          <w:lang w:val="en-US"/>
        </w:rPr>
        <w:t xml:space="preserve">. </w:t>
      </w:r>
      <w:proofErr w:type="spellStart"/>
      <w:r w:rsidRPr="00B6234E">
        <w:rPr>
          <w:iCs/>
          <w:lang w:val="en-US"/>
        </w:rPr>
        <w:t>Ther</w:t>
      </w:r>
      <w:proofErr w:type="spellEnd"/>
      <w:r w:rsidRPr="00B6234E">
        <w:rPr>
          <w:iCs/>
          <w:lang w:val="en-US"/>
        </w:rPr>
        <w:t xml:space="preserve">. Res. — </w:t>
      </w:r>
      <w:r w:rsidRPr="00B6234E">
        <w:rPr>
          <w:lang w:val="en-US"/>
        </w:rPr>
        <w:t xml:space="preserve">1996. — Vol. </w:t>
      </w:r>
      <w:r w:rsidRPr="00B6234E">
        <w:rPr>
          <w:bCs/>
          <w:lang w:val="en-US"/>
        </w:rPr>
        <w:t>57</w:t>
      </w:r>
      <w:r w:rsidRPr="00B6234E">
        <w:rPr>
          <w:lang w:val="en-US"/>
        </w:rPr>
        <w:t>. — P. 358–365.</w:t>
      </w:r>
      <w:bookmarkEnd w:id="3"/>
    </w:p>
    <w:p w:rsidR="00606F3B" w:rsidRPr="00B6234E" w:rsidRDefault="00606F3B" w:rsidP="00C6165D">
      <w:pPr>
        <w:pStyle w:val="a6"/>
        <w:numPr>
          <w:ilvl w:val="0"/>
          <w:numId w:val="1"/>
        </w:numPr>
        <w:autoSpaceDE w:val="0"/>
        <w:autoSpaceDN w:val="0"/>
        <w:adjustRightInd w:val="0"/>
        <w:rPr>
          <w:lang w:val="en-US"/>
        </w:rPr>
      </w:pPr>
      <w:bookmarkStart w:id="4" w:name="_Ref519544757"/>
      <w:r w:rsidRPr="00B6234E">
        <w:rPr>
          <w:lang w:val="en-US"/>
        </w:rPr>
        <w:t xml:space="preserve">Exocrine pancreatic insufficiency in adults: a shared position statement of the Italian Association for the Study of the Pancreas / </w:t>
      </w:r>
      <w:proofErr w:type="spellStart"/>
      <w:r w:rsidRPr="00B6234E">
        <w:rPr>
          <w:bCs/>
          <w:lang w:val="en-US"/>
        </w:rPr>
        <w:t>Pezzilli</w:t>
      </w:r>
      <w:proofErr w:type="spellEnd"/>
      <w:r w:rsidRPr="00B6234E">
        <w:rPr>
          <w:bCs/>
          <w:lang w:val="en-US"/>
        </w:rPr>
        <w:t xml:space="preserve"> R</w:t>
      </w:r>
      <w:r w:rsidRPr="00B6234E">
        <w:rPr>
          <w:lang w:val="en-US"/>
        </w:rPr>
        <w:t xml:space="preserve">, </w:t>
      </w:r>
      <w:proofErr w:type="spellStart"/>
      <w:r w:rsidRPr="00B6234E">
        <w:rPr>
          <w:lang w:val="en-US"/>
        </w:rPr>
        <w:t>Andriulli</w:t>
      </w:r>
      <w:proofErr w:type="spellEnd"/>
      <w:r w:rsidRPr="00B6234E">
        <w:rPr>
          <w:lang w:val="en-US"/>
        </w:rPr>
        <w:t xml:space="preserve"> A, </w:t>
      </w:r>
      <w:proofErr w:type="spellStart"/>
      <w:r w:rsidRPr="00B6234E">
        <w:rPr>
          <w:lang w:val="en-US"/>
        </w:rPr>
        <w:t>Bassi</w:t>
      </w:r>
      <w:proofErr w:type="spellEnd"/>
      <w:r w:rsidRPr="00B6234E">
        <w:rPr>
          <w:lang w:val="en-US"/>
        </w:rPr>
        <w:t xml:space="preserve"> C [et al.] ; Exocrine Pancreatic Insufficiency collaborative (</w:t>
      </w:r>
      <w:proofErr w:type="spellStart"/>
      <w:r w:rsidRPr="00B6234E">
        <w:rPr>
          <w:lang w:val="en-US"/>
        </w:rPr>
        <w:t>EPIc</w:t>
      </w:r>
      <w:proofErr w:type="spellEnd"/>
      <w:r w:rsidRPr="00B6234E">
        <w:rPr>
          <w:lang w:val="en-US"/>
        </w:rPr>
        <w:t xml:space="preserve">) Group // </w:t>
      </w:r>
      <w:r w:rsidRPr="00B6234E">
        <w:rPr>
          <w:iCs/>
          <w:lang w:val="en-US"/>
        </w:rPr>
        <w:t xml:space="preserve">World J. </w:t>
      </w:r>
      <w:proofErr w:type="spellStart"/>
      <w:r w:rsidRPr="00B6234E">
        <w:rPr>
          <w:iCs/>
          <w:lang w:val="en-US"/>
        </w:rPr>
        <w:t>Gastroenterol</w:t>
      </w:r>
      <w:proofErr w:type="spellEnd"/>
      <w:r w:rsidRPr="00B6234E">
        <w:rPr>
          <w:iCs/>
          <w:lang w:val="en-US"/>
        </w:rPr>
        <w:t xml:space="preserve">. — </w:t>
      </w:r>
      <w:r w:rsidRPr="00B6234E">
        <w:rPr>
          <w:lang w:val="en-US"/>
        </w:rPr>
        <w:t xml:space="preserve">2013. — Vol. </w:t>
      </w:r>
      <w:r w:rsidRPr="00B6234E">
        <w:rPr>
          <w:bCs/>
          <w:lang w:val="en-US"/>
        </w:rPr>
        <w:t>19</w:t>
      </w:r>
      <w:r w:rsidRPr="00B6234E">
        <w:rPr>
          <w:lang w:val="en-US"/>
        </w:rPr>
        <w:t>. — P. 7930–7946.</w:t>
      </w:r>
      <w:bookmarkEnd w:id="4"/>
    </w:p>
    <w:p w:rsidR="00606F3B" w:rsidRPr="00B6234E" w:rsidRDefault="00606F3B" w:rsidP="00C6165D">
      <w:pPr>
        <w:pStyle w:val="a6"/>
        <w:numPr>
          <w:ilvl w:val="0"/>
          <w:numId w:val="1"/>
        </w:numPr>
        <w:autoSpaceDE w:val="0"/>
        <w:autoSpaceDN w:val="0"/>
        <w:adjustRightInd w:val="0"/>
        <w:rPr>
          <w:lang w:val="en-US"/>
        </w:rPr>
      </w:pPr>
      <w:bookmarkStart w:id="5" w:name="_Ref519544901"/>
      <w:r w:rsidRPr="00B6234E">
        <w:rPr>
          <w:bCs/>
          <w:lang w:val="en-US"/>
        </w:rPr>
        <w:t>Hart P. A</w:t>
      </w:r>
      <w:r w:rsidRPr="00B6234E">
        <w:rPr>
          <w:lang w:val="en-US"/>
        </w:rPr>
        <w:t xml:space="preserve">. Diagnosis of exocrine pancreatic insufficiency / </w:t>
      </w:r>
      <w:r w:rsidRPr="00B6234E">
        <w:rPr>
          <w:bCs/>
          <w:lang w:val="en-US"/>
        </w:rPr>
        <w:t>P. A. Hart</w:t>
      </w:r>
      <w:r w:rsidRPr="00B6234E">
        <w:rPr>
          <w:lang w:val="en-US"/>
        </w:rPr>
        <w:t xml:space="preserve">, D. L. Conwell // </w:t>
      </w:r>
      <w:proofErr w:type="spellStart"/>
      <w:r w:rsidRPr="00B6234E">
        <w:rPr>
          <w:iCs/>
          <w:lang w:val="en-US"/>
        </w:rPr>
        <w:t>Curr</w:t>
      </w:r>
      <w:proofErr w:type="spellEnd"/>
      <w:r w:rsidRPr="00B6234E">
        <w:rPr>
          <w:iCs/>
          <w:lang w:val="en-US"/>
        </w:rPr>
        <w:t xml:space="preserve">. Treat. Options </w:t>
      </w:r>
      <w:proofErr w:type="spellStart"/>
      <w:r w:rsidRPr="00B6234E">
        <w:rPr>
          <w:iCs/>
          <w:lang w:val="en-US"/>
        </w:rPr>
        <w:t>Gastroenterol</w:t>
      </w:r>
      <w:proofErr w:type="spellEnd"/>
      <w:r w:rsidRPr="00B6234E">
        <w:rPr>
          <w:iCs/>
          <w:lang w:val="en-US"/>
        </w:rPr>
        <w:t xml:space="preserve">. — </w:t>
      </w:r>
      <w:r w:rsidRPr="00B6234E">
        <w:rPr>
          <w:lang w:val="en-US"/>
        </w:rPr>
        <w:t xml:space="preserve">2015. — Vol. </w:t>
      </w:r>
      <w:r w:rsidRPr="00B6234E">
        <w:rPr>
          <w:bCs/>
          <w:lang w:val="en-US"/>
        </w:rPr>
        <w:t>13</w:t>
      </w:r>
      <w:r w:rsidRPr="00B6234E">
        <w:rPr>
          <w:lang w:val="en-US"/>
        </w:rPr>
        <w:t>. — P. 347–353.</w:t>
      </w:r>
      <w:bookmarkEnd w:id="5"/>
    </w:p>
    <w:p w:rsidR="00606F3B" w:rsidRPr="00B6234E" w:rsidRDefault="00606F3B" w:rsidP="00C6165D">
      <w:pPr>
        <w:pStyle w:val="a6"/>
        <w:numPr>
          <w:ilvl w:val="0"/>
          <w:numId w:val="1"/>
        </w:numPr>
        <w:autoSpaceDE w:val="0"/>
        <w:autoSpaceDN w:val="0"/>
        <w:adjustRightInd w:val="0"/>
        <w:rPr>
          <w:lang w:val="en-US"/>
        </w:rPr>
      </w:pPr>
      <w:bookmarkStart w:id="6" w:name="_Ref519544912"/>
      <w:proofErr w:type="spellStart"/>
      <w:r w:rsidRPr="00B6234E">
        <w:rPr>
          <w:bCs/>
          <w:lang w:val="en-US"/>
        </w:rPr>
        <w:t>Lankisch</w:t>
      </w:r>
      <w:proofErr w:type="spellEnd"/>
      <w:r w:rsidRPr="00B6234E">
        <w:rPr>
          <w:bCs/>
          <w:lang w:val="en-US"/>
        </w:rPr>
        <w:t xml:space="preserve"> P. G</w:t>
      </w:r>
      <w:r w:rsidRPr="00B6234E">
        <w:rPr>
          <w:lang w:val="en-US"/>
        </w:rPr>
        <w:t xml:space="preserve">. Function tests in the diagnosis of chronic pancreatitis. Critical evaluation / </w:t>
      </w:r>
      <w:r w:rsidRPr="00B6234E">
        <w:rPr>
          <w:bCs/>
          <w:lang w:val="en-US"/>
        </w:rPr>
        <w:t>P. G</w:t>
      </w:r>
      <w:r w:rsidRPr="00B6234E">
        <w:rPr>
          <w:lang w:val="en-US"/>
        </w:rPr>
        <w:t xml:space="preserve">. </w:t>
      </w:r>
      <w:proofErr w:type="spellStart"/>
      <w:r w:rsidRPr="00B6234E">
        <w:rPr>
          <w:bCs/>
          <w:lang w:val="en-US"/>
        </w:rPr>
        <w:t>Lankisch</w:t>
      </w:r>
      <w:proofErr w:type="spellEnd"/>
      <w:r w:rsidRPr="00B6234E">
        <w:rPr>
          <w:bCs/>
          <w:lang w:val="en-US"/>
        </w:rPr>
        <w:t xml:space="preserve"> </w:t>
      </w:r>
      <w:r w:rsidRPr="00B6234E">
        <w:rPr>
          <w:lang w:val="en-US"/>
        </w:rPr>
        <w:t xml:space="preserve">// </w:t>
      </w:r>
      <w:r w:rsidRPr="00B6234E">
        <w:rPr>
          <w:iCs/>
          <w:lang w:val="en-US"/>
        </w:rPr>
        <w:t xml:space="preserve">Int. J. </w:t>
      </w:r>
      <w:proofErr w:type="spellStart"/>
      <w:r w:rsidRPr="00B6234E">
        <w:rPr>
          <w:iCs/>
          <w:lang w:val="en-US"/>
        </w:rPr>
        <w:t>Pancreatol</w:t>
      </w:r>
      <w:proofErr w:type="spellEnd"/>
      <w:r w:rsidRPr="00B6234E">
        <w:rPr>
          <w:iCs/>
          <w:lang w:val="en-US"/>
        </w:rPr>
        <w:t xml:space="preserve">. — </w:t>
      </w:r>
      <w:r w:rsidRPr="00B6234E">
        <w:rPr>
          <w:lang w:val="en-US"/>
        </w:rPr>
        <w:t xml:space="preserve">1993. — Vol. </w:t>
      </w:r>
      <w:r w:rsidRPr="00B6234E">
        <w:rPr>
          <w:bCs/>
          <w:lang w:val="en-US"/>
        </w:rPr>
        <w:t>14</w:t>
      </w:r>
      <w:r w:rsidRPr="00B6234E">
        <w:rPr>
          <w:lang w:val="en-US"/>
        </w:rPr>
        <w:t>. — P. 9–20.</w:t>
      </w:r>
      <w:bookmarkEnd w:id="6"/>
    </w:p>
    <w:p w:rsidR="00606F3B" w:rsidRPr="00B6234E" w:rsidRDefault="00606F3B" w:rsidP="00C6165D">
      <w:pPr>
        <w:pStyle w:val="a6"/>
        <w:numPr>
          <w:ilvl w:val="0"/>
          <w:numId w:val="1"/>
        </w:numPr>
        <w:autoSpaceDE w:val="0"/>
        <w:autoSpaceDN w:val="0"/>
        <w:adjustRightInd w:val="0"/>
        <w:rPr>
          <w:lang w:val="en-US"/>
        </w:rPr>
      </w:pPr>
      <w:bookmarkStart w:id="7" w:name="_Ref519544970"/>
      <w:proofErr w:type="spellStart"/>
      <w:r w:rsidRPr="00B6234E">
        <w:rPr>
          <w:lang w:val="en-US"/>
        </w:rPr>
        <w:t>Monocyte</w:t>
      </w:r>
      <w:proofErr w:type="spellEnd"/>
      <w:r w:rsidRPr="00B6234E">
        <w:rPr>
          <w:lang w:val="en-US"/>
        </w:rPr>
        <w:t xml:space="preserve"> </w:t>
      </w:r>
      <w:proofErr w:type="spellStart"/>
      <w:r w:rsidRPr="00B6234E">
        <w:rPr>
          <w:lang w:val="en-US"/>
        </w:rPr>
        <w:t>chemoattractant</w:t>
      </w:r>
      <w:proofErr w:type="spellEnd"/>
      <w:r w:rsidRPr="00B6234E">
        <w:rPr>
          <w:lang w:val="en-US"/>
        </w:rPr>
        <w:t xml:space="preserve"> protein-1, transforming growth factor-beta1, nerve growth factor, </w:t>
      </w:r>
      <w:proofErr w:type="spellStart"/>
      <w:r w:rsidRPr="00B6234E">
        <w:rPr>
          <w:lang w:val="en-US"/>
        </w:rPr>
        <w:t>resistin</w:t>
      </w:r>
      <w:proofErr w:type="spellEnd"/>
      <w:r w:rsidRPr="00B6234E">
        <w:rPr>
          <w:lang w:val="en-US"/>
        </w:rPr>
        <w:t xml:space="preserve"> and </w:t>
      </w:r>
      <w:proofErr w:type="spellStart"/>
      <w:r w:rsidRPr="00B6234E">
        <w:rPr>
          <w:lang w:val="en-US"/>
        </w:rPr>
        <w:t>hyaluronic</w:t>
      </w:r>
      <w:proofErr w:type="spellEnd"/>
      <w:r w:rsidRPr="00B6234E">
        <w:rPr>
          <w:lang w:val="en-US"/>
        </w:rPr>
        <w:t xml:space="preserve"> acid as serum markers: comparison between recurrent acute and chronic pancreatitis / </w:t>
      </w:r>
      <w:r w:rsidRPr="00B6234E">
        <w:rPr>
          <w:bCs/>
          <w:lang w:val="en-US"/>
        </w:rPr>
        <w:t xml:space="preserve">M. G. </w:t>
      </w:r>
      <w:proofErr w:type="spellStart"/>
      <w:r w:rsidRPr="00B6234E">
        <w:rPr>
          <w:bCs/>
          <w:lang w:val="en-US"/>
        </w:rPr>
        <w:t>Kamath</w:t>
      </w:r>
      <w:proofErr w:type="spellEnd"/>
      <w:r w:rsidRPr="00B6234E">
        <w:rPr>
          <w:lang w:val="en-US"/>
        </w:rPr>
        <w:t xml:space="preserve">, C. G. </w:t>
      </w:r>
      <w:proofErr w:type="spellStart"/>
      <w:r w:rsidRPr="00B6234E">
        <w:rPr>
          <w:lang w:val="en-US"/>
        </w:rPr>
        <w:t>Pai</w:t>
      </w:r>
      <w:proofErr w:type="spellEnd"/>
      <w:r w:rsidRPr="00B6234E">
        <w:rPr>
          <w:lang w:val="en-US"/>
        </w:rPr>
        <w:t xml:space="preserve">, A. </w:t>
      </w:r>
      <w:proofErr w:type="spellStart"/>
      <w:r w:rsidRPr="00B6234E">
        <w:rPr>
          <w:lang w:val="en-US"/>
        </w:rPr>
        <w:t>Kamath</w:t>
      </w:r>
      <w:proofErr w:type="spellEnd"/>
      <w:r w:rsidRPr="00B6234E">
        <w:rPr>
          <w:lang w:val="en-US"/>
        </w:rPr>
        <w:t xml:space="preserve">, A. </w:t>
      </w:r>
      <w:proofErr w:type="spellStart"/>
      <w:r w:rsidRPr="00B6234E">
        <w:rPr>
          <w:lang w:val="en-US"/>
        </w:rPr>
        <w:t>Kurien</w:t>
      </w:r>
      <w:proofErr w:type="spellEnd"/>
      <w:r w:rsidRPr="00B6234E">
        <w:rPr>
          <w:lang w:val="en-US"/>
        </w:rPr>
        <w:t xml:space="preserve"> // </w:t>
      </w:r>
      <w:proofErr w:type="spellStart"/>
      <w:r w:rsidRPr="00B6234E">
        <w:rPr>
          <w:iCs/>
          <w:lang w:val="en-US"/>
        </w:rPr>
        <w:t>Hepatobiliary</w:t>
      </w:r>
      <w:proofErr w:type="spellEnd"/>
      <w:r w:rsidRPr="00B6234E">
        <w:rPr>
          <w:iCs/>
          <w:lang w:val="en-US"/>
        </w:rPr>
        <w:t xml:space="preserve"> </w:t>
      </w:r>
      <w:proofErr w:type="spellStart"/>
      <w:r w:rsidRPr="00B6234E">
        <w:rPr>
          <w:iCs/>
          <w:lang w:val="en-US"/>
        </w:rPr>
        <w:t>Pancreat</w:t>
      </w:r>
      <w:proofErr w:type="spellEnd"/>
      <w:r w:rsidRPr="00B6234E">
        <w:rPr>
          <w:iCs/>
          <w:lang w:val="en-US"/>
        </w:rPr>
        <w:t xml:space="preserve">. Dis. Int. — </w:t>
      </w:r>
      <w:r w:rsidRPr="00B6234E">
        <w:rPr>
          <w:lang w:val="en-US"/>
        </w:rPr>
        <w:t xml:space="preserve">2016. — Vol. </w:t>
      </w:r>
      <w:r w:rsidRPr="00B6234E">
        <w:rPr>
          <w:bCs/>
          <w:lang w:val="en-US"/>
        </w:rPr>
        <w:t>15</w:t>
      </w:r>
      <w:r w:rsidRPr="00B6234E">
        <w:rPr>
          <w:lang w:val="en-US"/>
        </w:rPr>
        <w:t>. — P. 209–215.</w:t>
      </w:r>
      <w:bookmarkEnd w:id="7"/>
    </w:p>
    <w:p w:rsidR="00606F3B" w:rsidRPr="00B6234E" w:rsidRDefault="00606F3B" w:rsidP="00C6165D">
      <w:pPr>
        <w:pStyle w:val="a6"/>
        <w:numPr>
          <w:ilvl w:val="0"/>
          <w:numId w:val="1"/>
        </w:numPr>
        <w:autoSpaceDE w:val="0"/>
        <w:autoSpaceDN w:val="0"/>
        <w:adjustRightInd w:val="0"/>
        <w:rPr>
          <w:sz w:val="20"/>
          <w:szCs w:val="20"/>
          <w:lang w:val="en-US"/>
        </w:rPr>
      </w:pPr>
      <w:bookmarkStart w:id="8" w:name="_Ref519544976"/>
      <w:r w:rsidRPr="00B6234E">
        <w:rPr>
          <w:lang w:val="en-US"/>
        </w:rPr>
        <w:t xml:space="preserve">Novel blood-based </w:t>
      </w:r>
      <w:proofErr w:type="spellStart"/>
      <w:r w:rsidRPr="00B6234E">
        <w:rPr>
          <w:lang w:val="en-US"/>
        </w:rPr>
        <w:t>microRNA</w:t>
      </w:r>
      <w:proofErr w:type="spellEnd"/>
      <w:r w:rsidRPr="00B6234E">
        <w:rPr>
          <w:lang w:val="en-US"/>
        </w:rPr>
        <w:t xml:space="preserve"> biomarker panel for early diagnosis of chronic pancreatitis / </w:t>
      </w:r>
      <w:r w:rsidRPr="00B6234E">
        <w:rPr>
          <w:bCs/>
          <w:lang w:val="en-US"/>
        </w:rPr>
        <w:t xml:space="preserve">L. </w:t>
      </w:r>
      <w:proofErr w:type="spellStart"/>
      <w:r w:rsidRPr="00B6234E">
        <w:rPr>
          <w:bCs/>
          <w:lang w:val="en-US"/>
        </w:rPr>
        <w:t>Xin</w:t>
      </w:r>
      <w:proofErr w:type="spellEnd"/>
      <w:r w:rsidRPr="00B6234E">
        <w:rPr>
          <w:lang w:val="en-US"/>
        </w:rPr>
        <w:t xml:space="preserve">, J. </w:t>
      </w:r>
      <w:proofErr w:type="spellStart"/>
      <w:r w:rsidRPr="00B6234E">
        <w:rPr>
          <w:lang w:val="en-US"/>
        </w:rPr>
        <w:t>Gao</w:t>
      </w:r>
      <w:proofErr w:type="spellEnd"/>
      <w:r w:rsidRPr="00B6234E">
        <w:rPr>
          <w:lang w:val="en-US"/>
        </w:rPr>
        <w:t xml:space="preserve">, D. Wang [et al.] // </w:t>
      </w:r>
      <w:r w:rsidRPr="00B6234E">
        <w:rPr>
          <w:iCs/>
          <w:lang w:val="en-US"/>
        </w:rPr>
        <w:t xml:space="preserve">Sci. Rep. — </w:t>
      </w:r>
      <w:r w:rsidRPr="00B6234E">
        <w:rPr>
          <w:lang w:val="en-US"/>
        </w:rPr>
        <w:t xml:space="preserve">2017. — Vol. </w:t>
      </w:r>
      <w:r w:rsidRPr="00B6234E">
        <w:rPr>
          <w:bCs/>
          <w:lang w:val="en-US"/>
        </w:rPr>
        <w:t>7</w:t>
      </w:r>
      <w:r w:rsidRPr="00B6234E">
        <w:rPr>
          <w:lang w:val="en-US"/>
        </w:rPr>
        <w:t>. — P. 40019.</w:t>
      </w:r>
      <w:bookmarkEnd w:id="8"/>
    </w:p>
    <w:p w:rsidR="00606F3B" w:rsidRPr="00B6234E" w:rsidRDefault="00606F3B" w:rsidP="00C6165D">
      <w:pPr>
        <w:pStyle w:val="a6"/>
        <w:numPr>
          <w:ilvl w:val="0"/>
          <w:numId w:val="1"/>
        </w:numPr>
        <w:autoSpaceDE w:val="0"/>
        <w:autoSpaceDN w:val="0"/>
        <w:adjustRightInd w:val="0"/>
        <w:rPr>
          <w:lang w:val="en-US"/>
        </w:rPr>
      </w:pPr>
      <w:bookmarkStart w:id="9" w:name="_Ref519544881"/>
      <w:r w:rsidRPr="00B6234E">
        <w:rPr>
          <w:lang w:val="en-US"/>
        </w:rPr>
        <w:t xml:space="preserve">Physiological evaluation of the severity of pancreatic exocrine dysfunction during endoscopy / </w:t>
      </w:r>
      <w:r w:rsidRPr="00B6234E">
        <w:rPr>
          <w:bCs/>
          <w:lang w:val="en-US"/>
        </w:rPr>
        <w:t>S. J. O’Keefe</w:t>
      </w:r>
      <w:r w:rsidRPr="00B6234E">
        <w:rPr>
          <w:lang w:val="en-US"/>
        </w:rPr>
        <w:t xml:space="preserve">, S. Stevens, R. Lee [et al.] // </w:t>
      </w:r>
      <w:r w:rsidRPr="00B6234E">
        <w:rPr>
          <w:iCs/>
          <w:lang w:val="en-US"/>
        </w:rPr>
        <w:t xml:space="preserve">Pancreas. — </w:t>
      </w:r>
      <w:r w:rsidRPr="00B6234E">
        <w:rPr>
          <w:lang w:val="en-US"/>
        </w:rPr>
        <w:t xml:space="preserve">2007. — Vol. </w:t>
      </w:r>
      <w:r w:rsidRPr="00B6234E">
        <w:rPr>
          <w:bCs/>
          <w:lang w:val="en-US"/>
        </w:rPr>
        <w:t>35</w:t>
      </w:r>
      <w:r w:rsidRPr="00B6234E">
        <w:rPr>
          <w:lang w:val="en-US"/>
        </w:rPr>
        <w:t>. — P. 30–36.</w:t>
      </w:r>
      <w:bookmarkEnd w:id="9"/>
    </w:p>
    <w:p w:rsidR="00606F3B" w:rsidRPr="00B6234E" w:rsidRDefault="00606F3B" w:rsidP="00C6165D">
      <w:pPr>
        <w:pStyle w:val="a6"/>
        <w:numPr>
          <w:ilvl w:val="0"/>
          <w:numId w:val="1"/>
        </w:numPr>
        <w:autoSpaceDE w:val="0"/>
        <w:autoSpaceDN w:val="0"/>
        <w:adjustRightInd w:val="0"/>
        <w:rPr>
          <w:lang w:val="en-US"/>
        </w:rPr>
      </w:pPr>
      <w:bookmarkStart w:id="10" w:name="_Ref519544924"/>
      <w:r w:rsidRPr="00B6234E">
        <w:rPr>
          <w:bCs/>
          <w:lang w:val="en-US"/>
        </w:rPr>
        <w:t>Ramakrishna B. S</w:t>
      </w:r>
      <w:r w:rsidRPr="00B6234E">
        <w:rPr>
          <w:lang w:val="en-US"/>
        </w:rPr>
        <w:t xml:space="preserve">. The </w:t>
      </w:r>
      <w:proofErr w:type="spellStart"/>
      <w:r w:rsidRPr="00B6234E">
        <w:rPr>
          <w:lang w:val="en-US"/>
        </w:rPr>
        <w:t>steatocrit</w:t>
      </w:r>
      <w:proofErr w:type="spellEnd"/>
      <w:r w:rsidRPr="00B6234E">
        <w:rPr>
          <w:lang w:val="en-US"/>
        </w:rPr>
        <w:t xml:space="preserve"> as a measure of fecal fat excretion: uses and pitfalls / </w:t>
      </w:r>
      <w:r w:rsidRPr="00B6234E">
        <w:rPr>
          <w:bCs/>
          <w:lang w:val="en-US"/>
        </w:rPr>
        <w:t>B. S</w:t>
      </w:r>
      <w:r w:rsidRPr="00B6234E">
        <w:rPr>
          <w:lang w:val="en-US"/>
        </w:rPr>
        <w:t xml:space="preserve">. </w:t>
      </w:r>
      <w:r w:rsidRPr="00B6234E">
        <w:rPr>
          <w:bCs/>
          <w:lang w:val="en-US"/>
        </w:rPr>
        <w:t xml:space="preserve">Ramakrishna </w:t>
      </w:r>
      <w:r w:rsidRPr="00B6234E">
        <w:rPr>
          <w:lang w:val="en-US"/>
        </w:rPr>
        <w:t xml:space="preserve">// </w:t>
      </w:r>
      <w:r w:rsidRPr="00B6234E">
        <w:rPr>
          <w:iCs/>
          <w:lang w:val="en-US"/>
        </w:rPr>
        <w:t xml:space="preserve">Indian J. </w:t>
      </w:r>
      <w:proofErr w:type="spellStart"/>
      <w:r w:rsidRPr="00B6234E">
        <w:rPr>
          <w:iCs/>
          <w:lang w:val="en-US"/>
        </w:rPr>
        <w:t>Gastroenterol</w:t>
      </w:r>
      <w:proofErr w:type="spellEnd"/>
      <w:r w:rsidRPr="00B6234E">
        <w:rPr>
          <w:iCs/>
          <w:lang w:val="en-US"/>
        </w:rPr>
        <w:t xml:space="preserve">. — </w:t>
      </w:r>
      <w:r w:rsidRPr="00B6234E">
        <w:rPr>
          <w:lang w:val="en-US"/>
        </w:rPr>
        <w:t xml:space="preserve">2009. — Vol. </w:t>
      </w:r>
      <w:r w:rsidRPr="00B6234E">
        <w:rPr>
          <w:bCs/>
          <w:lang w:val="en-US"/>
        </w:rPr>
        <w:t>28</w:t>
      </w:r>
      <w:r w:rsidRPr="00B6234E">
        <w:rPr>
          <w:lang w:val="en-US"/>
        </w:rPr>
        <w:t>. — P. 195–197.</w:t>
      </w:r>
      <w:bookmarkEnd w:id="10"/>
    </w:p>
    <w:p w:rsidR="00606F3B" w:rsidRPr="00B6234E" w:rsidRDefault="00606F3B" w:rsidP="00C6165D">
      <w:pPr>
        <w:pStyle w:val="a6"/>
        <w:numPr>
          <w:ilvl w:val="0"/>
          <w:numId w:val="1"/>
        </w:numPr>
        <w:autoSpaceDE w:val="0"/>
        <w:autoSpaceDN w:val="0"/>
        <w:adjustRightInd w:val="0"/>
        <w:rPr>
          <w:lang w:val="en-US"/>
        </w:rPr>
      </w:pPr>
      <w:bookmarkStart w:id="11" w:name="_Ref519544856"/>
      <w:proofErr w:type="spellStart"/>
      <w:r w:rsidRPr="00B6234E">
        <w:rPr>
          <w:lang w:val="en-US"/>
        </w:rPr>
        <w:t>Randomised</w:t>
      </w:r>
      <w:proofErr w:type="spellEnd"/>
      <w:r w:rsidRPr="00B6234E">
        <w:rPr>
          <w:lang w:val="en-US"/>
        </w:rPr>
        <w:t xml:space="preserve"> clinical trial : a 1-week, double-blind, </w:t>
      </w:r>
      <w:proofErr w:type="spellStart"/>
      <w:r w:rsidRPr="00B6234E">
        <w:rPr>
          <w:lang w:val="en-US"/>
        </w:rPr>
        <w:t>placebocontrolled</w:t>
      </w:r>
      <w:proofErr w:type="spellEnd"/>
      <w:r w:rsidRPr="00B6234E">
        <w:rPr>
          <w:lang w:val="en-US"/>
        </w:rPr>
        <w:t xml:space="preserve"> study of </w:t>
      </w:r>
      <w:proofErr w:type="spellStart"/>
      <w:r w:rsidRPr="00B6234E">
        <w:rPr>
          <w:lang w:val="en-US"/>
        </w:rPr>
        <w:t>pancreatin</w:t>
      </w:r>
      <w:proofErr w:type="spellEnd"/>
      <w:r w:rsidRPr="00B6234E">
        <w:rPr>
          <w:lang w:val="en-US"/>
        </w:rPr>
        <w:t xml:space="preserve"> 25 000 Ph. Eur. </w:t>
      </w:r>
      <w:proofErr w:type="spellStart"/>
      <w:r w:rsidRPr="00B6234E">
        <w:rPr>
          <w:lang w:val="en-US"/>
        </w:rPr>
        <w:t>minimicrospheres</w:t>
      </w:r>
      <w:proofErr w:type="spellEnd"/>
      <w:r w:rsidRPr="00B6234E">
        <w:rPr>
          <w:lang w:val="en-US"/>
        </w:rPr>
        <w:t xml:space="preserve"> (</w:t>
      </w:r>
      <w:proofErr w:type="spellStart"/>
      <w:r w:rsidRPr="00B6234E">
        <w:rPr>
          <w:lang w:val="en-US"/>
        </w:rPr>
        <w:t>Creon</w:t>
      </w:r>
      <w:proofErr w:type="spellEnd"/>
      <w:r w:rsidRPr="00B6234E">
        <w:rPr>
          <w:lang w:val="en-US"/>
        </w:rPr>
        <w:t xml:space="preserve"> 25000 MMS) for pancreatic exocrine insufficiency after pancreatic surgery, with a 1-year open-label extension / </w:t>
      </w:r>
      <w:r w:rsidRPr="00B6234E">
        <w:rPr>
          <w:bCs/>
          <w:lang w:val="en-US"/>
        </w:rPr>
        <w:t>C. M. Seiler</w:t>
      </w:r>
      <w:r w:rsidRPr="00B6234E">
        <w:rPr>
          <w:lang w:val="en-US"/>
        </w:rPr>
        <w:t xml:space="preserve">, J. </w:t>
      </w:r>
      <w:proofErr w:type="spellStart"/>
      <w:r w:rsidRPr="00B6234E">
        <w:rPr>
          <w:lang w:val="en-US"/>
        </w:rPr>
        <w:t>Izbicki</w:t>
      </w:r>
      <w:proofErr w:type="spellEnd"/>
      <w:r w:rsidRPr="00B6234E">
        <w:rPr>
          <w:lang w:val="en-US"/>
        </w:rPr>
        <w:t xml:space="preserve">, L. </w:t>
      </w:r>
      <w:proofErr w:type="spellStart"/>
      <w:r w:rsidRPr="00B6234E">
        <w:rPr>
          <w:lang w:val="en-US"/>
        </w:rPr>
        <w:t>Varga-Szabo</w:t>
      </w:r>
      <w:proofErr w:type="spellEnd"/>
      <w:r w:rsidRPr="00B6234E">
        <w:rPr>
          <w:lang w:val="en-US"/>
        </w:rPr>
        <w:t xml:space="preserve"> [et al.] // </w:t>
      </w:r>
      <w:r w:rsidRPr="00B6234E">
        <w:rPr>
          <w:iCs/>
          <w:lang w:val="en-US"/>
        </w:rPr>
        <w:t xml:space="preserve">Aliment. </w:t>
      </w:r>
      <w:proofErr w:type="spellStart"/>
      <w:r w:rsidRPr="00B6234E">
        <w:rPr>
          <w:iCs/>
          <w:lang w:val="en-US"/>
        </w:rPr>
        <w:t>Pharmacol</w:t>
      </w:r>
      <w:proofErr w:type="spellEnd"/>
      <w:r w:rsidRPr="00B6234E">
        <w:rPr>
          <w:iCs/>
          <w:lang w:val="en-US"/>
        </w:rPr>
        <w:t xml:space="preserve">. </w:t>
      </w:r>
      <w:proofErr w:type="spellStart"/>
      <w:r w:rsidRPr="00B6234E">
        <w:rPr>
          <w:iCs/>
          <w:lang w:val="en-US"/>
        </w:rPr>
        <w:t>Ther</w:t>
      </w:r>
      <w:proofErr w:type="spellEnd"/>
      <w:r w:rsidRPr="00B6234E">
        <w:rPr>
          <w:iCs/>
          <w:lang w:val="en-US"/>
        </w:rPr>
        <w:t xml:space="preserve">. — </w:t>
      </w:r>
      <w:r w:rsidRPr="00B6234E">
        <w:rPr>
          <w:lang w:val="en-US"/>
        </w:rPr>
        <w:t xml:space="preserve">2013. — Vol. </w:t>
      </w:r>
      <w:r w:rsidRPr="00B6234E">
        <w:rPr>
          <w:bCs/>
          <w:lang w:val="en-US"/>
        </w:rPr>
        <w:t>37</w:t>
      </w:r>
      <w:r w:rsidRPr="00B6234E">
        <w:rPr>
          <w:lang w:val="en-US"/>
        </w:rPr>
        <w:t>. — P. 691–702.</w:t>
      </w:r>
      <w:bookmarkEnd w:id="11"/>
    </w:p>
    <w:p w:rsidR="00606F3B" w:rsidRPr="00B6234E" w:rsidRDefault="00606F3B" w:rsidP="00C6165D">
      <w:pPr>
        <w:pStyle w:val="a6"/>
        <w:numPr>
          <w:ilvl w:val="0"/>
          <w:numId w:val="1"/>
        </w:numPr>
        <w:autoSpaceDE w:val="0"/>
        <w:autoSpaceDN w:val="0"/>
        <w:adjustRightInd w:val="0"/>
        <w:rPr>
          <w:lang w:val="en-US"/>
        </w:rPr>
      </w:pPr>
      <w:bookmarkStart w:id="12" w:name="_Ref519544762"/>
      <w:r w:rsidRPr="00B6234E">
        <w:rPr>
          <w:bCs/>
          <w:lang w:val="en-US"/>
        </w:rPr>
        <w:t>Schneider A</w:t>
      </w:r>
      <w:r w:rsidRPr="00B6234E">
        <w:rPr>
          <w:lang w:val="en-US"/>
        </w:rPr>
        <w:t xml:space="preserve">. The M-ANNHEIM classification of chronic pancreatitis: introduction of a unifying classification system based on a review of previous classifications of the disease / </w:t>
      </w:r>
      <w:r w:rsidRPr="00B6234E">
        <w:rPr>
          <w:bCs/>
          <w:lang w:val="en-US"/>
        </w:rPr>
        <w:t>A. Schneider</w:t>
      </w:r>
      <w:r w:rsidRPr="00B6234E">
        <w:rPr>
          <w:lang w:val="en-US"/>
        </w:rPr>
        <w:t xml:space="preserve">, J. M. </w:t>
      </w:r>
      <w:proofErr w:type="spellStart"/>
      <w:r w:rsidRPr="00B6234E">
        <w:rPr>
          <w:lang w:val="en-US"/>
        </w:rPr>
        <w:t>Lohr</w:t>
      </w:r>
      <w:proofErr w:type="spellEnd"/>
      <w:r w:rsidRPr="00B6234E">
        <w:rPr>
          <w:lang w:val="en-US"/>
        </w:rPr>
        <w:t xml:space="preserve">, M. V. Singer // </w:t>
      </w:r>
      <w:r w:rsidRPr="00B6234E">
        <w:rPr>
          <w:iCs/>
          <w:lang w:val="en-US"/>
        </w:rPr>
        <w:t xml:space="preserve">J. </w:t>
      </w:r>
      <w:proofErr w:type="spellStart"/>
      <w:r w:rsidRPr="00B6234E">
        <w:rPr>
          <w:iCs/>
          <w:lang w:val="en-US"/>
        </w:rPr>
        <w:t>Gastroenterol</w:t>
      </w:r>
      <w:proofErr w:type="spellEnd"/>
      <w:r w:rsidRPr="00B6234E">
        <w:rPr>
          <w:iCs/>
          <w:lang w:val="en-US"/>
        </w:rPr>
        <w:t xml:space="preserve">. — </w:t>
      </w:r>
      <w:r w:rsidRPr="00B6234E">
        <w:rPr>
          <w:lang w:val="en-US"/>
        </w:rPr>
        <w:t xml:space="preserve">2007. — Vol. </w:t>
      </w:r>
      <w:r w:rsidRPr="00B6234E">
        <w:rPr>
          <w:bCs/>
          <w:lang w:val="en-US"/>
        </w:rPr>
        <w:t>42</w:t>
      </w:r>
      <w:r w:rsidRPr="00B6234E">
        <w:rPr>
          <w:lang w:val="en-US"/>
        </w:rPr>
        <w:t>. — P. 101–119.</w:t>
      </w:r>
      <w:bookmarkEnd w:id="12"/>
    </w:p>
    <w:p w:rsidR="00606F3B" w:rsidRPr="00B6234E" w:rsidRDefault="00606F3B" w:rsidP="00C6165D">
      <w:pPr>
        <w:pStyle w:val="a6"/>
        <w:numPr>
          <w:ilvl w:val="0"/>
          <w:numId w:val="1"/>
        </w:numPr>
        <w:autoSpaceDE w:val="0"/>
        <w:autoSpaceDN w:val="0"/>
        <w:adjustRightInd w:val="0"/>
        <w:rPr>
          <w:lang w:val="en-US"/>
        </w:rPr>
      </w:pPr>
      <w:bookmarkStart w:id="13" w:name="_Ref519544948"/>
      <w:proofErr w:type="spellStart"/>
      <w:r w:rsidRPr="00B6234E">
        <w:rPr>
          <w:lang w:val="en-US"/>
        </w:rPr>
        <w:t>Secretin</w:t>
      </w:r>
      <w:proofErr w:type="spellEnd"/>
      <w:r w:rsidRPr="00B6234E">
        <w:rPr>
          <w:lang w:val="en-US"/>
        </w:rPr>
        <w:t xml:space="preserve">-stimulated MRI characterization of pancreatic morphology and function in patients with chronic pancreatitis / </w:t>
      </w:r>
      <w:r w:rsidRPr="00B6234E">
        <w:rPr>
          <w:bCs/>
          <w:lang w:val="en-US"/>
        </w:rPr>
        <w:t xml:space="preserve">A. </w:t>
      </w:r>
      <w:proofErr w:type="spellStart"/>
      <w:r w:rsidRPr="00B6234E">
        <w:rPr>
          <w:bCs/>
          <w:lang w:val="en-US"/>
        </w:rPr>
        <w:t>Madzak</w:t>
      </w:r>
      <w:proofErr w:type="spellEnd"/>
      <w:r w:rsidRPr="00B6234E">
        <w:rPr>
          <w:lang w:val="en-US"/>
        </w:rPr>
        <w:t xml:space="preserve">, S. S. </w:t>
      </w:r>
      <w:proofErr w:type="spellStart"/>
      <w:r w:rsidRPr="00B6234E">
        <w:rPr>
          <w:lang w:val="en-US"/>
        </w:rPr>
        <w:t>Olesen</w:t>
      </w:r>
      <w:proofErr w:type="spellEnd"/>
      <w:r w:rsidRPr="00B6234E">
        <w:rPr>
          <w:lang w:val="en-US"/>
        </w:rPr>
        <w:t xml:space="preserve">, I. S. </w:t>
      </w:r>
      <w:proofErr w:type="spellStart"/>
      <w:r w:rsidRPr="00B6234E">
        <w:rPr>
          <w:lang w:val="en-US"/>
        </w:rPr>
        <w:t>Haldorsen</w:t>
      </w:r>
      <w:proofErr w:type="spellEnd"/>
      <w:r w:rsidRPr="00B6234E">
        <w:rPr>
          <w:lang w:val="en-US"/>
        </w:rPr>
        <w:t xml:space="preserve"> [et al.] // </w:t>
      </w:r>
      <w:proofErr w:type="spellStart"/>
      <w:r w:rsidRPr="00B6234E">
        <w:rPr>
          <w:iCs/>
          <w:lang w:val="en-US"/>
        </w:rPr>
        <w:t>Pancreatology</w:t>
      </w:r>
      <w:proofErr w:type="spellEnd"/>
      <w:r w:rsidRPr="00B6234E">
        <w:rPr>
          <w:iCs/>
          <w:lang w:val="en-US"/>
        </w:rPr>
        <w:t xml:space="preserve">. — </w:t>
      </w:r>
      <w:r w:rsidRPr="00B6234E">
        <w:rPr>
          <w:lang w:val="en-US"/>
        </w:rPr>
        <w:t xml:space="preserve">2017. — Vol. </w:t>
      </w:r>
      <w:r w:rsidRPr="00B6234E">
        <w:rPr>
          <w:bCs/>
          <w:lang w:val="en-US"/>
        </w:rPr>
        <w:t>17</w:t>
      </w:r>
      <w:r w:rsidRPr="00B6234E">
        <w:rPr>
          <w:lang w:val="en-US"/>
        </w:rPr>
        <w:t>. — P. 228–236.</w:t>
      </w:r>
      <w:bookmarkEnd w:id="13"/>
    </w:p>
    <w:p w:rsidR="00606F3B" w:rsidRPr="00B6234E" w:rsidRDefault="00606F3B" w:rsidP="00C6165D">
      <w:pPr>
        <w:pStyle w:val="a6"/>
        <w:numPr>
          <w:ilvl w:val="0"/>
          <w:numId w:val="1"/>
        </w:numPr>
        <w:autoSpaceDE w:val="0"/>
        <w:autoSpaceDN w:val="0"/>
        <w:adjustRightInd w:val="0"/>
        <w:rPr>
          <w:lang w:val="en-US"/>
        </w:rPr>
      </w:pPr>
      <w:bookmarkStart w:id="14" w:name="_Ref519544837"/>
      <w:r w:rsidRPr="00B6234E">
        <w:rPr>
          <w:lang w:val="en-US"/>
        </w:rPr>
        <w:t xml:space="preserve">Survival rates and cause of death in 174 patients with chronic pancreatitis / </w:t>
      </w:r>
      <w:r w:rsidRPr="00B6234E">
        <w:rPr>
          <w:bCs/>
          <w:lang w:val="en-US"/>
        </w:rPr>
        <w:t xml:space="preserve">S. </w:t>
      </w:r>
      <w:proofErr w:type="spellStart"/>
      <w:r w:rsidRPr="00B6234E">
        <w:rPr>
          <w:bCs/>
          <w:lang w:val="en-US"/>
        </w:rPr>
        <w:t>Pedrazzoli</w:t>
      </w:r>
      <w:proofErr w:type="spellEnd"/>
      <w:r w:rsidRPr="00B6234E">
        <w:rPr>
          <w:lang w:val="en-US"/>
        </w:rPr>
        <w:t xml:space="preserve">, C. </w:t>
      </w:r>
      <w:proofErr w:type="spellStart"/>
      <w:r w:rsidRPr="00B6234E">
        <w:rPr>
          <w:lang w:val="en-US"/>
        </w:rPr>
        <w:t>Pasquali</w:t>
      </w:r>
      <w:proofErr w:type="spellEnd"/>
      <w:r w:rsidRPr="00B6234E">
        <w:rPr>
          <w:lang w:val="en-US"/>
        </w:rPr>
        <w:t xml:space="preserve">, S. </w:t>
      </w:r>
      <w:proofErr w:type="spellStart"/>
      <w:r w:rsidRPr="00B6234E">
        <w:rPr>
          <w:lang w:val="en-US"/>
        </w:rPr>
        <w:t>Guzzinati</w:t>
      </w:r>
      <w:proofErr w:type="spellEnd"/>
      <w:r w:rsidRPr="00B6234E">
        <w:rPr>
          <w:lang w:val="en-US"/>
        </w:rPr>
        <w:t xml:space="preserve"> [et al.] // </w:t>
      </w:r>
      <w:r w:rsidRPr="00B6234E">
        <w:rPr>
          <w:iCs/>
          <w:lang w:val="en-US"/>
        </w:rPr>
        <w:t xml:space="preserve">J. </w:t>
      </w:r>
      <w:proofErr w:type="spellStart"/>
      <w:r w:rsidRPr="00B6234E">
        <w:rPr>
          <w:iCs/>
          <w:lang w:val="en-US"/>
        </w:rPr>
        <w:t>Gastrointest</w:t>
      </w:r>
      <w:proofErr w:type="spellEnd"/>
      <w:r w:rsidRPr="00B6234E">
        <w:rPr>
          <w:iCs/>
          <w:lang w:val="en-US"/>
        </w:rPr>
        <w:t xml:space="preserve">. Surg. — </w:t>
      </w:r>
      <w:r w:rsidRPr="00B6234E">
        <w:rPr>
          <w:lang w:val="en-US"/>
        </w:rPr>
        <w:t xml:space="preserve">2008. — Vol. </w:t>
      </w:r>
      <w:r w:rsidRPr="00B6234E">
        <w:rPr>
          <w:bCs/>
          <w:lang w:val="en-US"/>
        </w:rPr>
        <w:t>12</w:t>
      </w:r>
      <w:r w:rsidRPr="00B6234E">
        <w:rPr>
          <w:lang w:val="en-US"/>
        </w:rPr>
        <w:t>. — P. 1930–1937.</w:t>
      </w:r>
      <w:bookmarkEnd w:id="14"/>
    </w:p>
    <w:p w:rsidR="00606F3B" w:rsidRPr="00B6234E" w:rsidRDefault="00606F3B" w:rsidP="00C6165D">
      <w:pPr>
        <w:pStyle w:val="a6"/>
        <w:numPr>
          <w:ilvl w:val="0"/>
          <w:numId w:val="1"/>
        </w:numPr>
        <w:autoSpaceDE w:val="0"/>
        <w:autoSpaceDN w:val="0"/>
        <w:adjustRightInd w:val="0"/>
        <w:rPr>
          <w:lang w:val="en-US"/>
        </w:rPr>
      </w:pPr>
      <w:bookmarkStart w:id="15" w:name="_Ref519544918"/>
      <w:r w:rsidRPr="00B6234E">
        <w:rPr>
          <w:lang w:val="en-US"/>
        </w:rPr>
        <w:t>United European Gastroenterology evidence-based guidelines for the diagnosis and therapy of chronic pancreatitis (</w:t>
      </w:r>
      <w:proofErr w:type="spellStart"/>
      <w:r w:rsidRPr="00B6234E">
        <w:rPr>
          <w:lang w:val="en-US"/>
        </w:rPr>
        <w:t>HaPanEU</w:t>
      </w:r>
      <w:proofErr w:type="spellEnd"/>
      <w:r w:rsidRPr="00B6234E">
        <w:rPr>
          <w:lang w:val="en-US"/>
        </w:rPr>
        <w:t xml:space="preserve">) / </w:t>
      </w:r>
      <w:r w:rsidRPr="00B6234E">
        <w:rPr>
          <w:bCs/>
          <w:lang w:val="en-US"/>
        </w:rPr>
        <w:t xml:space="preserve">J. M. </w:t>
      </w:r>
      <w:proofErr w:type="spellStart"/>
      <w:r w:rsidRPr="00B6234E">
        <w:rPr>
          <w:bCs/>
          <w:lang w:val="en-US"/>
        </w:rPr>
        <w:t>Lohr</w:t>
      </w:r>
      <w:proofErr w:type="spellEnd"/>
      <w:r w:rsidRPr="00B6234E">
        <w:rPr>
          <w:lang w:val="en-US"/>
        </w:rPr>
        <w:t xml:space="preserve">, E. Dominguez-Munoz, J. </w:t>
      </w:r>
      <w:proofErr w:type="spellStart"/>
      <w:r w:rsidRPr="00B6234E">
        <w:rPr>
          <w:lang w:val="en-US"/>
        </w:rPr>
        <w:t>Rosendahl</w:t>
      </w:r>
      <w:proofErr w:type="spellEnd"/>
      <w:r w:rsidRPr="00B6234E">
        <w:rPr>
          <w:lang w:val="en-US"/>
        </w:rPr>
        <w:t xml:space="preserve"> ; </w:t>
      </w:r>
      <w:proofErr w:type="spellStart"/>
      <w:r w:rsidRPr="00B6234E">
        <w:rPr>
          <w:lang w:val="en-US"/>
        </w:rPr>
        <w:t>HaPanEU</w:t>
      </w:r>
      <w:proofErr w:type="spellEnd"/>
      <w:r w:rsidRPr="00B6234E">
        <w:rPr>
          <w:lang w:val="en-US"/>
        </w:rPr>
        <w:t xml:space="preserve">/UEG Working Group // </w:t>
      </w:r>
      <w:r w:rsidRPr="00B6234E">
        <w:rPr>
          <w:iCs/>
          <w:lang w:val="en-US"/>
        </w:rPr>
        <w:t xml:space="preserve">United European </w:t>
      </w:r>
      <w:proofErr w:type="spellStart"/>
      <w:r w:rsidRPr="00B6234E">
        <w:rPr>
          <w:iCs/>
          <w:lang w:val="en-US"/>
        </w:rPr>
        <w:t>Gastroenterol</w:t>
      </w:r>
      <w:proofErr w:type="spellEnd"/>
      <w:r w:rsidRPr="00B6234E">
        <w:rPr>
          <w:iCs/>
          <w:lang w:val="en-US"/>
        </w:rPr>
        <w:t xml:space="preserve">. J. — </w:t>
      </w:r>
      <w:r w:rsidRPr="00B6234E">
        <w:rPr>
          <w:lang w:val="en-US"/>
        </w:rPr>
        <w:t>2017.</w:t>
      </w:r>
      <w:r w:rsidR="00B543FB">
        <w:rPr>
          <w:lang w:val="en-US"/>
        </w:rPr>
        <w:t xml:space="preserve"> </w:t>
      </w:r>
      <w:r w:rsidRPr="00B6234E">
        <w:rPr>
          <w:lang w:val="en-US"/>
        </w:rPr>
        <w:t xml:space="preserve">Vol. </w:t>
      </w:r>
      <w:r w:rsidRPr="00B6234E">
        <w:rPr>
          <w:bCs/>
          <w:lang w:val="en-US"/>
        </w:rPr>
        <w:t>5</w:t>
      </w:r>
      <w:r w:rsidRPr="00B6234E">
        <w:rPr>
          <w:lang w:val="en-US"/>
        </w:rPr>
        <w:t>. — P. 153–199.</w:t>
      </w:r>
      <w:bookmarkEnd w:id="15"/>
    </w:p>
    <w:p w:rsidR="00F06EBE" w:rsidRPr="00B6234E" w:rsidRDefault="00F06EBE" w:rsidP="00F06EBE">
      <w:pPr>
        <w:autoSpaceDE w:val="0"/>
        <w:autoSpaceDN w:val="0"/>
        <w:adjustRightInd w:val="0"/>
        <w:rPr>
          <w:szCs w:val="20"/>
        </w:rPr>
      </w:pPr>
    </w:p>
    <w:p w:rsidR="00B30832" w:rsidRPr="00B6234E" w:rsidRDefault="00B30832">
      <w:pPr>
        <w:spacing w:after="200" w:line="276" w:lineRule="auto"/>
        <w:jc w:val="left"/>
        <w:rPr>
          <w:rFonts w:eastAsiaTheme="minorEastAsia"/>
          <w:lang w:eastAsia="zh-CN"/>
        </w:rPr>
      </w:pPr>
      <w:r w:rsidRPr="00B6234E">
        <w:rPr>
          <w:rFonts w:eastAsiaTheme="minorEastAsia"/>
          <w:lang w:eastAsia="zh-CN"/>
        </w:rPr>
        <w:br w:type="page"/>
      </w:r>
    </w:p>
    <w:p w:rsidR="008975C3" w:rsidRPr="00B6234E" w:rsidRDefault="008975C3" w:rsidP="008975C3">
      <w:pPr>
        <w:jc w:val="center"/>
        <w:rPr>
          <w:b/>
          <w:lang w:val="en-US"/>
        </w:rPr>
      </w:pPr>
      <w:r w:rsidRPr="00B6234E">
        <w:rPr>
          <w:b/>
          <w:lang w:val="en-US"/>
        </w:rPr>
        <w:lastRenderedPageBreak/>
        <w:t>Staging chronic pancreatitis with exocrine function tests: are we better?</w:t>
      </w:r>
    </w:p>
    <w:p w:rsidR="008975C3" w:rsidRPr="00B6234E" w:rsidRDefault="008975C3" w:rsidP="008975C3">
      <w:pPr>
        <w:jc w:val="center"/>
        <w:rPr>
          <w:lang w:val="en-US"/>
        </w:rPr>
      </w:pPr>
      <w:r w:rsidRPr="00B6234E">
        <w:rPr>
          <w:lang w:val="en-US"/>
        </w:rPr>
        <w:t xml:space="preserve">C. </w:t>
      </w:r>
      <w:proofErr w:type="spellStart"/>
      <w:r w:rsidRPr="00B6234E">
        <w:rPr>
          <w:lang w:val="en-US"/>
        </w:rPr>
        <w:t>Sperti</w:t>
      </w:r>
      <w:proofErr w:type="spellEnd"/>
      <w:r w:rsidRPr="00B6234E">
        <w:rPr>
          <w:lang w:val="en-US"/>
        </w:rPr>
        <w:t xml:space="preserve">, L. </w:t>
      </w:r>
      <w:proofErr w:type="spellStart"/>
      <w:r w:rsidRPr="00B6234E">
        <w:rPr>
          <w:lang w:val="en-US"/>
        </w:rPr>
        <w:t>Moletta</w:t>
      </w:r>
      <w:proofErr w:type="spellEnd"/>
    </w:p>
    <w:p w:rsidR="008975C3" w:rsidRPr="00B6234E" w:rsidRDefault="008975C3" w:rsidP="008975C3">
      <w:pPr>
        <w:jc w:val="center"/>
        <w:rPr>
          <w:lang w:val="en-US"/>
        </w:rPr>
      </w:pPr>
      <w:r w:rsidRPr="00B6234E">
        <w:rPr>
          <w:lang w:val="en-US"/>
        </w:rPr>
        <w:t>Department of Surgery, Oncology and Gastroenterology, 3</w:t>
      </w:r>
      <w:r w:rsidRPr="00B6234E">
        <w:rPr>
          <w:vertAlign w:val="superscript"/>
          <w:lang w:val="en-US"/>
        </w:rPr>
        <w:t>rd</w:t>
      </w:r>
      <w:r w:rsidRPr="00B6234E">
        <w:rPr>
          <w:lang w:val="en-US"/>
        </w:rPr>
        <w:t xml:space="preserve"> Surgical Clinic, University of Padua, Italy</w:t>
      </w:r>
    </w:p>
    <w:p w:rsidR="008975C3" w:rsidRPr="00B6234E" w:rsidRDefault="008975C3" w:rsidP="008975C3">
      <w:pPr>
        <w:jc w:val="center"/>
        <w:rPr>
          <w:lang w:val="en-US"/>
        </w:rPr>
      </w:pPr>
    </w:p>
    <w:p w:rsidR="008975C3" w:rsidRPr="00B6234E" w:rsidRDefault="008975C3" w:rsidP="008975C3">
      <w:pPr>
        <w:jc w:val="center"/>
        <w:rPr>
          <w:lang w:val="en-US"/>
        </w:rPr>
      </w:pPr>
      <w:proofErr w:type="gramStart"/>
      <w:r w:rsidRPr="00B6234E">
        <w:rPr>
          <w:lang w:val="en-US"/>
        </w:rPr>
        <w:t xml:space="preserve">World J. </w:t>
      </w:r>
      <w:proofErr w:type="spellStart"/>
      <w:r w:rsidRPr="00B6234E">
        <w:rPr>
          <w:lang w:val="en-US"/>
        </w:rPr>
        <w:t>Gastroenterol</w:t>
      </w:r>
      <w:proofErr w:type="spellEnd"/>
      <w:r w:rsidRPr="00B6234E">
        <w:rPr>
          <w:lang w:val="en-US"/>
        </w:rPr>
        <w:t>.</w:t>
      </w:r>
      <w:proofErr w:type="gramEnd"/>
      <w:r w:rsidRPr="00B6234E">
        <w:rPr>
          <w:lang w:val="en-US"/>
        </w:rPr>
        <w:t xml:space="preserve"> — 2017. — Vol. 23, No 38. — P. 6927–6930.</w:t>
      </w:r>
    </w:p>
    <w:p w:rsidR="008975C3" w:rsidRPr="00B6234E" w:rsidRDefault="008975C3" w:rsidP="008975C3">
      <w:pPr>
        <w:autoSpaceDE w:val="0"/>
        <w:autoSpaceDN w:val="0"/>
        <w:adjustRightInd w:val="0"/>
        <w:rPr>
          <w:lang w:val="en-US"/>
        </w:rPr>
      </w:pPr>
    </w:p>
    <w:p w:rsidR="008975C3" w:rsidRPr="00B6234E" w:rsidRDefault="008975C3" w:rsidP="008975C3">
      <w:pPr>
        <w:autoSpaceDE w:val="0"/>
        <w:autoSpaceDN w:val="0"/>
        <w:adjustRightInd w:val="0"/>
        <w:rPr>
          <w:lang w:val="en-US"/>
        </w:rPr>
      </w:pPr>
      <w:r w:rsidRPr="00B6234E">
        <w:rPr>
          <w:b/>
          <w:lang w:val="en-US"/>
        </w:rPr>
        <w:t>Key words:</w:t>
      </w:r>
      <w:r w:rsidRPr="00B6234E">
        <w:rPr>
          <w:lang w:val="en-US"/>
        </w:rPr>
        <w:t xml:space="preserve"> chronic pancreatitis, exocrine pancreatic insufficiency, fecal elastase-1, pancreatic function tests, </w:t>
      </w:r>
      <w:proofErr w:type="spellStart"/>
      <w:r w:rsidRPr="00B6234E">
        <w:rPr>
          <w:lang w:val="en-US"/>
        </w:rPr>
        <w:t>steathorrea</w:t>
      </w:r>
      <w:proofErr w:type="spellEnd"/>
    </w:p>
    <w:p w:rsidR="008975C3" w:rsidRPr="00B6234E" w:rsidRDefault="008975C3" w:rsidP="008975C3">
      <w:pPr>
        <w:autoSpaceDE w:val="0"/>
        <w:autoSpaceDN w:val="0"/>
        <w:adjustRightInd w:val="0"/>
        <w:rPr>
          <w:lang w:val="en-US"/>
        </w:rPr>
      </w:pPr>
      <w:r w:rsidRPr="00B6234E">
        <w:rPr>
          <w:lang w:val="en-US"/>
        </w:rPr>
        <w:t xml:space="preserve">Chronic pancreatitis (CP) is an inflammatory disease of the pancreas evolving in progressive fibrotic disruption of the gland with exocrine and endocrine pancreatic insufficiency. Although imaging features of CP are well known, their correlation with exocrine pancreatic function tests are not obvious, particularly in the early stage of the disease. There are many clinical classification of CP, all suggested for better distinguish and manage different forms based on etiological and clinical factors, and severity of the disease. Recently, a new classification of CP has been suggested: the M-ANNHEIM multiple risk factor classification that includes etiology, stage classification and degree of clinical severity. However, more accurate determination of clinical severity of CP requires a correct determination of exocrine function of the pancreas and fecal fat excretion. Recently, </w:t>
      </w:r>
      <w:proofErr w:type="spellStart"/>
      <w:r w:rsidRPr="00B6234E">
        <w:rPr>
          <w:lang w:val="en-US"/>
        </w:rPr>
        <w:t>Kamath</w:t>
      </w:r>
      <w:proofErr w:type="spellEnd"/>
      <w:r w:rsidRPr="00B6234E">
        <w:rPr>
          <w:lang w:val="en-US"/>
        </w:rPr>
        <w:t xml:space="preserve"> et al. (2017) demonstrated that the evaluation of exocrine pancreatic function by acid </w:t>
      </w:r>
      <w:proofErr w:type="spellStart"/>
      <w:r w:rsidRPr="00B6234E">
        <w:rPr>
          <w:lang w:val="en-US"/>
        </w:rPr>
        <w:t>steatocrit</w:t>
      </w:r>
      <w:proofErr w:type="spellEnd"/>
      <w:r w:rsidRPr="00B6234E">
        <w:rPr>
          <w:lang w:val="en-US"/>
        </w:rPr>
        <w:t xml:space="preserve"> and fecal elastase-1 (EF-1) was helpful, but EF-1 was able to detect exocrine pancreatic insufficiency in more patients, upgrading some patients in higher stage of disease according to M-ANNHEIM classification. So, EF-1 is a more accurate test to determine exocrine pancreatic insufficiency and to stage chronic pancreatitis in the M-ANNHEIM classification. On the contrary, EF-1 determination shows low sensitivity in detecting exocrine pancreatic insufficiency in early stage of the disease.</w:t>
      </w:r>
    </w:p>
    <w:p w:rsidR="001552DC" w:rsidRPr="00B6234E" w:rsidRDefault="001552DC" w:rsidP="00F06EBE">
      <w:pPr>
        <w:autoSpaceDE w:val="0"/>
        <w:autoSpaceDN w:val="0"/>
        <w:adjustRightInd w:val="0"/>
        <w:rPr>
          <w:szCs w:val="20"/>
          <w:lang w:val="en-US"/>
        </w:rPr>
      </w:pPr>
    </w:p>
    <w:sectPr w:rsidR="001552DC" w:rsidRPr="00B6234E" w:rsidSect="00FB5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lbertus">
    <w:altName w:val="Candara"/>
    <w:charset w:val="00"/>
    <w:family w:val="swiss"/>
    <w:pitch w:val="variable"/>
    <w:sig w:usb0="00000001"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32C0"/>
    <w:multiLevelType w:val="hybridMultilevel"/>
    <w:tmpl w:val="2DACAC38"/>
    <w:lvl w:ilvl="0" w:tplc="4DFC3020">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33701"/>
    <w:rsid w:val="00001789"/>
    <w:rsid w:val="00001F80"/>
    <w:rsid w:val="0003554E"/>
    <w:rsid w:val="000939D0"/>
    <w:rsid w:val="000C65E1"/>
    <w:rsid w:val="000E60E2"/>
    <w:rsid w:val="00110C98"/>
    <w:rsid w:val="00110CBF"/>
    <w:rsid w:val="00110EE7"/>
    <w:rsid w:val="00131A89"/>
    <w:rsid w:val="0015045C"/>
    <w:rsid w:val="001552DC"/>
    <w:rsid w:val="00176B92"/>
    <w:rsid w:val="00250467"/>
    <w:rsid w:val="002B1E54"/>
    <w:rsid w:val="002F0A04"/>
    <w:rsid w:val="002F6D87"/>
    <w:rsid w:val="00317F1D"/>
    <w:rsid w:val="0038495B"/>
    <w:rsid w:val="003F2380"/>
    <w:rsid w:val="003F725D"/>
    <w:rsid w:val="00433701"/>
    <w:rsid w:val="00473052"/>
    <w:rsid w:val="0050379B"/>
    <w:rsid w:val="00525A15"/>
    <w:rsid w:val="0054339F"/>
    <w:rsid w:val="00573453"/>
    <w:rsid w:val="005A6C34"/>
    <w:rsid w:val="005B3606"/>
    <w:rsid w:val="005D73EE"/>
    <w:rsid w:val="005F199A"/>
    <w:rsid w:val="00606F3B"/>
    <w:rsid w:val="00620888"/>
    <w:rsid w:val="0062706A"/>
    <w:rsid w:val="00657AB9"/>
    <w:rsid w:val="00692DDC"/>
    <w:rsid w:val="006B1C0D"/>
    <w:rsid w:val="00746701"/>
    <w:rsid w:val="00761163"/>
    <w:rsid w:val="007A0723"/>
    <w:rsid w:val="007B11E7"/>
    <w:rsid w:val="007C0239"/>
    <w:rsid w:val="007C1024"/>
    <w:rsid w:val="007F1571"/>
    <w:rsid w:val="008006F7"/>
    <w:rsid w:val="00807687"/>
    <w:rsid w:val="00810066"/>
    <w:rsid w:val="008238C4"/>
    <w:rsid w:val="00832BA1"/>
    <w:rsid w:val="00832C20"/>
    <w:rsid w:val="008975C3"/>
    <w:rsid w:val="008B5463"/>
    <w:rsid w:val="008C2EEB"/>
    <w:rsid w:val="008E79D6"/>
    <w:rsid w:val="008F2112"/>
    <w:rsid w:val="0099472E"/>
    <w:rsid w:val="009A2961"/>
    <w:rsid w:val="009B7BC5"/>
    <w:rsid w:val="00A13AF6"/>
    <w:rsid w:val="00A77A9E"/>
    <w:rsid w:val="00AD4DF9"/>
    <w:rsid w:val="00B22D4B"/>
    <w:rsid w:val="00B30832"/>
    <w:rsid w:val="00B41188"/>
    <w:rsid w:val="00B4475F"/>
    <w:rsid w:val="00B543FB"/>
    <w:rsid w:val="00B6234E"/>
    <w:rsid w:val="00B65292"/>
    <w:rsid w:val="00B70D34"/>
    <w:rsid w:val="00B776F9"/>
    <w:rsid w:val="00BA505A"/>
    <w:rsid w:val="00BB4847"/>
    <w:rsid w:val="00C00740"/>
    <w:rsid w:val="00C30511"/>
    <w:rsid w:val="00C30E87"/>
    <w:rsid w:val="00C6165D"/>
    <w:rsid w:val="00C7476D"/>
    <w:rsid w:val="00CA6FA0"/>
    <w:rsid w:val="00CD7F1D"/>
    <w:rsid w:val="00D16080"/>
    <w:rsid w:val="00D1629C"/>
    <w:rsid w:val="00DE052B"/>
    <w:rsid w:val="00E05E35"/>
    <w:rsid w:val="00E45ABA"/>
    <w:rsid w:val="00E63ABD"/>
    <w:rsid w:val="00E66921"/>
    <w:rsid w:val="00E74BFF"/>
    <w:rsid w:val="00EC27A7"/>
    <w:rsid w:val="00EC41D6"/>
    <w:rsid w:val="00ED54DC"/>
    <w:rsid w:val="00ED5A70"/>
    <w:rsid w:val="00EE3634"/>
    <w:rsid w:val="00EE406E"/>
    <w:rsid w:val="00F06EBE"/>
    <w:rsid w:val="00F43F6C"/>
    <w:rsid w:val="00F47BF9"/>
    <w:rsid w:val="00F7452D"/>
    <w:rsid w:val="00F8105E"/>
    <w:rsid w:val="00FB5134"/>
    <w:rsid w:val="00FE18D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C98"/>
    <w:pPr>
      <w:spacing w:after="0" w:line="240"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8C2EEB"/>
    <w:rPr>
      <w:rFonts w:ascii="Sylfaen" w:eastAsia="Sylfaen" w:hAnsi="Sylfaen" w:cs="Sylfaen"/>
      <w:sz w:val="16"/>
      <w:szCs w:val="16"/>
      <w:shd w:val="clear" w:color="auto" w:fill="FFFFFF"/>
    </w:rPr>
  </w:style>
  <w:style w:type="character" w:customStyle="1" w:styleId="5Verdana85pt">
    <w:name w:val="Основной текст (5) + Verdana;8;5 pt"/>
    <w:basedOn w:val="5"/>
    <w:rsid w:val="008C2EEB"/>
    <w:rPr>
      <w:rFonts w:ascii="Verdana" w:eastAsia="Verdana" w:hAnsi="Verdana" w:cs="Verdana"/>
      <w:color w:val="000000"/>
      <w:spacing w:val="0"/>
      <w:w w:val="100"/>
      <w:position w:val="0"/>
      <w:sz w:val="17"/>
      <w:szCs w:val="17"/>
      <w:shd w:val="clear" w:color="auto" w:fill="FFFFFF"/>
      <w:lang w:val="en-US"/>
    </w:rPr>
  </w:style>
  <w:style w:type="paragraph" w:customStyle="1" w:styleId="50">
    <w:name w:val="Основной текст (5)"/>
    <w:basedOn w:val="a"/>
    <w:link w:val="5"/>
    <w:rsid w:val="008C2EEB"/>
    <w:pPr>
      <w:widowControl w:val="0"/>
      <w:shd w:val="clear" w:color="auto" w:fill="FFFFFF"/>
      <w:spacing w:after="180" w:line="206" w:lineRule="exact"/>
    </w:pPr>
    <w:rPr>
      <w:rFonts w:ascii="Sylfaen" w:eastAsia="Sylfaen" w:hAnsi="Sylfaen" w:cs="Sylfaen"/>
      <w:sz w:val="16"/>
      <w:szCs w:val="16"/>
    </w:rPr>
  </w:style>
  <w:style w:type="character" w:customStyle="1" w:styleId="a3">
    <w:name w:val="Основной текст + Курсив"/>
    <w:basedOn w:val="a0"/>
    <w:rsid w:val="00657AB9"/>
    <w:rPr>
      <w:rFonts w:ascii="Verdana" w:eastAsia="Verdana" w:hAnsi="Verdana" w:cs="Verdana"/>
      <w:b w:val="0"/>
      <w:bCs w:val="0"/>
      <w:i/>
      <w:iCs/>
      <w:smallCaps w:val="0"/>
      <w:strike w:val="0"/>
      <w:color w:val="000000"/>
      <w:spacing w:val="0"/>
      <w:w w:val="100"/>
      <w:position w:val="0"/>
      <w:sz w:val="17"/>
      <w:szCs w:val="17"/>
      <w:u w:val="none"/>
      <w:lang w:val="en-US"/>
    </w:rPr>
  </w:style>
  <w:style w:type="character" w:styleId="a4">
    <w:name w:val="Hyperlink"/>
    <w:basedOn w:val="a0"/>
    <w:uiPriority w:val="99"/>
    <w:unhideWhenUsed/>
    <w:rsid w:val="00131A89"/>
    <w:rPr>
      <w:color w:val="0000FF" w:themeColor="hyperlink"/>
      <w:u w:val="single"/>
    </w:rPr>
  </w:style>
  <w:style w:type="table" w:styleId="a5">
    <w:name w:val="Table Grid"/>
    <w:basedOn w:val="a1"/>
    <w:uiPriority w:val="59"/>
    <w:rsid w:val="00384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61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C98"/>
    <w:pPr>
      <w:spacing w:after="0" w:line="240" w:lineRule="auto"/>
      <w:jc w:val="both"/>
    </w:pPr>
    <w:rPr>
      <w:rFonts w:ascii="Times New Roman" w:hAnsi="Times New Roman" w:cs="Times New Roman"/>
      <w:sz w:val="24"/>
      <w:szCs w:val="24"/>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8C2EEB"/>
    <w:rPr>
      <w:rFonts w:ascii="Sylfaen" w:eastAsia="Sylfaen" w:hAnsi="Sylfaen" w:cs="Sylfaen"/>
      <w:sz w:val="16"/>
      <w:szCs w:val="16"/>
      <w:shd w:val="clear" w:color="auto" w:fill="FFFFFF"/>
    </w:rPr>
  </w:style>
  <w:style w:type="character" w:customStyle="1" w:styleId="5Verdana85pt">
    <w:name w:val="Основной текст (5) + Verdana;8;5 pt"/>
    <w:basedOn w:val="5"/>
    <w:rsid w:val="008C2EEB"/>
    <w:rPr>
      <w:rFonts w:ascii="Verdana" w:eastAsia="Verdana" w:hAnsi="Verdana" w:cs="Verdana"/>
      <w:color w:val="000000"/>
      <w:spacing w:val="0"/>
      <w:w w:val="100"/>
      <w:position w:val="0"/>
      <w:sz w:val="17"/>
      <w:szCs w:val="17"/>
      <w:shd w:val="clear" w:color="auto" w:fill="FFFFFF"/>
      <w:lang w:val="en-US"/>
    </w:rPr>
  </w:style>
  <w:style w:type="paragraph" w:customStyle="1" w:styleId="50">
    <w:name w:val="Основной текст (5)"/>
    <w:basedOn w:val="a"/>
    <w:link w:val="5"/>
    <w:rsid w:val="008C2EEB"/>
    <w:pPr>
      <w:widowControl w:val="0"/>
      <w:shd w:val="clear" w:color="auto" w:fill="FFFFFF"/>
      <w:spacing w:after="180" w:line="206" w:lineRule="exact"/>
    </w:pPr>
    <w:rPr>
      <w:rFonts w:ascii="Sylfaen" w:eastAsia="Sylfaen" w:hAnsi="Sylfaen" w:cs="Sylfaen"/>
      <w:sz w:val="16"/>
      <w:szCs w:val="16"/>
      <w:lang w:val="ru-RU"/>
    </w:rPr>
  </w:style>
  <w:style w:type="character" w:customStyle="1" w:styleId="a3">
    <w:name w:val="Основной текст + Курсив"/>
    <w:basedOn w:val="a0"/>
    <w:rsid w:val="00657AB9"/>
    <w:rPr>
      <w:rFonts w:ascii="Verdana" w:eastAsia="Verdana" w:hAnsi="Verdana" w:cs="Verdana"/>
      <w:b w:val="0"/>
      <w:bCs w:val="0"/>
      <w:i/>
      <w:iCs/>
      <w:smallCaps w:val="0"/>
      <w:strike w:val="0"/>
      <w:color w:val="000000"/>
      <w:spacing w:val="0"/>
      <w:w w:val="100"/>
      <w:position w:val="0"/>
      <w:sz w:val="17"/>
      <w:szCs w:val="17"/>
      <w:u w:val="none"/>
      <w:lang w:val="en-US"/>
    </w:rPr>
  </w:style>
  <w:style w:type="character" w:styleId="a4">
    <w:name w:val="Hyperlink"/>
    <w:basedOn w:val="a0"/>
    <w:uiPriority w:val="99"/>
    <w:unhideWhenUsed/>
    <w:rsid w:val="00131A89"/>
    <w:rPr>
      <w:color w:val="0000FF" w:themeColor="hyperlink"/>
      <w:u w:val="single"/>
    </w:rPr>
  </w:style>
  <w:style w:type="table" w:styleId="a5">
    <w:name w:val="Table Grid"/>
    <w:basedOn w:val="a1"/>
    <w:uiPriority w:val="59"/>
    <w:rsid w:val="00384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74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2500</TotalTime>
  <Pages>6</Pages>
  <Words>2242</Words>
  <Characters>12784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OWL</dc:creator>
  <cp:keywords/>
  <dc:description/>
  <cp:lastModifiedBy>Eka</cp:lastModifiedBy>
  <cp:revision>67</cp:revision>
  <dcterms:created xsi:type="dcterms:W3CDTF">2018-03-17T11:44:00Z</dcterms:created>
  <dcterms:modified xsi:type="dcterms:W3CDTF">2018-08-17T15:37:00Z</dcterms:modified>
</cp:coreProperties>
</file>