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58C" w:rsidRPr="00433261" w:rsidRDefault="00A1558C" w:rsidP="00A1558C">
      <w:pPr>
        <w:spacing w:after="0" w:line="240" w:lineRule="auto"/>
        <w:jc w:val="center"/>
        <w:rPr>
          <w:rFonts w:ascii="Times New Roman" w:eastAsia="Times New Roman" w:hAnsi="Times New Roman" w:cs="Times New Roman"/>
          <w:b/>
          <w:sz w:val="28"/>
          <w:szCs w:val="28"/>
          <w:lang w:val="en-US"/>
        </w:rPr>
      </w:pPr>
      <w:r w:rsidRPr="00433261">
        <w:rPr>
          <w:rFonts w:ascii="Times New Roman" w:eastAsia="Times New Roman" w:hAnsi="Times New Roman" w:cs="Times New Roman"/>
          <w:b/>
          <w:sz w:val="28"/>
          <w:szCs w:val="28"/>
          <w:lang w:val="en-US"/>
        </w:rPr>
        <w:t>Chronic pancreatitis in patients with coronary heart disease: a lipid spectrum of blood, a possibility of correction</w:t>
      </w:r>
    </w:p>
    <w:p w:rsidR="00A1558C" w:rsidRPr="00433261" w:rsidRDefault="00A1558C" w:rsidP="00A1558C">
      <w:pPr>
        <w:spacing w:after="0" w:line="240" w:lineRule="auto"/>
        <w:jc w:val="center"/>
        <w:rPr>
          <w:rFonts w:ascii="Times New Roman" w:eastAsia="Times New Roman" w:hAnsi="Times New Roman" w:cs="Times New Roman"/>
          <w:sz w:val="28"/>
          <w:szCs w:val="28"/>
          <w:lang w:val="en-US"/>
        </w:rPr>
      </w:pPr>
      <w:r w:rsidRPr="00433261">
        <w:rPr>
          <w:rFonts w:ascii="Times New Roman" w:eastAsia="Times New Roman" w:hAnsi="Times New Roman" w:cs="Times New Roman"/>
          <w:sz w:val="28"/>
          <w:szCs w:val="28"/>
          <w:lang w:val="en-US"/>
        </w:rPr>
        <w:t>T. M. Hristich, D. O. Gontsariuk</w:t>
      </w:r>
    </w:p>
    <w:p w:rsidR="00A1558C" w:rsidRPr="00433261" w:rsidRDefault="00A1558C" w:rsidP="00A1558C">
      <w:pPr>
        <w:spacing w:after="0" w:line="240" w:lineRule="auto"/>
        <w:jc w:val="center"/>
        <w:rPr>
          <w:rFonts w:ascii="Times New Roman" w:eastAsia="Times New Roman" w:hAnsi="Times New Roman" w:cs="Times New Roman"/>
          <w:sz w:val="28"/>
          <w:szCs w:val="28"/>
          <w:lang w:val="en-US"/>
        </w:rPr>
      </w:pPr>
      <w:r w:rsidRPr="00433261">
        <w:rPr>
          <w:rFonts w:ascii="Times New Roman" w:eastAsia="Times New Roman" w:hAnsi="Times New Roman" w:cs="Times New Roman"/>
          <w:sz w:val="28"/>
          <w:szCs w:val="28"/>
          <w:lang w:val="en-US"/>
        </w:rPr>
        <w:t>Bukovinian State Medical University, Chernivtsi, Ukraine</w:t>
      </w:r>
    </w:p>
    <w:p w:rsidR="00A1558C" w:rsidRPr="00433261" w:rsidRDefault="00A1558C" w:rsidP="00A1558C">
      <w:pPr>
        <w:spacing w:after="0" w:line="240" w:lineRule="auto"/>
        <w:rPr>
          <w:rFonts w:ascii="Times New Roman" w:eastAsia="Times New Roman" w:hAnsi="Times New Roman" w:cs="Times New Roman"/>
          <w:sz w:val="28"/>
          <w:szCs w:val="28"/>
          <w:lang w:val="en-US"/>
        </w:rPr>
      </w:pPr>
    </w:p>
    <w:p w:rsidR="00037E6B" w:rsidRPr="00433261" w:rsidRDefault="00A1558C" w:rsidP="00A1558C">
      <w:pPr>
        <w:spacing w:after="0" w:line="420" w:lineRule="atLeast"/>
        <w:ind w:firstLine="708"/>
        <w:jc w:val="both"/>
        <w:rPr>
          <w:rFonts w:ascii="Times New Roman" w:eastAsia="Times New Roman" w:hAnsi="Times New Roman" w:cs="Times New Roman"/>
          <w:color w:val="000000"/>
          <w:sz w:val="28"/>
          <w:szCs w:val="28"/>
          <w:lang w:val="en-US"/>
        </w:rPr>
      </w:pPr>
      <w:r w:rsidRPr="00433261">
        <w:rPr>
          <w:rFonts w:ascii="Times New Roman" w:eastAsia="Times New Roman" w:hAnsi="Times New Roman" w:cs="Times New Roman"/>
          <w:b/>
          <w:sz w:val="28"/>
          <w:szCs w:val="28"/>
          <w:lang w:val="en-US"/>
        </w:rPr>
        <w:t>Key words</w:t>
      </w:r>
      <w:r w:rsidRPr="00433261">
        <w:rPr>
          <w:rFonts w:ascii="Times New Roman" w:eastAsia="Times New Roman" w:hAnsi="Times New Roman" w:cs="Times New Roman"/>
          <w:sz w:val="28"/>
          <w:szCs w:val="28"/>
          <w:lang w:val="en-US"/>
        </w:rPr>
        <w:t>: chronic pancreatitis, atherosclerosis, coronary heart disease, indicators lipidogram, statins, policosanol ("FitoStatin")</w:t>
      </w:r>
    </w:p>
    <w:p w:rsidR="000B22DF" w:rsidRPr="00433261" w:rsidRDefault="000B22DF" w:rsidP="000B22DF">
      <w:pPr>
        <w:spacing w:after="0" w:line="420" w:lineRule="atLeast"/>
        <w:ind w:firstLine="708"/>
        <w:jc w:val="both"/>
        <w:rPr>
          <w:rFonts w:ascii="Times New Roman" w:eastAsia="Times New Roman" w:hAnsi="Times New Roman" w:cs="Times New Roman"/>
          <w:color w:val="000000"/>
          <w:sz w:val="28"/>
          <w:lang w:val="en-US"/>
        </w:rPr>
      </w:pPr>
      <w:r w:rsidRPr="00433261">
        <w:rPr>
          <w:rFonts w:ascii="Times New Roman" w:eastAsia="Times New Roman" w:hAnsi="Times New Roman" w:cs="Times New Roman"/>
          <w:color w:val="000000"/>
          <w:sz w:val="28"/>
          <w:lang w:val="en-US"/>
        </w:rPr>
        <w:t>In the course of chronic pancreatitis (CP) and atherosclerosis, metabolic disorders are essential factors in pathogenesis. It is they who act as the unifying mechanisms of CP and coronary heart disease (CHD). Such mechanisms include chronic obstructive oxidative stress, systemic inflammatory response to damage, insulin resistance, hyperlipidemia, hypertriglyceridemia, especially postprandial [14]. Metabolic processes are closely interconnected. For example, in the metabolism of glucose and lipids (including in visceral adipose tissue), regulation of coagulation and inflammatory processes, the key role belongs to the liver and pancreas (</w:t>
      </w:r>
      <w:r w:rsidR="00433261">
        <w:rPr>
          <w:rFonts w:ascii="Times New Roman" w:eastAsia="Times New Roman" w:hAnsi="Times New Roman" w:cs="Times New Roman"/>
          <w:color w:val="000000"/>
          <w:sz w:val="28"/>
          <w:lang w:val="en-US"/>
        </w:rPr>
        <w:t>pancreas</w:t>
      </w:r>
      <w:r w:rsidRPr="00433261">
        <w:rPr>
          <w:rFonts w:ascii="Times New Roman" w:eastAsia="Times New Roman" w:hAnsi="Times New Roman" w:cs="Times New Roman"/>
          <w:color w:val="000000"/>
          <w:sz w:val="28"/>
          <w:lang w:val="en-US"/>
        </w:rPr>
        <w:t xml:space="preserve">). The liver becomes both a target organ and an important source of some pathogenetic processes that form insulin resistance and lipid metabolism disorders due to damage to the vascular and liver tissue, </w:t>
      </w:r>
      <w:r w:rsidR="00433261">
        <w:rPr>
          <w:rFonts w:ascii="Times New Roman" w:eastAsia="Times New Roman" w:hAnsi="Times New Roman" w:cs="Times New Roman"/>
          <w:color w:val="000000"/>
          <w:sz w:val="28"/>
          <w:lang w:val="en-US"/>
        </w:rPr>
        <w:t>pancreas</w:t>
      </w:r>
      <w:r w:rsidRPr="00433261">
        <w:rPr>
          <w:rFonts w:ascii="Times New Roman" w:eastAsia="Times New Roman" w:hAnsi="Times New Roman" w:cs="Times New Roman"/>
          <w:color w:val="000000"/>
          <w:sz w:val="28"/>
          <w:lang w:val="en-US"/>
        </w:rPr>
        <w:t xml:space="preserve">. Perhaps the intersection of mechanisms at the level of these organs and inflammatory processes in visceral adipose tissue (which secretes proinflammatory adipocyne) may be significant. In this case, the liver initiates the transcription of a number of proinflammatory genes, which enhances chronic systemic inflammation in both fatty tissue and in the software [3]. It is believed that the early outcome of inflammatory processes in the adipose tissue is also insulin resistance. Systemic insulin resistance reduces the absorption of glucose by hepatocytes, adipocytes, muscle tissue, glycogen synthesis and triglycerides, glycolysis activation, lipolysis, neoglycosis. </w:t>
      </w:r>
      <w:proofErr w:type="gramStart"/>
      <w:r w:rsidRPr="00433261">
        <w:rPr>
          <w:rFonts w:ascii="Times New Roman" w:eastAsia="Times New Roman" w:hAnsi="Times New Roman" w:cs="Times New Roman"/>
          <w:color w:val="000000"/>
          <w:sz w:val="28"/>
          <w:lang w:val="en-US"/>
        </w:rPr>
        <w:t>Increases the circulation and oxidation of fatty acids, causing tissue damage (including hepatocytes, pancreatitis) due to lipotoxicity.</w:t>
      </w:r>
      <w:proofErr w:type="gramEnd"/>
      <w:r w:rsidRPr="00433261">
        <w:rPr>
          <w:rFonts w:ascii="Times New Roman" w:eastAsia="Times New Roman" w:hAnsi="Times New Roman" w:cs="Times New Roman"/>
          <w:color w:val="000000"/>
          <w:sz w:val="28"/>
          <w:lang w:val="en-US"/>
        </w:rPr>
        <w:t xml:space="preserve"> Infringement of lipid metabolism is not compensated by hyperinsulinemia, which leads to accelerated development of atherosclerosis.</w:t>
      </w:r>
    </w:p>
    <w:p w:rsidR="000B22DF" w:rsidRPr="00433261" w:rsidRDefault="000B22DF" w:rsidP="000B22DF">
      <w:pPr>
        <w:spacing w:after="0" w:line="420" w:lineRule="atLeast"/>
        <w:ind w:firstLine="708"/>
        <w:jc w:val="both"/>
        <w:rPr>
          <w:rFonts w:ascii="Times New Roman" w:eastAsia="Times New Roman" w:hAnsi="Times New Roman" w:cs="Times New Roman"/>
          <w:color w:val="000000"/>
          <w:sz w:val="28"/>
          <w:lang w:val="en-US"/>
        </w:rPr>
      </w:pPr>
      <w:r w:rsidRPr="00433261">
        <w:rPr>
          <w:rFonts w:ascii="Times New Roman" w:eastAsia="Times New Roman" w:hAnsi="Times New Roman" w:cs="Times New Roman"/>
          <w:color w:val="000000"/>
          <w:sz w:val="28"/>
          <w:lang w:val="en-US"/>
        </w:rPr>
        <w:t xml:space="preserve">An important factor in understanding the pathogenesis of </w:t>
      </w:r>
      <w:r w:rsidR="00433261">
        <w:rPr>
          <w:rFonts w:ascii="Times New Roman" w:eastAsia="Times New Roman" w:hAnsi="Times New Roman" w:cs="Times New Roman"/>
          <w:color w:val="000000"/>
          <w:sz w:val="28"/>
          <w:lang w:val="en-US"/>
        </w:rPr>
        <w:t>CP</w:t>
      </w:r>
      <w:r w:rsidRPr="00433261">
        <w:rPr>
          <w:rFonts w:ascii="Times New Roman" w:eastAsia="Times New Roman" w:hAnsi="Times New Roman" w:cs="Times New Roman"/>
          <w:color w:val="000000"/>
          <w:sz w:val="28"/>
          <w:lang w:val="en-US"/>
        </w:rPr>
        <w:t xml:space="preserve"> and the complications of atherosclerosis is the fact that high levels of triglycerides (TG) contribute to the formation of modified low density lipoprotein (LDL) and high density lipoprotein (HDL) rich in thyroid glands, a shift in carbohydrate metabolism and activation of thrombosis [2]. The combination of </w:t>
      </w:r>
      <w:r w:rsidRPr="00433261">
        <w:rPr>
          <w:rFonts w:ascii="Times New Roman" w:eastAsia="Times New Roman" w:hAnsi="Times New Roman" w:cs="Times New Roman"/>
          <w:color w:val="000000"/>
          <w:sz w:val="28"/>
          <w:lang w:val="en-US"/>
        </w:rPr>
        <w:lastRenderedPageBreak/>
        <w:t xml:space="preserve">hypertriglyceridemia with a decrease in HDL is seen as a predictor of CP, diabetes mellitus (such a mechanism is more significant in women than in men). The leading cause of atherosclerosis in patients with normal levels of lipids in the onset (it is possible and for </w:t>
      </w:r>
      <w:r w:rsidR="00433261">
        <w:rPr>
          <w:rFonts w:ascii="Times New Roman" w:eastAsia="Times New Roman" w:hAnsi="Times New Roman" w:cs="Times New Roman"/>
          <w:color w:val="000000"/>
          <w:sz w:val="28"/>
          <w:lang w:val="en-US"/>
        </w:rPr>
        <w:t>CP</w:t>
      </w:r>
      <w:r w:rsidRPr="00433261">
        <w:rPr>
          <w:rFonts w:ascii="Times New Roman" w:eastAsia="Times New Roman" w:hAnsi="Times New Roman" w:cs="Times New Roman"/>
          <w:color w:val="000000"/>
          <w:sz w:val="28"/>
          <w:lang w:val="en-US"/>
        </w:rPr>
        <w:t>) may be postprandial lipemia. A high concentration of lipids in the blood after eating even is a stronger predictor of cardiovascular disease than the level of triglycerides in the onset [20].</w:t>
      </w:r>
    </w:p>
    <w:p w:rsidR="000B22DF" w:rsidRPr="00433261" w:rsidRDefault="000B22DF" w:rsidP="000B22DF">
      <w:pPr>
        <w:spacing w:after="0" w:line="420" w:lineRule="atLeast"/>
        <w:ind w:firstLine="708"/>
        <w:jc w:val="both"/>
        <w:rPr>
          <w:rFonts w:ascii="Times New Roman" w:eastAsia="Times New Roman" w:hAnsi="Times New Roman" w:cs="Times New Roman"/>
          <w:color w:val="000000"/>
          <w:sz w:val="28"/>
          <w:lang w:val="en-US"/>
        </w:rPr>
      </w:pPr>
      <w:r w:rsidRPr="00433261">
        <w:rPr>
          <w:rFonts w:ascii="Times New Roman" w:eastAsia="Times New Roman" w:hAnsi="Times New Roman" w:cs="Times New Roman"/>
          <w:color w:val="000000"/>
          <w:sz w:val="28"/>
          <w:lang w:val="en-US"/>
        </w:rPr>
        <w:t xml:space="preserve">Consequently, hypertriglyceridemia acts as a common mechanism for the formation of fatty infiltration of </w:t>
      </w:r>
      <w:r w:rsidR="00433261">
        <w:rPr>
          <w:rFonts w:ascii="Times New Roman" w:eastAsia="Times New Roman" w:hAnsi="Times New Roman" w:cs="Times New Roman"/>
          <w:color w:val="000000"/>
          <w:sz w:val="28"/>
          <w:lang w:val="en-US"/>
        </w:rPr>
        <w:t>pancreas</w:t>
      </w:r>
      <w:r w:rsidRPr="00433261">
        <w:rPr>
          <w:rFonts w:ascii="Times New Roman" w:eastAsia="Times New Roman" w:hAnsi="Times New Roman" w:cs="Times New Roman"/>
          <w:color w:val="000000"/>
          <w:sz w:val="28"/>
          <w:lang w:val="en-US"/>
        </w:rPr>
        <w:t xml:space="preserve"> (which may contribute to the subsequent formation of steato pancreatitis, non-alcoholic fatty illness with non-alcoholic liver disease, or independently) and the development of vascular atherosclerosis for the comorbid flow of CP with CHD, resulting in some cases before the onset DM type 2, to acute cardiovascular events. [13]</w:t>
      </w:r>
    </w:p>
    <w:p w:rsidR="000B22DF" w:rsidRPr="00433261" w:rsidRDefault="000B22DF" w:rsidP="000B22DF">
      <w:pPr>
        <w:spacing w:after="0" w:line="420" w:lineRule="atLeast"/>
        <w:ind w:firstLine="708"/>
        <w:jc w:val="both"/>
        <w:rPr>
          <w:rFonts w:ascii="Times New Roman" w:eastAsia="Times New Roman" w:hAnsi="Times New Roman" w:cs="Times New Roman"/>
          <w:color w:val="000000"/>
          <w:sz w:val="28"/>
          <w:lang w:val="en-US"/>
        </w:rPr>
      </w:pPr>
      <w:r w:rsidRPr="00433261">
        <w:rPr>
          <w:rFonts w:ascii="Times New Roman" w:eastAsia="Times New Roman" w:hAnsi="Times New Roman" w:cs="Times New Roman"/>
          <w:color w:val="000000"/>
          <w:sz w:val="28"/>
          <w:lang w:val="en-US"/>
        </w:rPr>
        <w:t xml:space="preserve">Obstruction of blood vessels in the blood vessels, fatty infiltration of acinar cells, the emergence of a large number of cytotoxic free fatty acids become important in the pathogenesis of hyperlipidemic pancreatitis [11]. They are formed as a result of intense hydrolysis of triglycerides under the influence of lipase, endothelial lipoprotein lipase, which transform it into glycerol and fatty acids. But in the postprandial period, especially in the formation of atherosclerotic processes, the activity of endothelial lipoprotein lipase decreases, in the blood accumulate lipoproteins enriched with triglycerides. It is important that competition for the activity of endothelial lipoprotein lipase increases with hypertriglyceridemia onset. Thus, the vascular endothelium is constantly in contact with the attenuators of atherogenic lipoproteins (lobules that are poor in TG, rich in cholesterol), free fatty </w:t>
      </w:r>
      <w:proofErr w:type="gramStart"/>
      <w:r w:rsidRPr="00433261">
        <w:rPr>
          <w:rFonts w:ascii="Times New Roman" w:eastAsia="Times New Roman" w:hAnsi="Times New Roman" w:cs="Times New Roman"/>
          <w:color w:val="000000"/>
          <w:sz w:val="28"/>
          <w:lang w:val="en-US"/>
        </w:rPr>
        <w:t>acids, which increases</w:t>
      </w:r>
      <w:proofErr w:type="gramEnd"/>
      <w:r w:rsidRPr="00433261">
        <w:rPr>
          <w:rFonts w:ascii="Times New Roman" w:eastAsia="Times New Roman" w:hAnsi="Times New Roman" w:cs="Times New Roman"/>
          <w:color w:val="000000"/>
          <w:sz w:val="28"/>
          <w:lang w:val="en-US"/>
        </w:rPr>
        <w:t xml:space="preserve"> the oxidation of proteins and lipid peroxidation, damages the structure of the lipid layer of cell membranes, induces an inflammatory, low-intensity generalized reaction of the immune system [22]. Overloading of cholesterol pancreatic cells can cause mitochondrial dysfunction and start the process of apoptosis [18], which ultimately leads to fibrosis, the more so because of dyslipidemia, fibrosis can be formed through lipoidosis, steatosis [12].</w:t>
      </w:r>
    </w:p>
    <w:p w:rsidR="000B22DF" w:rsidRPr="00433261" w:rsidRDefault="000B22DF" w:rsidP="000B22DF">
      <w:pPr>
        <w:spacing w:after="0" w:line="420" w:lineRule="atLeast"/>
        <w:ind w:firstLine="708"/>
        <w:jc w:val="both"/>
        <w:rPr>
          <w:rFonts w:ascii="Times New Roman" w:eastAsia="Times New Roman" w:hAnsi="Times New Roman" w:cs="Times New Roman"/>
          <w:color w:val="000000"/>
          <w:sz w:val="28"/>
          <w:lang w:val="en-US"/>
        </w:rPr>
      </w:pPr>
      <w:r w:rsidRPr="00433261">
        <w:rPr>
          <w:rFonts w:ascii="Times New Roman" w:eastAsia="Times New Roman" w:hAnsi="Times New Roman" w:cs="Times New Roman"/>
          <w:color w:val="000000"/>
          <w:sz w:val="28"/>
          <w:lang w:val="en-US"/>
        </w:rPr>
        <w:t xml:space="preserve">All 5 classes of lipoprotein have a similar structure and components (triglycerides, non-esterified cholesterol, cholesterol esters, phospholipids and apoptoids). Apolipoproteins are the protein components of the lipoprotein and are classified by the letters of the alphabet: A, B, C. More than 20 apolipoproteins are </w:t>
      </w:r>
      <w:r w:rsidRPr="00433261">
        <w:rPr>
          <w:rFonts w:ascii="Times New Roman" w:eastAsia="Times New Roman" w:hAnsi="Times New Roman" w:cs="Times New Roman"/>
          <w:color w:val="000000"/>
          <w:sz w:val="28"/>
          <w:lang w:val="en-US"/>
        </w:rPr>
        <w:lastRenderedPageBreak/>
        <w:t>isolated, their capabilities, mutations in the structural and regulatory genes are determined.</w:t>
      </w:r>
    </w:p>
    <w:p w:rsidR="000B22DF" w:rsidRPr="00433261" w:rsidRDefault="000B22DF" w:rsidP="000B22DF">
      <w:pPr>
        <w:spacing w:after="0" w:line="420" w:lineRule="atLeast"/>
        <w:ind w:firstLine="708"/>
        <w:jc w:val="both"/>
        <w:rPr>
          <w:rFonts w:ascii="Times New Roman" w:eastAsia="Times New Roman" w:hAnsi="Times New Roman" w:cs="Times New Roman"/>
          <w:color w:val="000000"/>
          <w:sz w:val="28"/>
          <w:lang w:val="en-US"/>
        </w:rPr>
      </w:pPr>
      <w:r w:rsidRPr="00433261">
        <w:rPr>
          <w:rFonts w:ascii="Times New Roman" w:eastAsia="Times New Roman" w:hAnsi="Times New Roman" w:cs="Times New Roman"/>
          <w:color w:val="000000"/>
          <w:sz w:val="28"/>
          <w:lang w:val="en-US"/>
        </w:rPr>
        <w:t>Cholesterol in the blood plasma has two components: exogenous cholesterol, which comes from food, and endogenous</w:t>
      </w:r>
      <w:r w:rsidR="00433261">
        <w:rPr>
          <w:rFonts w:ascii="Times New Roman" w:eastAsia="Times New Roman" w:hAnsi="Times New Roman" w:cs="Times New Roman"/>
          <w:color w:val="000000"/>
          <w:sz w:val="28"/>
          <w:lang w:val="en-US"/>
        </w:rPr>
        <w:t xml:space="preserve"> — </w:t>
      </w:r>
      <w:r w:rsidRPr="00433261">
        <w:rPr>
          <w:rFonts w:ascii="Times New Roman" w:eastAsia="Times New Roman" w:hAnsi="Times New Roman" w:cs="Times New Roman"/>
          <w:color w:val="000000"/>
          <w:sz w:val="28"/>
          <w:lang w:val="en-US"/>
        </w:rPr>
        <w:t>formed in the body. The proportion of exogenous cholesterol is much lower and is approximately 25-30%, which limits the correction of hypercholesterolemia due to diet [5].</w:t>
      </w:r>
    </w:p>
    <w:p w:rsidR="000B22DF" w:rsidRPr="00433261" w:rsidRDefault="000B22DF" w:rsidP="000B22DF">
      <w:pPr>
        <w:spacing w:after="0" w:line="420" w:lineRule="atLeast"/>
        <w:ind w:firstLine="708"/>
        <w:jc w:val="both"/>
        <w:rPr>
          <w:rFonts w:ascii="Times New Roman" w:eastAsia="Times New Roman" w:hAnsi="Times New Roman" w:cs="Times New Roman"/>
          <w:color w:val="000000"/>
          <w:sz w:val="28"/>
          <w:lang w:val="en-US"/>
        </w:rPr>
      </w:pPr>
      <w:r w:rsidRPr="00433261">
        <w:rPr>
          <w:rFonts w:ascii="Times New Roman" w:eastAsia="Times New Roman" w:hAnsi="Times New Roman" w:cs="Times New Roman"/>
          <w:color w:val="000000"/>
          <w:sz w:val="28"/>
          <w:lang w:val="en-US"/>
        </w:rPr>
        <w:t>It should be noted that in the body cholesterol is not in a free state. It is bound to proteins and is included into lipoproteins transporting cholesterol from the liver to peripheral cells (very low density lipoprotein, LPDH, and LDL) and in the opposite direction, HDL. Cholesterol and triglycerides, which are part of the food, enter into the intestine, where they are absorbed and become a component of large lipoprotein particles</w:t>
      </w:r>
      <w:r w:rsidR="00433261">
        <w:rPr>
          <w:rFonts w:ascii="Times New Roman" w:eastAsia="Times New Roman" w:hAnsi="Times New Roman" w:cs="Times New Roman"/>
          <w:color w:val="000000"/>
          <w:sz w:val="28"/>
          <w:lang w:val="en-US"/>
        </w:rPr>
        <w:t xml:space="preserve"> — </w:t>
      </w:r>
      <w:r w:rsidRPr="00433261">
        <w:rPr>
          <w:rFonts w:ascii="Times New Roman" w:eastAsia="Times New Roman" w:hAnsi="Times New Roman" w:cs="Times New Roman"/>
          <w:color w:val="000000"/>
          <w:sz w:val="28"/>
          <w:lang w:val="en-US"/>
        </w:rPr>
        <w:t xml:space="preserve">chylomicrons. They account for 90% of TG, 5% are cholesterol, 4% are phospholipids and 1% are proteins. The main function of the chylomicrons is the transport of TG and cholesterol through the lymph to the blood plasma. In capillaries of fatty and muscular tissue, chylomicrons under the influence of lipoprotein lipase hydrolyze with the release of free fatty acids and monoglycerides and are converted into particles that are poor in TG and rich in cholesterol (repairing particles). The more such particles are transformed into muscle under active physical activity or in the cells of the fatty (predominantly abdominal) tissue, the less they will enter the liver and become a material for the formation of atherogenic classes of lipoproteins. The residues of chylomicrons due to the presence of apo-E in their composition are determined by the corresponding liver receptors, admire and enter into it [1]. Consequently, with the comorbidity of CP with CHD, one can not ignore the functional state of the liver, whose activity depends on carbohydrate, fatty metabolism and endocrine status. The further transport of cholesterol is carried out in the LPDNCH. LDL-cells are formed in the liver and consist mainly of TG (65%). They are the main transport form of endogenous triglycerides, in contrast to the chylomicrons that carry exogenous TG. In capillaries of adipose and muscular tissue, LPDHC under the influence of lipoprotein lipase hydrolyzes with the formation of TG and the cleavage of fatty acids. As a result, LDL-content decreases the TG content and increases the specific gravity of esterified cholesterol, which contributes to their conversion to intermediate density lipoprotein (HDL). They partially catalyze in the liver by receptor-mediated endocytosis and partially (due to liver lipase) lose a large </w:t>
      </w:r>
      <w:r w:rsidRPr="00433261">
        <w:rPr>
          <w:rFonts w:ascii="Times New Roman" w:eastAsia="Times New Roman" w:hAnsi="Times New Roman" w:cs="Times New Roman"/>
          <w:color w:val="000000"/>
          <w:sz w:val="28"/>
          <w:lang w:val="en-US"/>
        </w:rPr>
        <w:lastRenderedPageBreak/>
        <w:t xml:space="preserve">proportion of TG and become LDL-cells. Low density lipoproteins contain the largest amount of cholesterol (70%) and they are given a leading role in the transport of cholesterol from the liver to peripheral cells. Therefore, this class is considered as the most atherogenic, and the level of LDL cholesterol determines the risk of developing atherosclerosis and evaluates the effectiveness of hypolipidemic therapy. [3]. </w:t>
      </w:r>
      <w:proofErr w:type="gramStart"/>
      <w:r w:rsidRPr="00433261">
        <w:rPr>
          <w:rFonts w:ascii="Times New Roman" w:eastAsia="Times New Roman" w:hAnsi="Times New Roman" w:cs="Times New Roman"/>
          <w:color w:val="000000"/>
          <w:sz w:val="28"/>
          <w:lang w:val="en-US"/>
        </w:rPr>
        <w:t>The</w:t>
      </w:r>
      <w:proofErr w:type="gramEnd"/>
      <w:r w:rsidRPr="00433261">
        <w:rPr>
          <w:rFonts w:ascii="Times New Roman" w:eastAsia="Times New Roman" w:hAnsi="Times New Roman" w:cs="Times New Roman"/>
          <w:color w:val="000000"/>
          <w:sz w:val="28"/>
          <w:lang w:val="en-US"/>
        </w:rPr>
        <w:t xml:space="preserve"> introduction of cholesterol into liver cells is ensured by the presence of specific receptors on the membrane of cells that recognize the proteins that are part of the LDL apo-b and apo-e). After binding to the LDL receptors through endocytosis, they enter the cells where the trapped lipoprotein particles in the lysosomal apparatus are degraded. In cholesterol lysosomes, free cholesterol is released, which by the feedback mechanism is an inhibitor of endogenous cholesterol synthesis. Reverse transport from the peripheral cells to the liver is carried out by HDL, the composition of which is significantly different from the low density lipoprotein (precisely the composition of aphids). HDLs contain protein particles (Apo-A-I and apo-A-II), 30% phospholipids, </w:t>
      </w:r>
      <w:proofErr w:type="gramStart"/>
      <w:r w:rsidRPr="00433261">
        <w:rPr>
          <w:rFonts w:ascii="Times New Roman" w:eastAsia="Times New Roman" w:hAnsi="Times New Roman" w:cs="Times New Roman"/>
          <w:color w:val="000000"/>
          <w:sz w:val="28"/>
          <w:lang w:val="en-US"/>
        </w:rPr>
        <w:t>18</w:t>
      </w:r>
      <w:proofErr w:type="gramEnd"/>
      <w:r w:rsidRPr="00433261">
        <w:rPr>
          <w:rFonts w:ascii="Times New Roman" w:eastAsia="Times New Roman" w:hAnsi="Times New Roman" w:cs="Times New Roman"/>
          <w:color w:val="000000"/>
          <w:sz w:val="28"/>
          <w:lang w:val="en-US"/>
        </w:rPr>
        <w:t>% cholesterol. The activity of reverse cholesterol transport depends on the number of HDL, receptors to Apo-A-I and their identification. "Charged" HDL cholesterol is considered as an independent risk factor for atherosclerosis, and it is the ratio of HDL</w:t>
      </w:r>
      <w:r w:rsidR="00433261">
        <w:rPr>
          <w:rFonts w:ascii="Times New Roman" w:eastAsia="Times New Roman" w:hAnsi="Times New Roman" w:cs="Times New Roman"/>
          <w:color w:val="000000"/>
          <w:sz w:val="28"/>
          <w:lang w:val="en-US"/>
        </w:rPr>
        <w:t>/</w:t>
      </w:r>
      <w:r w:rsidRPr="00433261">
        <w:rPr>
          <w:rFonts w:ascii="Times New Roman" w:eastAsia="Times New Roman" w:hAnsi="Times New Roman" w:cs="Times New Roman"/>
          <w:color w:val="000000"/>
          <w:sz w:val="28"/>
          <w:lang w:val="en-US"/>
        </w:rPr>
        <w:t xml:space="preserve">HDL cholesterol HDL that determines the risk of developing the disease. [13]. A known fact is the property of LDL-lowering of insulin production by beta-cells of </w:t>
      </w:r>
      <w:r w:rsidR="00433261">
        <w:rPr>
          <w:rFonts w:ascii="Times New Roman" w:eastAsia="Times New Roman" w:hAnsi="Times New Roman" w:cs="Times New Roman"/>
          <w:color w:val="000000"/>
          <w:sz w:val="28"/>
          <w:lang w:val="en-US"/>
        </w:rPr>
        <w:t>pancreas</w:t>
      </w:r>
      <w:r w:rsidRPr="00433261">
        <w:rPr>
          <w:rFonts w:ascii="Times New Roman" w:eastAsia="Times New Roman" w:hAnsi="Times New Roman" w:cs="Times New Roman"/>
          <w:color w:val="000000"/>
          <w:sz w:val="28"/>
          <w:lang w:val="en-US"/>
        </w:rPr>
        <w:t xml:space="preserve"> (as a manifestation of lipotoxicity) and the property of apolipoprotein D in the action of contrinsular, competing with insulin for specific receptors. Based on the data obtained, the combination of CHD with CP is a complicated process due to some links of the common pathogenesis (dyslipidemia, especially hypertriglyceridemia, insulin resistance, persistence of chronic generalized low-intensity inflammatory reaction, endothelial dysfunction), which predetermines the clinical picture, the course and prognosis of diseases, and presents clinical interest, especially in chronic heart failure, which is a prognostically unfavorable complication of diseases of the cardiovascular system, and for comorbidity and with CP</w:t>
      </w:r>
      <w:r w:rsidR="00433261">
        <w:rPr>
          <w:rFonts w:ascii="Times New Roman" w:eastAsia="Times New Roman" w:hAnsi="Times New Roman" w:cs="Times New Roman"/>
          <w:color w:val="000000"/>
          <w:sz w:val="28"/>
          <w:lang w:val="en-US"/>
        </w:rPr>
        <w:t xml:space="preserve"> — </w:t>
      </w:r>
      <w:r w:rsidRPr="00433261">
        <w:rPr>
          <w:rFonts w:ascii="Times New Roman" w:eastAsia="Times New Roman" w:hAnsi="Times New Roman" w:cs="Times New Roman"/>
          <w:color w:val="000000"/>
          <w:sz w:val="28"/>
          <w:lang w:val="en-US"/>
        </w:rPr>
        <w:t xml:space="preserve">and for its course. The medication correction of lipid metabolism disorders to reduce the risk of cardiovascular diseases and their complications (taking into account the results of large studies) is reduced to the appointment of statins in order to reduce the level of LDL cholesterol in the blood [9, 10]. But regardless of the aggressive reduction in </w:t>
      </w:r>
      <w:r w:rsidRPr="00433261">
        <w:rPr>
          <w:rFonts w:ascii="Times New Roman" w:eastAsia="Times New Roman" w:hAnsi="Times New Roman" w:cs="Times New Roman"/>
          <w:color w:val="000000"/>
          <w:sz w:val="28"/>
          <w:lang w:val="en-US"/>
        </w:rPr>
        <w:lastRenderedPageBreak/>
        <w:t xml:space="preserve">LDL cholesterol achieved with the help of statins, 66.7% of patients still undergo repeated cardiovascular events (regardless of the dosage of statins). They also arise irrespective of the improvement of lipidogram rates achieved on statin therapy, since this group of pharmacological agents is not affected by TG and remnant lipoprotein [17]. This group of drugs does not significantly affect atherosclerotic changes in the arterial wall, the rate of delay in it, lipoproteins, the progression of endothelial dysfunction, reduction of cardiovascular mortality. A significant difference is noted only with regard to the reduction of the frequency of hospitalizations for cardiovascular events. In addition, when they are used, the hepatic enzymes and rhabdomyolysis effects are </w:t>
      </w:r>
      <w:proofErr w:type="gramStart"/>
      <w:r w:rsidRPr="00433261">
        <w:rPr>
          <w:rFonts w:ascii="Times New Roman" w:eastAsia="Times New Roman" w:hAnsi="Times New Roman" w:cs="Times New Roman"/>
          <w:color w:val="000000"/>
          <w:sz w:val="28"/>
          <w:lang w:val="en-US"/>
        </w:rPr>
        <w:t>elevated,</w:t>
      </w:r>
      <w:proofErr w:type="gramEnd"/>
      <w:r w:rsidRPr="00433261">
        <w:rPr>
          <w:rFonts w:ascii="Times New Roman" w:eastAsia="Times New Roman" w:hAnsi="Times New Roman" w:cs="Times New Roman"/>
          <w:color w:val="000000"/>
          <w:sz w:val="28"/>
          <w:lang w:val="en-US"/>
        </w:rPr>
        <w:t xml:space="preserve"> the difference in clinical efficacy and safety of use for various statins is detected. Given the risk of myopathy and rhabdomyolysis, the FDA recommended </w:t>
      </w:r>
      <w:proofErr w:type="gramStart"/>
      <w:r w:rsidRPr="00433261">
        <w:rPr>
          <w:rFonts w:ascii="Times New Roman" w:eastAsia="Times New Roman" w:hAnsi="Times New Roman" w:cs="Times New Roman"/>
          <w:color w:val="000000"/>
          <w:sz w:val="28"/>
          <w:lang w:val="en-US"/>
        </w:rPr>
        <w:t>caution in 2011 administer</w:t>
      </w:r>
      <w:proofErr w:type="gramEnd"/>
      <w:r w:rsidRPr="00433261">
        <w:rPr>
          <w:rFonts w:ascii="Times New Roman" w:eastAsia="Times New Roman" w:hAnsi="Times New Roman" w:cs="Times New Roman"/>
          <w:color w:val="000000"/>
          <w:sz w:val="28"/>
          <w:lang w:val="en-US"/>
        </w:rPr>
        <w:t xml:space="preserve"> simvastatin at a dose of 80 mg per day. In addition, in recent years, the issue of the influence of statins on carbohydrate metabolism has been actively discussed, which had not been previously disturbed in patients. In 2010, K. Koh et al. </w:t>
      </w:r>
      <w:proofErr w:type="gramStart"/>
      <w:r w:rsidRPr="00433261">
        <w:rPr>
          <w:rFonts w:ascii="Times New Roman" w:eastAsia="Times New Roman" w:hAnsi="Times New Roman" w:cs="Times New Roman"/>
          <w:color w:val="000000"/>
          <w:sz w:val="28"/>
          <w:lang w:val="en-US"/>
        </w:rPr>
        <w:t>Was</w:t>
      </w:r>
      <w:proofErr w:type="gramEnd"/>
      <w:r w:rsidRPr="00433261">
        <w:rPr>
          <w:rFonts w:ascii="Times New Roman" w:eastAsia="Times New Roman" w:hAnsi="Times New Roman" w:cs="Times New Roman"/>
          <w:color w:val="000000"/>
          <w:sz w:val="28"/>
          <w:lang w:val="en-US"/>
        </w:rPr>
        <w:t xml:space="preserve"> published. [19] where it was shown that atorvastatin 10, 20, 40, and 80 mg dose significantly reduced LDL cholesterol (39%, 47%, 52% and 56% respectively), apolipoprotein B levels (33%, 37%, 42% and 46% respectively) after 2 months of treatment compared to baseline (for all p &lt;0.01). Nevertheless, atorvastatin at a dose of 10, 20, 40 and 80 mg significantly increased the level of insulin oncaps (averaging 25%, 42%, 31% and 45%, respectively) and the level of glycosylated hemoglobin (HbA1c) by 2%, 5 %, 5% and 5%, in comparison with the upward data (for all p &lt;0,05). The drug at a dose of 10, 20, 40 and 80 mg reduced the sensitivity of tissues to insulin (1%, 3%, 3% and 4%, respectively). The results of the Canadian population study on the risk of diabetes in patients who were first treated with statins from August 1997 to March 31, 2010 (authors</w:t>
      </w:r>
      <w:r w:rsidR="00433261">
        <w:rPr>
          <w:rFonts w:ascii="Times New Roman" w:eastAsia="Times New Roman" w:hAnsi="Times New Roman" w:cs="Times New Roman"/>
          <w:color w:val="000000"/>
          <w:sz w:val="28"/>
          <w:lang w:val="en-US"/>
        </w:rPr>
        <w:t xml:space="preserve"> — </w:t>
      </w:r>
      <w:r w:rsidRPr="00433261">
        <w:rPr>
          <w:rFonts w:ascii="Times New Roman" w:eastAsia="Times New Roman" w:hAnsi="Times New Roman" w:cs="Times New Roman"/>
          <w:color w:val="000000"/>
          <w:sz w:val="28"/>
          <w:lang w:val="en-US"/>
        </w:rPr>
        <w:t>AA Carter et al.) Were published in May 2013 in the British Medical Journal (2013, Vol 346)</w:t>
      </w:r>
      <w:r w:rsidR="00433261">
        <w:rPr>
          <w:rFonts w:ascii="Times New Roman" w:eastAsia="Times New Roman" w:hAnsi="Times New Roman" w:cs="Times New Roman"/>
          <w:color w:val="000000"/>
          <w:sz w:val="28"/>
          <w:lang w:val="en-US"/>
        </w:rPr>
        <w:t>,</w:t>
      </w:r>
      <w:r w:rsidRPr="00433261">
        <w:rPr>
          <w:rFonts w:ascii="Times New Roman" w:eastAsia="Times New Roman" w:hAnsi="Times New Roman" w:cs="Times New Roman"/>
          <w:color w:val="000000"/>
          <w:sz w:val="28"/>
          <w:lang w:val="en-US"/>
        </w:rPr>
        <w:t xml:space="preserve"> showed that the risk of diabetes arises when using atorvastatin (1.22; 95% CI 1.15-1.29), rosuvastatin (1.18; CI 1.10-1.26) and simvastatin (1.10; CI 1.04-1.17). The absolute risk of developing diabetes mellitus was 31 and 34 cases per 10,000 patients, which was lower for simvastatin (26 cases per 10,000 patients per year) when compared with pravastatin (23 cases). This allowed us to conclude that there is a high risk of diabetes in the use of statins in the treatment of dyslipidemias (especially atorvastatin and simvastatin), the need to carefully apply to their </w:t>
      </w:r>
      <w:r w:rsidRPr="00433261">
        <w:rPr>
          <w:rFonts w:ascii="Times New Roman" w:eastAsia="Times New Roman" w:hAnsi="Times New Roman" w:cs="Times New Roman"/>
          <w:color w:val="000000"/>
          <w:sz w:val="28"/>
          <w:lang w:val="en-US"/>
        </w:rPr>
        <w:lastRenderedPageBreak/>
        <w:t xml:space="preserve">appointment to the elderly, women with high risk of developing type </w:t>
      </w:r>
      <w:proofErr w:type="gramStart"/>
      <w:r w:rsidRPr="00433261">
        <w:rPr>
          <w:rFonts w:ascii="Times New Roman" w:eastAsia="Times New Roman" w:hAnsi="Times New Roman" w:cs="Times New Roman"/>
          <w:color w:val="000000"/>
          <w:sz w:val="28"/>
          <w:lang w:val="en-US"/>
        </w:rPr>
        <w:t>2 diabetes</w:t>
      </w:r>
      <w:proofErr w:type="gramEnd"/>
      <w:r w:rsidRPr="00433261">
        <w:rPr>
          <w:rFonts w:ascii="Times New Roman" w:eastAsia="Times New Roman" w:hAnsi="Times New Roman" w:cs="Times New Roman"/>
          <w:color w:val="000000"/>
          <w:sz w:val="28"/>
          <w:lang w:val="en-US"/>
        </w:rPr>
        <w:t>. It complicates the treatment of such patients for a long period of time (1-2 years), which can provide a clinical effect against the progression of atherosclerotic complications [8]. The results of the survey showed that the reasons for the refusal of patients from treatment with statins is a negative effect on the liver function, which is manifested by an increase in transaminase rates in 2-2.5 times; the inability to take alcohol; high price; unwillingness to use preparations of synthetic origin; the lack of achievement of the target indicators of the lipid profile, even with the full implementation of the drug regimen [6]. Under such conditions, it is probably strategically viable to find new phytopreparations that would be able to influence, in parallel with statins, the correction of hyperlipidemia, hypertriglyceridemia both for the treatment and prevention of cardiovascular diseases, their progression and the appearance of complications, including comorbidity diseases. At the present stage, preparations of plant origin occupy an appropriate niche among medicamentous means. This is explained, first of all, with the safety of use, a positive effect on the tone of the cardiovascular system. Together with the correction of modifying risk factors for lifestyle phytopreparations can act in accordance with the effect of drug treatment. In Ukraine, a new phytopreparate, which improves the lipid spectrum of blood,</w:t>
      </w:r>
      <w:r w:rsidR="00433261">
        <w:rPr>
          <w:rFonts w:ascii="Times New Roman" w:eastAsia="Times New Roman" w:hAnsi="Times New Roman" w:cs="Times New Roman"/>
          <w:color w:val="000000"/>
          <w:sz w:val="28"/>
          <w:lang w:val="en-US"/>
        </w:rPr>
        <w:t xml:space="preserve"> — </w:t>
      </w:r>
      <w:r w:rsidRPr="00433261">
        <w:rPr>
          <w:rFonts w:ascii="Times New Roman" w:eastAsia="Times New Roman" w:hAnsi="Times New Roman" w:cs="Times New Roman"/>
          <w:color w:val="000000"/>
          <w:sz w:val="28"/>
          <w:lang w:val="en-US"/>
        </w:rPr>
        <w:t xml:space="preserve">polikozanol. This is a patented product that contains a natural mixture of higher primary aliphatic alcohols, isolated and purified from the waxy weight of sugar cane (Saccharum officinarum, L.). It consists of 1-octacosanol, 1-dithricontanol, 1-triacontanol, 1-tetracazanol, 1-tetrathiacontanol, 1-hexaconazole, 1-heptacosanol and 1-nonocosinol. The content of each component in polycozalol in each batch is standardized in a narrow range and is stable in storage. The tablet is coated with 10 mg of polycosalone. By appointment, it is an adjunct to nutrition and healthy lifestyle recommendations for lowering total cholesterol and LDL cholesterol levels. Important for use in the comorbidity of CP with CHD is its effect with type II hypercholesterolemia, including the subtype IIa (characterized by elevated HR and LDL cholesterol) and subtype IIb (combined hypercholesterolemia, which is characterized by elevated HR, LDL, and TG) accompanying CHD and </w:t>
      </w:r>
      <w:r w:rsidR="00433261">
        <w:rPr>
          <w:rFonts w:ascii="Times New Roman" w:eastAsia="Times New Roman" w:hAnsi="Times New Roman" w:cs="Times New Roman"/>
          <w:color w:val="000000"/>
          <w:sz w:val="28"/>
          <w:lang w:val="en-US"/>
        </w:rPr>
        <w:t>CP</w:t>
      </w:r>
      <w:r w:rsidRPr="00433261">
        <w:rPr>
          <w:rFonts w:ascii="Times New Roman" w:eastAsia="Times New Roman" w:hAnsi="Times New Roman" w:cs="Times New Roman"/>
          <w:color w:val="000000"/>
          <w:sz w:val="28"/>
          <w:lang w:val="en-US"/>
        </w:rPr>
        <w:t xml:space="preserve">. Polycosanol is effective, safe and easily tolerated in patients with type II hypercholesterolaemia and in patients with secondary hypercholesterolemia, which occurs as a result of diabetes or nephrotic syndrome (considered as risk factors for </w:t>
      </w:r>
      <w:r w:rsidRPr="00433261">
        <w:rPr>
          <w:rFonts w:ascii="Times New Roman" w:eastAsia="Times New Roman" w:hAnsi="Times New Roman" w:cs="Times New Roman"/>
          <w:color w:val="000000"/>
          <w:sz w:val="28"/>
          <w:lang w:val="en-US"/>
        </w:rPr>
        <w:lastRenderedPageBreak/>
        <w:t>cardiovascular events). The drug can also be used as an alternative to aspirin (if necessary), that is, it can be used as an antiplatelet agent. It affects the synthesis of prostaglandines, reduces the level of thromboxane A2, increasing the level of prostacyclin, thereby preventing aggregation processes. It is recommended to start treatment at a dose of 10 mg once a day during the evening, as bosynthesis of cholesterol is activated at night. If necessary, the dose can be doubled in 2 months to 20 mg</w:t>
      </w:r>
      <w:r w:rsidR="00433261">
        <w:rPr>
          <w:rFonts w:ascii="Times New Roman" w:eastAsia="Times New Roman" w:hAnsi="Times New Roman" w:cs="Times New Roman"/>
          <w:color w:val="000000"/>
          <w:sz w:val="28"/>
          <w:lang w:val="en-US"/>
        </w:rPr>
        <w:t>/</w:t>
      </w:r>
      <w:r w:rsidRPr="00433261">
        <w:rPr>
          <w:rFonts w:ascii="Times New Roman" w:eastAsia="Times New Roman" w:hAnsi="Times New Roman" w:cs="Times New Roman"/>
          <w:color w:val="000000"/>
          <w:sz w:val="28"/>
          <w:lang w:val="en-US"/>
        </w:rPr>
        <w:t>day (depending on the level of cholesterol, which is checked every 8 weeks). Course of treatment for 6 months and further. Treatment with a dose of 10 mg reduces LDL cholesterol levels by 20-25% during the first 6 months, with a dosage of 20 mg</w:t>
      </w:r>
      <w:r w:rsidR="00433261">
        <w:rPr>
          <w:rFonts w:ascii="Times New Roman" w:eastAsia="Times New Roman" w:hAnsi="Times New Roman" w:cs="Times New Roman"/>
          <w:color w:val="000000"/>
          <w:sz w:val="28"/>
          <w:lang w:val="en-US"/>
        </w:rPr>
        <w:t xml:space="preserve"> — </w:t>
      </w:r>
      <w:r w:rsidRPr="00433261">
        <w:rPr>
          <w:rFonts w:ascii="Times New Roman" w:eastAsia="Times New Roman" w:hAnsi="Times New Roman" w:cs="Times New Roman"/>
          <w:color w:val="000000"/>
          <w:sz w:val="28"/>
          <w:lang w:val="en-US"/>
        </w:rPr>
        <w:t>by 25-30%, significantly improves the ratio of HDL</w:t>
      </w:r>
      <w:r w:rsidR="00433261">
        <w:rPr>
          <w:rFonts w:ascii="Times New Roman" w:eastAsia="Times New Roman" w:hAnsi="Times New Roman" w:cs="Times New Roman"/>
          <w:color w:val="000000"/>
          <w:sz w:val="28"/>
          <w:lang w:val="en-US"/>
        </w:rPr>
        <w:t>/</w:t>
      </w:r>
      <w:r w:rsidRPr="00433261">
        <w:rPr>
          <w:rFonts w:ascii="Times New Roman" w:eastAsia="Times New Roman" w:hAnsi="Times New Roman" w:cs="Times New Roman"/>
          <w:color w:val="000000"/>
          <w:sz w:val="28"/>
          <w:lang w:val="en-US"/>
        </w:rPr>
        <w:t>HDL</w:t>
      </w:r>
      <w:r w:rsidR="00433261">
        <w:rPr>
          <w:rFonts w:ascii="Times New Roman" w:eastAsia="Times New Roman" w:hAnsi="Times New Roman" w:cs="Times New Roman"/>
          <w:color w:val="000000"/>
          <w:sz w:val="28"/>
          <w:lang w:val="en-US"/>
        </w:rPr>
        <w:t>/</w:t>
      </w:r>
      <w:r w:rsidRPr="00433261">
        <w:rPr>
          <w:rFonts w:ascii="Times New Roman" w:eastAsia="Times New Roman" w:hAnsi="Times New Roman" w:cs="Times New Roman"/>
          <w:color w:val="000000"/>
          <w:sz w:val="28"/>
          <w:lang w:val="en-US"/>
        </w:rPr>
        <w:t xml:space="preserve">HDL to HDL. This confirms the dose-dependent effect of the drug [20]. Effectiveness has been studied in about 30,000 patients, which is a sufficient evidence base for the use of polycosanol. Clinical trials included short-term, long-term, randomized, placebo-controlled, and comparative trials of statin efficacy (lovastatin, pravastatin and simvastatin), fibrates (bezafibrate and gemfibrozil), acipigomas and tuberculosis. The results showed that 10 mg of polycosanol is equivalent to 20 mg lovastatin, 10 mg pravastatin and 10 mg simvastatin. At the same time, the </w:t>
      </w:r>
      <w:proofErr w:type="gramStart"/>
      <w:r w:rsidRPr="00433261">
        <w:rPr>
          <w:rFonts w:ascii="Times New Roman" w:eastAsia="Times New Roman" w:hAnsi="Times New Roman" w:cs="Times New Roman"/>
          <w:color w:val="000000"/>
          <w:sz w:val="28"/>
          <w:lang w:val="en-US"/>
        </w:rPr>
        <w:t xml:space="preserve">values </w:t>
      </w:r>
      <w:r w:rsidRPr="00433261">
        <w:rPr>
          <w:rFonts w:ascii="Cambria Math" w:eastAsia="Times New Roman" w:hAnsi="Cambria Math" w:cs="Cambria Math"/>
          <w:color w:val="000000"/>
          <w:sz w:val="28"/>
          <w:lang w:val="en-US"/>
        </w:rPr>
        <w:t>​​</w:t>
      </w:r>
      <w:r w:rsidRPr="00433261">
        <w:rPr>
          <w:rFonts w:ascii="Times New Roman" w:eastAsia="Times New Roman" w:hAnsi="Times New Roman" w:cs="Times New Roman"/>
          <w:color w:val="000000"/>
          <w:sz w:val="28"/>
          <w:lang w:val="en-US"/>
        </w:rPr>
        <w:t>of HDL cholesterol increased by 17%, and the number of side effects was</w:t>
      </w:r>
      <w:proofErr w:type="gramEnd"/>
      <w:r w:rsidRPr="00433261">
        <w:rPr>
          <w:rFonts w:ascii="Times New Roman" w:eastAsia="Times New Roman" w:hAnsi="Times New Roman" w:cs="Times New Roman"/>
          <w:color w:val="000000"/>
          <w:sz w:val="28"/>
          <w:lang w:val="en-US"/>
        </w:rPr>
        <w:t xml:space="preserve"> somewhat lower than that of statins [15]. Less hepatotoxicity was observed, whereas lovastatin and pravastatin significantly increased the level of transaminases and creatine phosphokinase. Patients with type II hypercholesterolemia [21] and concomitant CD-2 type polycosanol compared to simvastatin (polycosanol and simvastatin administered at a dose of 10 mg</w:t>
      </w:r>
      <w:r w:rsidR="00433261">
        <w:rPr>
          <w:rFonts w:ascii="Times New Roman" w:eastAsia="Times New Roman" w:hAnsi="Times New Roman" w:cs="Times New Roman"/>
          <w:color w:val="000000"/>
          <w:sz w:val="28"/>
          <w:lang w:val="en-US"/>
        </w:rPr>
        <w:t>/</w:t>
      </w:r>
      <w:r w:rsidRPr="00433261">
        <w:rPr>
          <w:rFonts w:ascii="Times New Roman" w:eastAsia="Times New Roman" w:hAnsi="Times New Roman" w:cs="Times New Roman"/>
          <w:color w:val="000000"/>
          <w:sz w:val="28"/>
          <w:lang w:val="en-US"/>
        </w:rPr>
        <w:t>day for 8 weeks) significantly increased the incidence of HDL in the blood and did not cause side effects. In a study conducted by AA Sergienko and sang. (2013), it was found that the effectiveness of polikozanol (20 mg</w:t>
      </w:r>
      <w:r w:rsidR="00433261">
        <w:rPr>
          <w:rFonts w:ascii="Times New Roman" w:eastAsia="Times New Roman" w:hAnsi="Times New Roman" w:cs="Times New Roman"/>
          <w:color w:val="000000"/>
          <w:sz w:val="28"/>
          <w:lang w:val="en-US"/>
        </w:rPr>
        <w:t>/</w:t>
      </w:r>
      <w:r w:rsidRPr="00433261">
        <w:rPr>
          <w:rFonts w:ascii="Times New Roman" w:eastAsia="Times New Roman" w:hAnsi="Times New Roman" w:cs="Times New Roman"/>
          <w:color w:val="000000"/>
          <w:sz w:val="28"/>
          <w:lang w:val="en-US"/>
        </w:rPr>
        <w:t xml:space="preserve">day for 3 months) in the treatment of dyslipoproteinemia, correction of insulin resistance in patients with type-2 diabetes is comparable to that of the dose of simvastatin. Consequently, polycosanol has a dose-dependent effect on the level of HDL-C, whereas triglycerides are reduced regardless of the dosage of the drug. This fact deserves attention in terms of the appropriateness of the concomitant administration of polycosalone with statins (since they do not affect the TG). There is a difference in the mechanism that reduces the levels of CF, LDL cholesterol. Polycosanol suppresses their synthesis at the time between the formation of acetate and mevalonate, not suppressing </w:t>
      </w:r>
      <w:r w:rsidRPr="00433261">
        <w:rPr>
          <w:rFonts w:ascii="Times New Roman" w:eastAsia="Times New Roman" w:hAnsi="Times New Roman" w:cs="Times New Roman"/>
          <w:color w:val="000000"/>
          <w:sz w:val="28"/>
          <w:lang w:val="en-US"/>
        </w:rPr>
        <w:lastRenderedPageBreak/>
        <w:t>HMG-CoA reductase, significantly increasing receptor-dependent process of LDL, which is confirmed by the absorption of their hepatocytes and stimulation of their catabolism. Polizoxanol not only reduces cholesterol levels in the blood, but also in such tissues as liver, heart and adipose tissue, with antioxidant effects. In addition, it prevents thickening of intima vessels, proliferation of smooth myocytes and the formation of atherosclerotic changes in the vascular wall and thrombosis. Based on the above, it was interesting to determine the state of indicators of lipidogram in patients with comorbidity of chronic CH with CHD and the role of polycosanol ("</w:t>
      </w:r>
      <w:r w:rsidR="00CB5F33" w:rsidRPr="00433261">
        <w:rPr>
          <w:rFonts w:ascii="Times New Roman" w:eastAsia="Times New Roman" w:hAnsi="Times New Roman" w:cs="Times New Roman"/>
          <w:sz w:val="28"/>
          <w:szCs w:val="28"/>
          <w:lang w:val="en-US"/>
        </w:rPr>
        <w:t>FitoStatin</w:t>
      </w:r>
      <w:r w:rsidRPr="00433261">
        <w:rPr>
          <w:rFonts w:ascii="Times New Roman" w:eastAsia="Times New Roman" w:hAnsi="Times New Roman" w:cs="Times New Roman"/>
          <w:color w:val="000000"/>
          <w:sz w:val="28"/>
          <w:lang w:val="en-US"/>
        </w:rPr>
        <w:t>") in the correction of dyslipidemia in patients with CH with IHD.</w:t>
      </w:r>
    </w:p>
    <w:p w:rsidR="00037E6B" w:rsidRPr="00433261" w:rsidRDefault="00A1558C" w:rsidP="00037E6B">
      <w:pPr>
        <w:spacing w:after="0" w:line="420" w:lineRule="atLeast"/>
        <w:ind w:firstLine="709"/>
        <w:jc w:val="both"/>
        <w:rPr>
          <w:rFonts w:ascii="Times New Roman" w:eastAsia="Times New Roman" w:hAnsi="Times New Roman" w:cs="Times New Roman"/>
          <w:color w:val="000000"/>
          <w:sz w:val="28"/>
          <w:szCs w:val="28"/>
          <w:lang w:val="en-US"/>
        </w:rPr>
      </w:pPr>
      <w:r w:rsidRPr="00433261">
        <w:rPr>
          <w:rFonts w:ascii="Times New Roman" w:eastAsia="Times New Roman" w:hAnsi="Times New Roman" w:cs="Times New Roman"/>
          <w:b/>
          <w:bCs/>
          <w:color w:val="000000"/>
          <w:sz w:val="28"/>
          <w:szCs w:val="28"/>
          <w:lang w:val="en-US"/>
        </w:rPr>
        <w:t xml:space="preserve">The aim of study </w:t>
      </w:r>
      <w:r w:rsidR="000B22DF" w:rsidRPr="00433261">
        <w:rPr>
          <w:rFonts w:ascii="Times New Roman" w:eastAsia="Times New Roman" w:hAnsi="Times New Roman" w:cs="Times New Roman"/>
          <w:bCs/>
          <w:color w:val="000000"/>
          <w:sz w:val="28"/>
          <w:szCs w:val="28"/>
          <w:lang w:val="en-US"/>
        </w:rPr>
        <w:t>is to investigate changes in lipidograms in patients with IHD with CHD, including the dynamics of treatment with polycosanol</w:t>
      </w:r>
      <w:r w:rsidR="00037E6B" w:rsidRPr="00433261">
        <w:rPr>
          <w:rFonts w:ascii="Times New Roman" w:eastAsia="Times New Roman" w:hAnsi="Times New Roman" w:cs="Times New Roman"/>
          <w:color w:val="000000"/>
          <w:sz w:val="28"/>
          <w:szCs w:val="28"/>
          <w:lang w:val="en-US"/>
        </w:rPr>
        <w:t>.</w:t>
      </w:r>
    </w:p>
    <w:p w:rsidR="00037E6B" w:rsidRPr="00433261" w:rsidRDefault="00037E6B" w:rsidP="00037E6B">
      <w:pPr>
        <w:spacing w:after="0" w:line="420" w:lineRule="atLeast"/>
        <w:ind w:firstLine="709"/>
        <w:jc w:val="both"/>
        <w:rPr>
          <w:rFonts w:ascii="Times New Roman" w:eastAsia="Times New Roman" w:hAnsi="Times New Roman" w:cs="Times New Roman"/>
          <w:color w:val="000000"/>
          <w:sz w:val="28"/>
          <w:szCs w:val="28"/>
          <w:lang w:val="en-US"/>
        </w:rPr>
      </w:pPr>
      <w:r w:rsidRPr="00433261">
        <w:rPr>
          <w:rFonts w:ascii="Times New Roman" w:eastAsia="Times New Roman" w:hAnsi="Times New Roman" w:cs="Times New Roman"/>
          <w:b/>
          <w:bCs/>
          <w:color w:val="000000"/>
          <w:sz w:val="28"/>
          <w:szCs w:val="28"/>
          <w:lang w:val="en-US"/>
        </w:rPr>
        <w:t>Materials and methods</w:t>
      </w:r>
      <w:r w:rsidR="00A1558C" w:rsidRPr="00433261">
        <w:rPr>
          <w:rFonts w:ascii="Times New Roman" w:eastAsia="Times New Roman" w:hAnsi="Times New Roman" w:cs="Times New Roman"/>
          <w:color w:val="000000"/>
          <w:sz w:val="28"/>
          <w:szCs w:val="28"/>
          <w:lang w:val="en-US"/>
        </w:rPr>
        <w:t xml:space="preserve"> </w:t>
      </w:r>
    </w:p>
    <w:p w:rsidR="00CB5F33" w:rsidRDefault="000B22DF" w:rsidP="00037E6B">
      <w:pPr>
        <w:spacing w:after="0" w:line="420" w:lineRule="atLeast"/>
        <w:ind w:firstLine="708"/>
        <w:jc w:val="both"/>
        <w:rPr>
          <w:rFonts w:ascii="Times New Roman" w:eastAsia="Times New Roman" w:hAnsi="Times New Roman" w:cs="Times New Roman"/>
          <w:color w:val="000000"/>
          <w:sz w:val="28"/>
          <w:szCs w:val="28"/>
          <w:lang w:val="en-US"/>
        </w:rPr>
      </w:pPr>
      <w:r w:rsidRPr="00433261">
        <w:rPr>
          <w:rFonts w:ascii="Times New Roman" w:eastAsia="Times New Roman" w:hAnsi="Times New Roman" w:cs="Times New Roman"/>
          <w:color w:val="000000"/>
          <w:sz w:val="28"/>
          <w:szCs w:val="28"/>
          <w:lang w:val="en-US"/>
        </w:rPr>
        <w:t>The studies were conducted in 22 patients who were divided into appropriate groups. The group of practically healthy (POPs) was 10 people (men</w:t>
      </w:r>
      <w:r w:rsidR="00433261">
        <w:rPr>
          <w:rFonts w:ascii="Times New Roman" w:eastAsia="Times New Roman" w:hAnsi="Times New Roman" w:cs="Times New Roman"/>
          <w:color w:val="000000"/>
          <w:sz w:val="28"/>
          <w:szCs w:val="28"/>
          <w:lang w:val="en-US"/>
        </w:rPr>
        <w:t xml:space="preserve"> — </w:t>
      </w:r>
      <w:r w:rsidRPr="00433261">
        <w:rPr>
          <w:rFonts w:ascii="Times New Roman" w:eastAsia="Times New Roman" w:hAnsi="Times New Roman" w:cs="Times New Roman"/>
          <w:color w:val="000000"/>
          <w:sz w:val="28"/>
          <w:szCs w:val="28"/>
          <w:lang w:val="en-US"/>
        </w:rPr>
        <w:t>5 (50%), women</w:t>
      </w:r>
      <w:r w:rsidR="00433261">
        <w:rPr>
          <w:rFonts w:ascii="Times New Roman" w:eastAsia="Times New Roman" w:hAnsi="Times New Roman" w:cs="Times New Roman"/>
          <w:color w:val="000000"/>
          <w:sz w:val="28"/>
          <w:szCs w:val="28"/>
          <w:lang w:val="en-US"/>
        </w:rPr>
        <w:t xml:space="preserve"> — </w:t>
      </w:r>
      <w:r w:rsidRPr="00433261">
        <w:rPr>
          <w:rFonts w:ascii="Times New Roman" w:eastAsia="Times New Roman" w:hAnsi="Times New Roman" w:cs="Times New Roman"/>
          <w:color w:val="000000"/>
          <w:sz w:val="28"/>
          <w:szCs w:val="28"/>
          <w:lang w:val="en-US"/>
        </w:rPr>
        <w:t>5 (50%). The first group consisted of 10 patients with CS with dyslipidemia (men</w:t>
      </w:r>
      <w:r w:rsidR="00433261">
        <w:rPr>
          <w:rFonts w:ascii="Times New Roman" w:eastAsia="Times New Roman" w:hAnsi="Times New Roman" w:cs="Times New Roman"/>
          <w:color w:val="000000"/>
          <w:sz w:val="28"/>
          <w:szCs w:val="28"/>
          <w:lang w:val="en-US"/>
        </w:rPr>
        <w:t xml:space="preserve"> — </w:t>
      </w:r>
      <w:r w:rsidRPr="00433261">
        <w:rPr>
          <w:rFonts w:ascii="Times New Roman" w:eastAsia="Times New Roman" w:hAnsi="Times New Roman" w:cs="Times New Roman"/>
          <w:color w:val="000000"/>
          <w:sz w:val="28"/>
          <w:szCs w:val="28"/>
          <w:lang w:val="en-US"/>
        </w:rPr>
        <w:t>7 (70.0%), women</w:t>
      </w:r>
      <w:r w:rsidR="00433261">
        <w:rPr>
          <w:rFonts w:ascii="Times New Roman" w:eastAsia="Times New Roman" w:hAnsi="Times New Roman" w:cs="Times New Roman"/>
          <w:color w:val="000000"/>
          <w:sz w:val="28"/>
          <w:szCs w:val="28"/>
          <w:lang w:val="en-US"/>
        </w:rPr>
        <w:t xml:space="preserve"> — </w:t>
      </w:r>
      <w:r w:rsidRPr="00433261">
        <w:rPr>
          <w:rFonts w:ascii="Times New Roman" w:eastAsia="Times New Roman" w:hAnsi="Times New Roman" w:cs="Times New Roman"/>
          <w:color w:val="000000"/>
          <w:sz w:val="28"/>
          <w:szCs w:val="28"/>
          <w:lang w:val="en-US"/>
        </w:rPr>
        <w:t xml:space="preserve">3 </w:t>
      </w:r>
      <w:r w:rsidR="00433261">
        <w:rPr>
          <w:rFonts w:ascii="Times New Roman" w:eastAsia="Times New Roman" w:hAnsi="Times New Roman" w:cs="Times New Roman"/>
          <w:color w:val="000000"/>
          <w:sz w:val="28"/>
          <w:szCs w:val="28"/>
          <w:lang w:val="en-US"/>
        </w:rPr>
        <w:t>(</w:t>
      </w:r>
      <w:r w:rsidRPr="00433261">
        <w:rPr>
          <w:rFonts w:ascii="Times New Roman" w:eastAsia="Times New Roman" w:hAnsi="Times New Roman" w:cs="Times New Roman"/>
          <w:color w:val="000000"/>
          <w:sz w:val="28"/>
          <w:szCs w:val="28"/>
          <w:lang w:val="en-US"/>
        </w:rPr>
        <w:t>30%), the second group consisted of 12 patients with CHD (male</w:t>
      </w:r>
      <w:r w:rsidR="00433261">
        <w:rPr>
          <w:rFonts w:ascii="Times New Roman" w:eastAsia="Times New Roman" w:hAnsi="Times New Roman" w:cs="Times New Roman"/>
          <w:color w:val="000000"/>
          <w:sz w:val="28"/>
          <w:szCs w:val="28"/>
          <w:lang w:val="en-US"/>
        </w:rPr>
        <w:t xml:space="preserve"> — </w:t>
      </w:r>
      <w:r w:rsidRPr="00433261">
        <w:rPr>
          <w:rFonts w:ascii="Times New Roman" w:eastAsia="Times New Roman" w:hAnsi="Times New Roman" w:cs="Times New Roman"/>
          <w:color w:val="000000"/>
          <w:sz w:val="28"/>
          <w:szCs w:val="28"/>
          <w:lang w:val="en-US"/>
        </w:rPr>
        <w:t>6 (54.5%), female</w:t>
      </w:r>
      <w:r w:rsidR="00433261">
        <w:rPr>
          <w:rFonts w:ascii="Times New Roman" w:eastAsia="Times New Roman" w:hAnsi="Times New Roman" w:cs="Times New Roman"/>
          <w:color w:val="000000"/>
          <w:sz w:val="28"/>
          <w:szCs w:val="28"/>
          <w:lang w:val="en-US"/>
        </w:rPr>
        <w:t xml:space="preserve"> — </w:t>
      </w:r>
      <w:r w:rsidRPr="00433261">
        <w:rPr>
          <w:rFonts w:ascii="Times New Roman" w:eastAsia="Times New Roman" w:hAnsi="Times New Roman" w:cs="Times New Roman"/>
          <w:color w:val="000000"/>
          <w:sz w:val="28"/>
          <w:szCs w:val="28"/>
          <w:lang w:val="en-US"/>
        </w:rPr>
        <w:t>6 (45.5%))</w:t>
      </w:r>
      <w:r w:rsidR="00433261">
        <w:rPr>
          <w:rFonts w:ascii="Times New Roman" w:eastAsia="Times New Roman" w:hAnsi="Times New Roman" w:cs="Times New Roman"/>
          <w:color w:val="000000"/>
          <w:sz w:val="28"/>
          <w:szCs w:val="28"/>
          <w:lang w:val="en-US"/>
        </w:rPr>
        <w:t>.</w:t>
      </w:r>
      <w:r w:rsidRPr="00433261">
        <w:rPr>
          <w:rFonts w:ascii="Times New Roman" w:eastAsia="Times New Roman" w:hAnsi="Times New Roman" w:cs="Times New Roman"/>
          <w:color w:val="000000"/>
          <w:sz w:val="28"/>
          <w:szCs w:val="28"/>
          <w:lang w:val="en-US"/>
        </w:rPr>
        <w:t>The age of the patients varied from 31 to 69. Examined randomized by ag</w:t>
      </w:r>
      <w:r w:rsidR="00CB5F33">
        <w:rPr>
          <w:rFonts w:ascii="Times New Roman" w:eastAsia="Times New Roman" w:hAnsi="Times New Roman" w:cs="Times New Roman"/>
          <w:color w:val="000000"/>
          <w:sz w:val="28"/>
          <w:szCs w:val="28"/>
          <w:lang w:val="en-US"/>
        </w:rPr>
        <w:t>e, sex and duration of illness.</w:t>
      </w:r>
    </w:p>
    <w:p w:rsidR="00CB5F33" w:rsidRDefault="000B22DF" w:rsidP="00037E6B">
      <w:pPr>
        <w:spacing w:after="0" w:line="420" w:lineRule="atLeast"/>
        <w:ind w:firstLine="708"/>
        <w:jc w:val="both"/>
        <w:rPr>
          <w:rFonts w:ascii="Times New Roman" w:eastAsia="Times New Roman" w:hAnsi="Times New Roman" w:cs="Times New Roman"/>
          <w:color w:val="000000"/>
          <w:sz w:val="28"/>
          <w:szCs w:val="28"/>
          <w:lang w:val="en-US"/>
        </w:rPr>
      </w:pPr>
      <w:r w:rsidRPr="00433261">
        <w:rPr>
          <w:rFonts w:ascii="Times New Roman" w:eastAsia="Times New Roman" w:hAnsi="Times New Roman" w:cs="Times New Roman"/>
          <w:color w:val="000000"/>
          <w:sz w:val="28"/>
          <w:szCs w:val="28"/>
          <w:lang w:val="en-US"/>
        </w:rPr>
        <w:t xml:space="preserve">The diagnosis of </w:t>
      </w:r>
      <w:r w:rsidR="00433261">
        <w:rPr>
          <w:rFonts w:ascii="Times New Roman" w:eastAsia="Times New Roman" w:hAnsi="Times New Roman" w:cs="Times New Roman"/>
          <w:color w:val="000000"/>
          <w:sz w:val="28"/>
          <w:szCs w:val="28"/>
          <w:lang w:val="en-US"/>
        </w:rPr>
        <w:t>CP</w:t>
      </w:r>
      <w:r w:rsidRPr="00433261">
        <w:rPr>
          <w:rFonts w:ascii="Times New Roman" w:eastAsia="Times New Roman" w:hAnsi="Times New Roman" w:cs="Times New Roman"/>
          <w:color w:val="000000"/>
          <w:sz w:val="28"/>
          <w:szCs w:val="28"/>
          <w:lang w:val="en-US"/>
        </w:rPr>
        <w:t xml:space="preserve"> was established in accordance with the clinical protocol of the Order of the Ministry of Health of Ukraine dated June 13, 2005, No. 271. </w:t>
      </w:r>
      <w:proofErr w:type="gramStart"/>
      <w:r w:rsidRPr="00433261">
        <w:rPr>
          <w:rFonts w:ascii="Times New Roman" w:eastAsia="Times New Roman" w:hAnsi="Times New Roman" w:cs="Times New Roman"/>
          <w:color w:val="000000"/>
          <w:sz w:val="28"/>
          <w:szCs w:val="28"/>
          <w:lang w:val="en-US"/>
        </w:rPr>
        <w:t>"Clinical protocol for the provision of medical care for patients with chronic pancreatitis".</w:t>
      </w:r>
      <w:proofErr w:type="gramEnd"/>
      <w:r w:rsidRPr="00433261">
        <w:rPr>
          <w:rFonts w:ascii="Times New Roman" w:eastAsia="Times New Roman" w:hAnsi="Times New Roman" w:cs="Times New Roman"/>
          <w:color w:val="000000"/>
          <w:sz w:val="28"/>
          <w:szCs w:val="28"/>
          <w:lang w:val="en-US"/>
        </w:rPr>
        <w:t xml:space="preserve"> The diagnosis of CHD was exposed in accordance with the Order of the Ministry of Health of Ukraine No. 436 of 03.07.2006 "On approval of medical treatment protocols in the specialty" Cardiology. "The rationale for the clinical diagnosis was based on the results of clinical and instrumental examination, general clinical trials, electrocardiography, echocardiography, X-ray e</w:t>
      </w:r>
      <w:r w:rsidR="00CB5F33">
        <w:rPr>
          <w:rFonts w:ascii="Times New Roman" w:eastAsia="Times New Roman" w:hAnsi="Times New Roman" w:cs="Times New Roman"/>
          <w:color w:val="000000"/>
          <w:sz w:val="28"/>
          <w:szCs w:val="28"/>
          <w:lang w:val="en-US"/>
        </w:rPr>
        <w:t>xamination of the chest organs.</w:t>
      </w:r>
    </w:p>
    <w:p w:rsidR="00CB5F33" w:rsidRDefault="000B22DF" w:rsidP="00037E6B">
      <w:pPr>
        <w:spacing w:after="0" w:line="420" w:lineRule="atLeast"/>
        <w:ind w:firstLine="708"/>
        <w:jc w:val="both"/>
        <w:rPr>
          <w:rFonts w:ascii="Times New Roman" w:eastAsia="Times New Roman" w:hAnsi="Times New Roman" w:cs="Times New Roman"/>
          <w:color w:val="000000"/>
          <w:sz w:val="28"/>
          <w:szCs w:val="28"/>
          <w:lang w:val="en-US"/>
        </w:rPr>
      </w:pPr>
      <w:r w:rsidRPr="00433261">
        <w:rPr>
          <w:rFonts w:ascii="Times New Roman" w:eastAsia="Times New Roman" w:hAnsi="Times New Roman" w:cs="Times New Roman"/>
          <w:color w:val="000000"/>
          <w:sz w:val="28"/>
          <w:szCs w:val="28"/>
          <w:lang w:val="en-US"/>
        </w:rPr>
        <w:t>Inclusion criteria were characteristic of chronic obstructive pulmonary tuberculosis, alcohol abuse, abdominal pain syndrome, periodic dyspeptic disorders</w:t>
      </w:r>
      <w:r w:rsidR="00433261">
        <w:rPr>
          <w:rFonts w:ascii="Times New Roman" w:eastAsia="Times New Roman" w:hAnsi="Times New Roman" w:cs="Times New Roman"/>
          <w:color w:val="000000"/>
          <w:sz w:val="28"/>
          <w:szCs w:val="28"/>
          <w:lang w:val="en-US"/>
        </w:rPr>
        <w:t xml:space="preserve"> — </w:t>
      </w:r>
      <w:r w:rsidRPr="00433261">
        <w:rPr>
          <w:rFonts w:ascii="Times New Roman" w:eastAsia="Times New Roman" w:hAnsi="Times New Roman" w:cs="Times New Roman"/>
          <w:color w:val="000000"/>
          <w:sz w:val="28"/>
          <w:szCs w:val="28"/>
          <w:lang w:val="en-US"/>
        </w:rPr>
        <w:t>nausea, feeling of discomfort, severity, dislocation in the upper abdomen, epigastric area, chronic diarrhea or constipation, alternating diarrhea with constipation, etc</w:t>
      </w:r>
      <w:r w:rsidR="00433261">
        <w:rPr>
          <w:rFonts w:ascii="Times New Roman" w:eastAsia="Times New Roman" w:hAnsi="Times New Roman" w:cs="Times New Roman"/>
          <w:color w:val="000000"/>
          <w:sz w:val="28"/>
          <w:szCs w:val="28"/>
          <w:lang w:val="en-US"/>
        </w:rPr>
        <w:t>.</w:t>
      </w:r>
      <w:r w:rsidRPr="00433261">
        <w:rPr>
          <w:rFonts w:ascii="Times New Roman" w:eastAsia="Times New Roman" w:hAnsi="Times New Roman" w:cs="Times New Roman"/>
          <w:color w:val="000000"/>
          <w:sz w:val="28"/>
          <w:szCs w:val="28"/>
          <w:lang w:val="en-US"/>
        </w:rPr>
        <w:t xml:space="preserve">; confirmation of morphological changes in the structure of the software, established on the basis of ultrasonographic research, as well as </w:t>
      </w:r>
      <w:r w:rsidRPr="00433261">
        <w:rPr>
          <w:rFonts w:ascii="Times New Roman" w:eastAsia="Times New Roman" w:hAnsi="Times New Roman" w:cs="Times New Roman"/>
          <w:color w:val="000000"/>
          <w:sz w:val="28"/>
          <w:szCs w:val="28"/>
          <w:lang w:val="en-US"/>
        </w:rPr>
        <w:lastRenderedPageBreak/>
        <w:t>violation of the external secretory function of the software; presence of informed consent of the patient to participate in the study. Criteria for inclusion in the study of patients with coronary artery disease, stable angina pectoris I-II FK, CHF IIF-B, FC II-III (NYHA) were: offset by CHF I or II FC; absence of angina attacks for 3 months; regular administration of angiotensin-converting enzyme inhibitors or angiotensin II receptor blockers, β-blockers, statins and antiplatelet drugs for 3 months; sinus arrhythmias, violation of myocardial excitability; signed i</w:t>
      </w:r>
      <w:r w:rsidR="00CB5F33">
        <w:rPr>
          <w:rFonts w:ascii="Times New Roman" w:eastAsia="Times New Roman" w:hAnsi="Times New Roman" w:cs="Times New Roman"/>
          <w:color w:val="000000"/>
          <w:sz w:val="28"/>
          <w:szCs w:val="28"/>
          <w:lang w:val="en-US"/>
        </w:rPr>
        <w:t>nformed consent of the patient.</w:t>
      </w:r>
    </w:p>
    <w:p w:rsidR="00CB5F33" w:rsidRDefault="000B22DF" w:rsidP="00037E6B">
      <w:pPr>
        <w:spacing w:after="0" w:line="420" w:lineRule="atLeast"/>
        <w:ind w:firstLine="708"/>
        <w:jc w:val="both"/>
        <w:rPr>
          <w:rFonts w:ascii="Times New Roman" w:eastAsia="Times New Roman" w:hAnsi="Times New Roman" w:cs="Times New Roman"/>
          <w:color w:val="000000"/>
          <w:sz w:val="28"/>
          <w:szCs w:val="28"/>
          <w:lang w:val="en-US"/>
        </w:rPr>
      </w:pPr>
      <w:r w:rsidRPr="00433261">
        <w:rPr>
          <w:rFonts w:ascii="Times New Roman" w:eastAsia="Times New Roman" w:hAnsi="Times New Roman" w:cs="Times New Roman"/>
          <w:color w:val="000000"/>
          <w:sz w:val="28"/>
          <w:szCs w:val="28"/>
          <w:lang w:val="en-US"/>
        </w:rPr>
        <w:t>The exclusion criteria were as follows: patients with cancer, including cancer; persons who have suffered acute pancreatitis, exacerbation</w:t>
      </w:r>
      <w:r w:rsidR="00433261">
        <w:rPr>
          <w:rFonts w:ascii="Times New Roman" w:eastAsia="Times New Roman" w:hAnsi="Times New Roman" w:cs="Times New Roman"/>
          <w:color w:val="000000"/>
          <w:sz w:val="28"/>
          <w:szCs w:val="28"/>
          <w:lang w:val="en-US"/>
        </w:rPr>
        <w:t>/</w:t>
      </w:r>
      <w:r w:rsidRPr="00433261">
        <w:rPr>
          <w:rFonts w:ascii="Times New Roman" w:eastAsia="Times New Roman" w:hAnsi="Times New Roman" w:cs="Times New Roman"/>
          <w:color w:val="000000"/>
          <w:sz w:val="28"/>
          <w:szCs w:val="28"/>
          <w:lang w:val="en-US"/>
        </w:rPr>
        <w:t>decompensation of a chronic disease or surgical intervention during the last 4 weeks; persons who have been abusing drugs in history; refusal of the patient to participate in the study. The exclusion criteria were also CHF non-ischemic etiology (cardiomyopathy, rheumatism, pulmonary heart, etc.); Angina pectoris requiring nitroglycerin or prolonged nitrates; suffered acute myocardial infarction over the past 3 months; other severe concomitant diseases of the cardiovascular system in a state of decompensation; stroke or transient ischemic attack of less than 6 months, bronchial asthma, oncological and chronic infectious diseases, chronic kidney disease and</w:t>
      </w:r>
      <w:r w:rsidR="00433261">
        <w:rPr>
          <w:rFonts w:ascii="Times New Roman" w:eastAsia="Times New Roman" w:hAnsi="Times New Roman" w:cs="Times New Roman"/>
          <w:color w:val="000000"/>
          <w:sz w:val="28"/>
          <w:szCs w:val="28"/>
          <w:lang w:val="en-US"/>
        </w:rPr>
        <w:t>/</w:t>
      </w:r>
      <w:r w:rsidRPr="00433261">
        <w:rPr>
          <w:rFonts w:ascii="Times New Roman" w:eastAsia="Times New Roman" w:hAnsi="Times New Roman" w:cs="Times New Roman"/>
          <w:color w:val="000000"/>
          <w:sz w:val="28"/>
          <w:szCs w:val="28"/>
          <w:lang w:val="en-US"/>
        </w:rPr>
        <w:t>or glomerular filtration rate less than 30 ml</w:t>
      </w:r>
      <w:r w:rsidR="00433261">
        <w:rPr>
          <w:rFonts w:ascii="Times New Roman" w:eastAsia="Times New Roman" w:hAnsi="Times New Roman" w:cs="Times New Roman"/>
          <w:color w:val="000000"/>
          <w:sz w:val="28"/>
          <w:szCs w:val="28"/>
          <w:lang w:val="en-US"/>
        </w:rPr>
        <w:t>/</w:t>
      </w:r>
      <w:r w:rsidRPr="00433261">
        <w:rPr>
          <w:rFonts w:ascii="Times New Roman" w:eastAsia="Times New Roman" w:hAnsi="Times New Roman" w:cs="Times New Roman"/>
          <w:color w:val="000000"/>
          <w:sz w:val="28"/>
          <w:szCs w:val="28"/>
          <w:lang w:val="en-US"/>
        </w:rPr>
        <w:t>min, insulin dependent diabetes mellitus, thyroid dysfunction, and also marked pathology of the musculoskeletal system, due to which it is impossible to perform a 6-minute walk test; refusal of the patient to participate in the study.</w:t>
      </w:r>
      <w:r w:rsidRPr="00433261">
        <w:rPr>
          <w:rFonts w:ascii="Times New Roman" w:eastAsia="Times New Roman" w:hAnsi="Times New Roman" w:cs="Times New Roman"/>
          <w:color w:val="000000"/>
          <w:sz w:val="28"/>
          <w:szCs w:val="28"/>
          <w:lang w:val="en-US"/>
        </w:rPr>
        <w:br/>
        <w:t xml:space="preserve">Patients with CHF for the comorbid flow with CHD received appropriate treatment that did not change, and in addition appointed polikozanol ("Phytostatein") in a dose of 10 mg 1 time in the evening during the evening. </w:t>
      </w:r>
      <w:proofErr w:type="gramStart"/>
      <w:r w:rsidRPr="00433261">
        <w:rPr>
          <w:rFonts w:ascii="Times New Roman" w:eastAsia="Times New Roman" w:hAnsi="Times New Roman" w:cs="Times New Roman"/>
          <w:color w:val="000000"/>
          <w:sz w:val="28"/>
          <w:szCs w:val="28"/>
          <w:lang w:val="en-US"/>
        </w:rPr>
        <w:t>Before course treatment for patients with CS with dyslipidemia additionally prescribed polikozanol under the same scheme.</w:t>
      </w:r>
      <w:proofErr w:type="gramEnd"/>
      <w:r w:rsidRPr="00433261">
        <w:rPr>
          <w:rFonts w:ascii="Times New Roman" w:eastAsia="Times New Roman" w:hAnsi="Times New Roman" w:cs="Times New Roman"/>
          <w:color w:val="000000"/>
          <w:sz w:val="28"/>
          <w:szCs w:val="28"/>
          <w:lang w:val="en-US"/>
        </w:rPr>
        <w:t xml:space="preserve"> In accordance with the Recommendations on the Diagnosis, Prevention and Treatment of Dyslipidemia of the Ukrainian Association of Cardiologists (2011), a hypolipidemic diet and modification of lifestyle were recommended. The cours</w:t>
      </w:r>
      <w:r w:rsidR="00CB5F33">
        <w:rPr>
          <w:rFonts w:ascii="Times New Roman" w:eastAsia="Times New Roman" w:hAnsi="Times New Roman" w:cs="Times New Roman"/>
          <w:color w:val="000000"/>
          <w:sz w:val="28"/>
          <w:szCs w:val="28"/>
          <w:lang w:val="en-US"/>
        </w:rPr>
        <w:t>e of treatment lasted 3 months.</w:t>
      </w:r>
    </w:p>
    <w:p w:rsidR="00037E6B" w:rsidRPr="00433261" w:rsidRDefault="000B22DF" w:rsidP="00037E6B">
      <w:pPr>
        <w:spacing w:after="0" w:line="420" w:lineRule="atLeast"/>
        <w:ind w:firstLine="708"/>
        <w:jc w:val="both"/>
        <w:rPr>
          <w:rFonts w:ascii="Times New Roman" w:eastAsia="Times New Roman" w:hAnsi="Times New Roman" w:cs="Times New Roman"/>
          <w:color w:val="000000"/>
          <w:sz w:val="28"/>
          <w:szCs w:val="28"/>
          <w:lang w:val="en-US"/>
        </w:rPr>
      </w:pPr>
      <w:r w:rsidRPr="00433261">
        <w:rPr>
          <w:rFonts w:ascii="Times New Roman" w:eastAsia="Times New Roman" w:hAnsi="Times New Roman" w:cs="Times New Roman"/>
          <w:color w:val="000000"/>
          <w:sz w:val="28"/>
          <w:szCs w:val="28"/>
          <w:lang w:val="en-US"/>
        </w:rPr>
        <w:t xml:space="preserve">In the dynamics of the treatment, the lipid plasma spectrum of blood levels was measured by the levels of ZHC, HDL cholesterol, TG (determined by photocolorimetric method using the reagents of the company Lachema (Czech Republic) by the Zlatiks-Zak method). The level of LDL cholesterol was </w:t>
      </w:r>
      <w:r w:rsidRPr="00433261">
        <w:rPr>
          <w:rFonts w:ascii="Times New Roman" w:eastAsia="Times New Roman" w:hAnsi="Times New Roman" w:cs="Times New Roman"/>
          <w:color w:val="000000"/>
          <w:sz w:val="28"/>
          <w:szCs w:val="28"/>
          <w:lang w:val="en-US"/>
        </w:rPr>
        <w:lastRenderedPageBreak/>
        <w:t>determined by the calculation method of the Friedewald formula: LDL cholesterol = LDL cholesterol (HDL cholesterol + TG</w:t>
      </w:r>
      <w:r w:rsidR="00433261">
        <w:rPr>
          <w:rFonts w:ascii="Times New Roman" w:eastAsia="Times New Roman" w:hAnsi="Times New Roman" w:cs="Times New Roman"/>
          <w:color w:val="000000"/>
          <w:sz w:val="28"/>
          <w:szCs w:val="28"/>
          <w:lang w:val="en-US"/>
        </w:rPr>
        <w:t>/</w:t>
      </w:r>
      <w:r w:rsidRPr="00433261">
        <w:rPr>
          <w:rFonts w:ascii="Times New Roman" w:eastAsia="Times New Roman" w:hAnsi="Times New Roman" w:cs="Times New Roman"/>
          <w:color w:val="000000"/>
          <w:sz w:val="28"/>
          <w:szCs w:val="28"/>
          <w:lang w:val="en-US"/>
        </w:rPr>
        <w:t>2</w:t>
      </w:r>
      <w:proofErr w:type="gramStart"/>
      <w:r w:rsidRPr="00433261">
        <w:rPr>
          <w:rFonts w:ascii="Times New Roman" w:eastAsia="Times New Roman" w:hAnsi="Times New Roman" w:cs="Times New Roman"/>
          <w:color w:val="000000"/>
          <w:sz w:val="28"/>
          <w:szCs w:val="28"/>
          <w:lang w:val="en-US"/>
        </w:rPr>
        <w:t>,2</w:t>
      </w:r>
      <w:proofErr w:type="gramEnd"/>
      <w:r w:rsidRPr="00433261">
        <w:rPr>
          <w:rFonts w:ascii="Times New Roman" w:eastAsia="Times New Roman" w:hAnsi="Times New Roman" w:cs="Times New Roman"/>
          <w:color w:val="000000"/>
          <w:sz w:val="28"/>
          <w:szCs w:val="28"/>
          <w:lang w:val="en-US"/>
        </w:rPr>
        <w:t>) (mmol</w:t>
      </w:r>
      <w:r w:rsidR="00433261">
        <w:rPr>
          <w:rFonts w:ascii="Times New Roman" w:eastAsia="Times New Roman" w:hAnsi="Times New Roman" w:cs="Times New Roman"/>
          <w:color w:val="000000"/>
          <w:sz w:val="28"/>
          <w:szCs w:val="28"/>
          <w:lang w:val="en-US"/>
        </w:rPr>
        <w:t>/</w:t>
      </w:r>
      <w:r w:rsidRPr="00433261">
        <w:rPr>
          <w:rFonts w:ascii="Times New Roman" w:eastAsia="Times New Roman" w:hAnsi="Times New Roman" w:cs="Times New Roman"/>
          <w:color w:val="000000"/>
          <w:sz w:val="28"/>
          <w:szCs w:val="28"/>
          <w:lang w:val="en-US"/>
        </w:rPr>
        <w:t>l), provided that the TG concentration does not exceed 4.5 mmol</w:t>
      </w:r>
      <w:r w:rsidR="00433261">
        <w:rPr>
          <w:rFonts w:ascii="Times New Roman" w:eastAsia="Times New Roman" w:hAnsi="Times New Roman" w:cs="Times New Roman"/>
          <w:color w:val="000000"/>
          <w:sz w:val="28"/>
          <w:szCs w:val="28"/>
          <w:lang w:val="en-US"/>
        </w:rPr>
        <w:t>/</w:t>
      </w:r>
      <w:r w:rsidRPr="00433261">
        <w:rPr>
          <w:rFonts w:ascii="Times New Roman" w:eastAsia="Times New Roman" w:hAnsi="Times New Roman" w:cs="Times New Roman"/>
          <w:color w:val="000000"/>
          <w:sz w:val="28"/>
          <w:szCs w:val="28"/>
          <w:lang w:val="en-US"/>
        </w:rPr>
        <w:t>L; the definition of LDL cholesterol was performed by the calculation method, using the formula: Cholesterol LDLC = ZHC</w:t>
      </w:r>
      <w:r w:rsidR="00433261">
        <w:rPr>
          <w:rFonts w:ascii="Times New Roman" w:eastAsia="Times New Roman" w:hAnsi="Times New Roman" w:cs="Times New Roman"/>
          <w:color w:val="000000"/>
          <w:sz w:val="28"/>
          <w:szCs w:val="28"/>
          <w:lang w:val="en-US"/>
        </w:rPr>
        <w:t xml:space="preserve"> — </w:t>
      </w:r>
      <w:r w:rsidRPr="00433261">
        <w:rPr>
          <w:rFonts w:ascii="Times New Roman" w:eastAsia="Times New Roman" w:hAnsi="Times New Roman" w:cs="Times New Roman"/>
          <w:color w:val="000000"/>
          <w:sz w:val="28"/>
          <w:szCs w:val="28"/>
          <w:lang w:val="en-US"/>
        </w:rPr>
        <w:t>(LDL cholesterol + HDL HDL). The index of atherogenicity (IA) was calculated according to the formula IA = (HDL</w:t>
      </w:r>
      <w:r w:rsidR="00433261">
        <w:rPr>
          <w:rFonts w:ascii="Times New Roman" w:eastAsia="Times New Roman" w:hAnsi="Times New Roman" w:cs="Times New Roman"/>
          <w:color w:val="000000"/>
          <w:sz w:val="28"/>
          <w:szCs w:val="28"/>
          <w:lang w:val="en-US"/>
        </w:rPr>
        <w:t xml:space="preserve"> — </w:t>
      </w:r>
      <w:r w:rsidRPr="00433261">
        <w:rPr>
          <w:rFonts w:ascii="Times New Roman" w:eastAsia="Times New Roman" w:hAnsi="Times New Roman" w:cs="Times New Roman"/>
          <w:color w:val="000000"/>
          <w:sz w:val="28"/>
          <w:szCs w:val="28"/>
          <w:lang w:val="en-US"/>
        </w:rPr>
        <w:t>HDL HDL)</w:t>
      </w:r>
      <w:r w:rsidR="00433261">
        <w:rPr>
          <w:rFonts w:ascii="Times New Roman" w:eastAsia="Times New Roman" w:hAnsi="Times New Roman" w:cs="Times New Roman"/>
          <w:color w:val="000000"/>
          <w:sz w:val="28"/>
          <w:szCs w:val="28"/>
          <w:lang w:val="en-US"/>
        </w:rPr>
        <w:t>/</w:t>
      </w:r>
      <w:r w:rsidRPr="00433261">
        <w:rPr>
          <w:rFonts w:ascii="Times New Roman" w:eastAsia="Times New Roman" w:hAnsi="Times New Roman" w:cs="Times New Roman"/>
          <w:color w:val="000000"/>
          <w:sz w:val="28"/>
          <w:szCs w:val="28"/>
          <w:lang w:val="en-US"/>
        </w:rPr>
        <w:t>HDL HDL.</w:t>
      </w:r>
      <w:r w:rsidRPr="00433261">
        <w:rPr>
          <w:rFonts w:ascii="Times New Roman" w:eastAsia="Times New Roman" w:hAnsi="Times New Roman" w:cs="Times New Roman"/>
          <w:color w:val="000000"/>
          <w:sz w:val="28"/>
          <w:szCs w:val="28"/>
          <w:lang w:val="en-US"/>
        </w:rPr>
        <w:br/>
        <w:t xml:space="preserve">Statistical processing of the data was performed on a ViewSonic personal computer using standard Microsoft Excel software packages and using BioStat computer software, Statistica for Windows version 6.0 (Stat Soft inc., USA). Calculated the average arithmetic value (M), its error (m), </w:t>
      </w:r>
      <w:proofErr w:type="gramStart"/>
      <w:r w:rsidRPr="00433261">
        <w:rPr>
          <w:rFonts w:ascii="Times New Roman" w:eastAsia="Times New Roman" w:hAnsi="Times New Roman" w:cs="Times New Roman"/>
          <w:color w:val="000000"/>
          <w:sz w:val="28"/>
          <w:szCs w:val="28"/>
          <w:lang w:val="en-US"/>
        </w:rPr>
        <w:t>the</w:t>
      </w:r>
      <w:proofErr w:type="gramEnd"/>
      <w:r w:rsidRPr="00433261">
        <w:rPr>
          <w:rFonts w:ascii="Times New Roman" w:eastAsia="Times New Roman" w:hAnsi="Times New Roman" w:cs="Times New Roman"/>
          <w:color w:val="000000"/>
          <w:sz w:val="28"/>
          <w:szCs w:val="28"/>
          <w:lang w:val="en-US"/>
        </w:rPr>
        <w:t xml:space="preserve"> Student's criterion (t), the probability (p) with a probability of not less than 95%.</w:t>
      </w:r>
    </w:p>
    <w:p w:rsidR="00037E6B" w:rsidRPr="00433261" w:rsidRDefault="00037E6B" w:rsidP="00037E6B">
      <w:pPr>
        <w:spacing w:after="0" w:line="420" w:lineRule="atLeast"/>
        <w:ind w:firstLine="708"/>
        <w:jc w:val="both"/>
        <w:rPr>
          <w:rFonts w:ascii="Times New Roman" w:eastAsia="Times New Roman" w:hAnsi="Times New Roman" w:cs="Times New Roman"/>
          <w:color w:val="000000"/>
          <w:sz w:val="28"/>
          <w:szCs w:val="28"/>
          <w:lang w:val="en-US"/>
        </w:rPr>
      </w:pPr>
      <w:r w:rsidRPr="00433261">
        <w:rPr>
          <w:rFonts w:ascii="Times New Roman" w:eastAsia="Times New Roman" w:hAnsi="Times New Roman" w:cs="Times New Roman"/>
          <w:b/>
          <w:bCs/>
          <w:color w:val="000000"/>
          <w:sz w:val="28"/>
          <w:szCs w:val="28"/>
          <w:lang w:val="en-US"/>
        </w:rPr>
        <w:t>Results of</w:t>
      </w:r>
      <w:r w:rsidR="00A1558C" w:rsidRPr="00433261">
        <w:rPr>
          <w:rFonts w:ascii="Times New Roman" w:eastAsia="Times New Roman" w:hAnsi="Times New Roman" w:cs="Times New Roman"/>
          <w:b/>
          <w:bCs/>
          <w:color w:val="000000"/>
          <w:sz w:val="28"/>
          <w:szCs w:val="28"/>
          <w:lang w:val="en-US"/>
        </w:rPr>
        <w:t xml:space="preserve"> </w:t>
      </w:r>
      <w:r w:rsidRPr="00433261">
        <w:rPr>
          <w:rFonts w:ascii="Times New Roman" w:eastAsia="Times New Roman" w:hAnsi="Times New Roman" w:cs="Times New Roman"/>
          <w:b/>
          <w:bCs/>
          <w:color w:val="000000"/>
          <w:sz w:val="28"/>
          <w:szCs w:val="28"/>
          <w:lang w:val="en-US"/>
        </w:rPr>
        <w:t>research and their discussion</w:t>
      </w:r>
    </w:p>
    <w:p w:rsidR="000B22DF" w:rsidRPr="00433261" w:rsidRDefault="000B22DF" w:rsidP="00037E6B">
      <w:pPr>
        <w:spacing w:after="0" w:line="420" w:lineRule="atLeast"/>
        <w:ind w:firstLine="708"/>
        <w:jc w:val="both"/>
        <w:rPr>
          <w:rFonts w:ascii="Times New Roman" w:eastAsia="Times New Roman" w:hAnsi="Times New Roman" w:cs="Times New Roman"/>
          <w:color w:val="000000"/>
          <w:sz w:val="28"/>
          <w:szCs w:val="28"/>
          <w:lang w:val="en-US"/>
        </w:rPr>
      </w:pPr>
      <w:proofErr w:type="gramStart"/>
      <w:r w:rsidRPr="00433261">
        <w:rPr>
          <w:rFonts w:ascii="Times New Roman" w:eastAsia="Times New Roman" w:hAnsi="Times New Roman" w:cs="Times New Roman"/>
          <w:color w:val="000000"/>
          <w:sz w:val="28"/>
          <w:szCs w:val="28"/>
          <w:lang w:val="en-US"/>
        </w:rPr>
        <w:t>In the group of patients with CP with dyslipidemia, the prevalence of I-II st. obesity and biliary pathology.</w:t>
      </w:r>
      <w:proofErr w:type="gramEnd"/>
      <w:r w:rsidRPr="00433261">
        <w:rPr>
          <w:rFonts w:ascii="Times New Roman" w:eastAsia="Times New Roman" w:hAnsi="Times New Roman" w:cs="Times New Roman"/>
          <w:color w:val="000000"/>
          <w:sz w:val="28"/>
          <w:szCs w:val="28"/>
          <w:lang w:val="en-US"/>
        </w:rPr>
        <w:t xml:space="preserve"> The average index of BMI in the group of patients with CP was 27, 28 ± 0.67 kg</w:t>
      </w:r>
      <w:r w:rsidR="00433261">
        <w:rPr>
          <w:rFonts w:ascii="Times New Roman" w:eastAsia="Times New Roman" w:hAnsi="Times New Roman" w:cs="Times New Roman"/>
          <w:color w:val="000000"/>
          <w:sz w:val="28"/>
          <w:szCs w:val="28"/>
          <w:lang w:val="en-US"/>
        </w:rPr>
        <w:t>/</w:t>
      </w:r>
      <w:r w:rsidRPr="00433261">
        <w:rPr>
          <w:rFonts w:ascii="Times New Roman" w:eastAsia="Times New Roman" w:hAnsi="Times New Roman" w:cs="Times New Roman"/>
          <w:color w:val="000000"/>
          <w:sz w:val="28"/>
          <w:szCs w:val="28"/>
          <w:lang w:val="en-US"/>
        </w:rPr>
        <w:t>m2, and in the group for a comorbid flow of 28, 24 ± 1.01 kg</w:t>
      </w:r>
      <w:r w:rsidR="00433261">
        <w:rPr>
          <w:rFonts w:ascii="Times New Roman" w:eastAsia="Times New Roman" w:hAnsi="Times New Roman" w:cs="Times New Roman"/>
          <w:color w:val="000000"/>
          <w:sz w:val="28"/>
          <w:szCs w:val="28"/>
          <w:lang w:val="en-US"/>
        </w:rPr>
        <w:t>/</w:t>
      </w:r>
      <w:r w:rsidRPr="00433261">
        <w:rPr>
          <w:rFonts w:ascii="Times New Roman" w:eastAsia="Times New Roman" w:hAnsi="Times New Roman" w:cs="Times New Roman"/>
          <w:color w:val="000000"/>
          <w:sz w:val="28"/>
          <w:szCs w:val="28"/>
          <w:lang w:val="en-US"/>
        </w:rPr>
        <w:t>m2.</w:t>
      </w:r>
    </w:p>
    <w:p w:rsidR="00037E6B" w:rsidRPr="00433261" w:rsidRDefault="000B22DF" w:rsidP="00037E6B">
      <w:pPr>
        <w:spacing w:after="0" w:line="420" w:lineRule="atLeast"/>
        <w:ind w:firstLine="708"/>
        <w:jc w:val="both"/>
        <w:rPr>
          <w:rFonts w:ascii="Times New Roman" w:eastAsia="Times New Roman" w:hAnsi="Times New Roman" w:cs="Times New Roman"/>
          <w:color w:val="000000"/>
          <w:sz w:val="28"/>
          <w:szCs w:val="28"/>
          <w:lang w:val="en-US"/>
        </w:rPr>
      </w:pPr>
      <w:r w:rsidRPr="00433261">
        <w:rPr>
          <w:rFonts w:ascii="Times New Roman" w:eastAsia="Times New Roman" w:hAnsi="Times New Roman" w:cs="Times New Roman"/>
          <w:color w:val="000000"/>
          <w:sz w:val="28"/>
          <w:szCs w:val="28"/>
          <w:lang w:val="en-US"/>
        </w:rPr>
        <w:t>In the groups of patients who were examined, there was a significant increase in the rates of total lipids and CFCs of blood plasma, TG and reduction of HDL cholesterol indexes, as shown in Table. 1</w:t>
      </w:r>
    </w:p>
    <w:p w:rsidR="00037E6B" w:rsidRPr="00433261" w:rsidRDefault="00037E6B" w:rsidP="00037E6B">
      <w:pPr>
        <w:spacing w:after="0" w:line="420" w:lineRule="atLeast"/>
        <w:ind w:firstLine="708"/>
        <w:jc w:val="right"/>
        <w:rPr>
          <w:rFonts w:ascii="Times New Roman" w:eastAsia="Times New Roman" w:hAnsi="Times New Roman" w:cs="Times New Roman"/>
          <w:color w:val="000000"/>
          <w:sz w:val="28"/>
          <w:szCs w:val="28"/>
          <w:lang w:val="en-US"/>
        </w:rPr>
      </w:pPr>
      <w:r w:rsidRPr="00433261">
        <w:rPr>
          <w:rFonts w:ascii="Times New Roman" w:eastAsia="Times New Roman" w:hAnsi="Times New Roman" w:cs="Times New Roman"/>
          <w:color w:val="000000"/>
          <w:sz w:val="28"/>
          <w:szCs w:val="28"/>
          <w:lang w:val="en-US"/>
        </w:rPr>
        <w:t>Table</w:t>
      </w:r>
      <w:r w:rsidR="00A1558C" w:rsidRPr="00433261">
        <w:rPr>
          <w:rFonts w:ascii="Times New Roman" w:eastAsia="Times New Roman" w:hAnsi="Times New Roman" w:cs="Times New Roman"/>
          <w:color w:val="000000"/>
          <w:sz w:val="28"/>
          <w:szCs w:val="28"/>
          <w:lang w:val="en-US"/>
        </w:rPr>
        <w:t xml:space="preserve"> </w:t>
      </w:r>
      <w:r w:rsidRPr="00433261">
        <w:rPr>
          <w:rFonts w:ascii="Times New Roman" w:eastAsia="Times New Roman" w:hAnsi="Times New Roman" w:cs="Times New Roman"/>
          <w:color w:val="000000"/>
          <w:sz w:val="28"/>
          <w:lang w:val="en-US"/>
        </w:rPr>
        <w:t>1</w:t>
      </w:r>
    </w:p>
    <w:p w:rsidR="00037E6B" w:rsidRPr="00433261" w:rsidRDefault="00037E6B" w:rsidP="00037E6B">
      <w:pPr>
        <w:spacing w:after="0" w:line="420" w:lineRule="atLeast"/>
        <w:ind w:firstLine="708"/>
        <w:jc w:val="center"/>
        <w:rPr>
          <w:rFonts w:ascii="Times New Roman" w:eastAsia="Times New Roman" w:hAnsi="Times New Roman" w:cs="Times New Roman"/>
          <w:color w:val="000000"/>
          <w:sz w:val="28"/>
          <w:szCs w:val="28"/>
          <w:lang w:val="en-US"/>
        </w:rPr>
      </w:pPr>
      <w:r w:rsidRPr="00433261">
        <w:rPr>
          <w:rFonts w:ascii="Times New Roman" w:eastAsia="Times New Roman" w:hAnsi="Times New Roman" w:cs="Times New Roman"/>
          <w:b/>
          <w:bCs/>
          <w:color w:val="000000"/>
          <w:sz w:val="28"/>
          <w:szCs w:val="28"/>
          <w:lang w:val="en-US"/>
        </w:rPr>
        <w:t>Lipid profile of blood in the examined patients with</w:t>
      </w:r>
      <w:r w:rsidR="00A1558C" w:rsidRPr="00433261">
        <w:rPr>
          <w:rFonts w:ascii="Times New Roman" w:eastAsia="Times New Roman" w:hAnsi="Times New Roman" w:cs="Times New Roman"/>
          <w:b/>
          <w:bCs/>
          <w:color w:val="000000"/>
          <w:sz w:val="28"/>
          <w:szCs w:val="28"/>
          <w:lang w:val="en-US"/>
        </w:rPr>
        <w:t xml:space="preserve"> </w:t>
      </w:r>
      <w:r w:rsidRPr="00433261">
        <w:rPr>
          <w:rFonts w:ascii="Times New Roman" w:eastAsia="Times New Roman" w:hAnsi="Times New Roman" w:cs="Times New Roman"/>
          <w:b/>
          <w:bCs/>
          <w:color w:val="000000"/>
          <w:sz w:val="28"/>
          <w:szCs w:val="28"/>
          <w:lang w:val="en-US"/>
        </w:rPr>
        <w:t>CP</w:t>
      </w:r>
      <w:r w:rsidR="00A1558C" w:rsidRPr="00433261">
        <w:rPr>
          <w:rFonts w:ascii="Times New Roman" w:eastAsia="Times New Roman" w:hAnsi="Times New Roman" w:cs="Times New Roman"/>
          <w:b/>
          <w:bCs/>
          <w:color w:val="000000"/>
          <w:sz w:val="28"/>
          <w:szCs w:val="28"/>
          <w:lang w:val="en-US"/>
        </w:rPr>
        <w:t xml:space="preserve"> </w:t>
      </w:r>
      <w:r w:rsidRPr="00433261">
        <w:rPr>
          <w:rFonts w:ascii="Times New Roman" w:eastAsia="Times New Roman" w:hAnsi="Times New Roman" w:cs="Times New Roman"/>
          <w:b/>
          <w:bCs/>
          <w:color w:val="000000"/>
          <w:sz w:val="28"/>
          <w:szCs w:val="28"/>
          <w:lang w:val="en-US"/>
        </w:rPr>
        <w:t>and</w:t>
      </w:r>
      <w:r w:rsidR="00A1558C" w:rsidRPr="00433261">
        <w:rPr>
          <w:rFonts w:ascii="Times New Roman" w:eastAsia="Times New Roman" w:hAnsi="Times New Roman" w:cs="Times New Roman"/>
          <w:b/>
          <w:bCs/>
          <w:color w:val="000000"/>
          <w:sz w:val="28"/>
          <w:szCs w:val="28"/>
          <w:lang w:val="en-US"/>
        </w:rPr>
        <w:t xml:space="preserve"> </w:t>
      </w:r>
      <w:r w:rsidRPr="00433261">
        <w:rPr>
          <w:rFonts w:ascii="Times New Roman" w:eastAsia="Times New Roman" w:hAnsi="Times New Roman" w:cs="Times New Roman"/>
          <w:b/>
          <w:bCs/>
          <w:color w:val="000000"/>
          <w:sz w:val="28"/>
          <w:szCs w:val="28"/>
          <w:lang w:val="en-US"/>
        </w:rPr>
        <w:t>with</w:t>
      </w:r>
      <w:r w:rsidR="00A1558C" w:rsidRPr="00433261">
        <w:rPr>
          <w:rFonts w:ascii="Times New Roman" w:eastAsia="Times New Roman" w:hAnsi="Times New Roman" w:cs="Times New Roman"/>
          <w:b/>
          <w:bCs/>
          <w:color w:val="000000"/>
          <w:sz w:val="28"/>
          <w:szCs w:val="28"/>
          <w:lang w:val="en-US"/>
        </w:rPr>
        <w:t xml:space="preserve"> </w:t>
      </w:r>
      <w:r w:rsidRPr="00433261">
        <w:rPr>
          <w:rFonts w:ascii="Times New Roman" w:eastAsia="Times New Roman" w:hAnsi="Times New Roman" w:cs="Times New Roman"/>
          <w:b/>
          <w:bCs/>
          <w:color w:val="000000"/>
          <w:sz w:val="28"/>
          <w:szCs w:val="28"/>
          <w:lang w:val="en-US"/>
        </w:rPr>
        <w:t>dyslipidemia and on CP with</w:t>
      </w:r>
      <w:r w:rsidR="00A1558C" w:rsidRPr="00433261">
        <w:rPr>
          <w:rFonts w:ascii="Times New Roman" w:eastAsia="Times New Roman" w:hAnsi="Times New Roman" w:cs="Times New Roman"/>
          <w:b/>
          <w:bCs/>
          <w:color w:val="000000"/>
          <w:sz w:val="28"/>
          <w:szCs w:val="28"/>
          <w:lang w:val="en-US"/>
        </w:rPr>
        <w:t xml:space="preserve"> </w:t>
      </w:r>
      <w:r w:rsidRPr="00433261">
        <w:rPr>
          <w:rFonts w:ascii="Times New Roman" w:eastAsia="Times New Roman" w:hAnsi="Times New Roman" w:cs="Times New Roman"/>
          <w:b/>
          <w:bCs/>
          <w:color w:val="000000"/>
          <w:sz w:val="28"/>
          <w:szCs w:val="28"/>
          <w:lang w:val="en-US"/>
        </w:rPr>
        <w:t>CHD, including in the dynamics of treatment with</w:t>
      </w:r>
      <w:r w:rsidR="00A1558C" w:rsidRPr="00433261">
        <w:rPr>
          <w:rFonts w:ascii="Times New Roman" w:eastAsia="Times New Roman" w:hAnsi="Times New Roman" w:cs="Times New Roman"/>
          <w:b/>
          <w:bCs/>
          <w:color w:val="000000"/>
          <w:sz w:val="28"/>
          <w:szCs w:val="28"/>
          <w:lang w:val="en-US"/>
        </w:rPr>
        <w:t xml:space="preserve"> </w:t>
      </w:r>
      <w:r w:rsidRPr="00433261">
        <w:rPr>
          <w:rFonts w:ascii="Times New Roman" w:eastAsia="Times New Roman" w:hAnsi="Times New Roman" w:cs="Times New Roman"/>
          <w:b/>
          <w:bCs/>
          <w:color w:val="000000"/>
          <w:sz w:val="28"/>
          <w:szCs w:val="28"/>
          <w:lang w:val="en-US"/>
        </w:rPr>
        <w:t>polycosanol</w:t>
      </w:r>
    </w:p>
    <w:tbl>
      <w:tblPr>
        <w:tblW w:w="10221" w:type="dxa"/>
        <w:jc w:val="center"/>
        <w:tblInd w:w="-848" w:type="dxa"/>
        <w:tblLayout w:type="fixed"/>
        <w:tblLook w:val="04A0"/>
      </w:tblPr>
      <w:tblGrid>
        <w:gridCol w:w="1433"/>
        <w:gridCol w:w="1417"/>
        <w:gridCol w:w="1480"/>
        <w:gridCol w:w="788"/>
        <w:gridCol w:w="1418"/>
        <w:gridCol w:w="1480"/>
        <w:gridCol w:w="788"/>
        <w:gridCol w:w="1417"/>
      </w:tblGrid>
      <w:tr w:rsidR="000B22DF" w:rsidRPr="000B22DF" w:rsidTr="00CB5F33">
        <w:trPr>
          <w:trHeight w:val="630"/>
          <w:jc w:val="center"/>
        </w:trPr>
        <w:tc>
          <w:tcPr>
            <w:tcW w:w="1433"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0B22DF" w:rsidRPr="000B22DF" w:rsidRDefault="000B22DF" w:rsidP="000B22DF">
            <w:pPr>
              <w:spacing w:after="0" w:line="240" w:lineRule="auto"/>
              <w:jc w:val="center"/>
              <w:rPr>
                <w:rFonts w:ascii="Times New Roman" w:eastAsia="Times New Roman" w:hAnsi="Times New Roman" w:cs="Times New Roman"/>
                <w:color w:val="000000"/>
                <w:sz w:val="24"/>
                <w:szCs w:val="24"/>
                <w:lang w:val="en-US"/>
              </w:rPr>
            </w:pPr>
            <w:r w:rsidRPr="00433261">
              <w:rPr>
                <w:rFonts w:ascii="Times New Roman" w:eastAsia="Times New Roman" w:hAnsi="Times New Roman" w:cs="Times New Roman"/>
                <w:color w:val="000000"/>
                <w:sz w:val="24"/>
                <w:szCs w:val="24"/>
                <w:lang w:val="en-US"/>
              </w:rPr>
              <w:t>Indexes</w:t>
            </w:r>
          </w:p>
        </w:tc>
        <w:tc>
          <w:tcPr>
            <w:tcW w:w="3685" w:type="dxa"/>
            <w:gridSpan w:val="3"/>
            <w:tcBorders>
              <w:top w:val="single" w:sz="8" w:space="0" w:color="auto"/>
              <w:left w:val="nil"/>
              <w:bottom w:val="nil"/>
              <w:right w:val="single" w:sz="8" w:space="0" w:color="000000"/>
            </w:tcBorders>
            <w:shd w:val="clear" w:color="auto" w:fill="auto"/>
            <w:vAlign w:val="center"/>
          </w:tcPr>
          <w:p w:rsidR="000B22DF" w:rsidRPr="000B22DF" w:rsidRDefault="000B22DF" w:rsidP="000B22DF">
            <w:pPr>
              <w:spacing w:after="0" w:line="240" w:lineRule="auto"/>
              <w:jc w:val="center"/>
              <w:rPr>
                <w:rFonts w:ascii="Times New Roman" w:eastAsia="Times New Roman" w:hAnsi="Times New Roman" w:cs="Times New Roman"/>
                <w:color w:val="000000"/>
                <w:sz w:val="24"/>
                <w:szCs w:val="24"/>
                <w:lang w:val="en-US"/>
              </w:rPr>
            </w:pPr>
            <w:r w:rsidRPr="00433261">
              <w:rPr>
                <w:rFonts w:ascii="Times New Roman" w:eastAsia="Times New Roman" w:hAnsi="Times New Roman" w:cs="Times New Roman"/>
                <w:color w:val="000000"/>
                <w:sz w:val="24"/>
                <w:szCs w:val="24"/>
                <w:lang w:val="en-US"/>
              </w:rPr>
              <w:t>Patients with CP</w:t>
            </w:r>
          </w:p>
        </w:tc>
        <w:tc>
          <w:tcPr>
            <w:tcW w:w="3686" w:type="dxa"/>
            <w:gridSpan w:val="3"/>
            <w:tcBorders>
              <w:top w:val="single" w:sz="8" w:space="0" w:color="auto"/>
              <w:left w:val="nil"/>
              <w:bottom w:val="nil"/>
              <w:right w:val="single" w:sz="8" w:space="0" w:color="000000"/>
            </w:tcBorders>
            <w:shd w:val="clear" w:color="auto" w:fill="auto"/>
            <w:vAlign w:val="center"/>
          </w:tcPr>
          <w:p w:rsidR="000B22DF" w:rsidRPr="000B22DF" w:rsidRDefault="000B22DF" w:rsidP="000B22DF">
            <w:pPr>
              <w:spacing w:after="0" w:line="240" w:lineRule="auto"/>
              <w:jc w:val="center"/>
              <w:rPr>
                <w:rFonts w:ascii="Times New Roman" w:eastAsia="Times New Roman" w:hAnsi="Times New Roman" w:cs="Times New Roman"/>
                <w:color w:val="000000"/>
                <w:sz w:val="24"/>
                <w:szCs w:val="24"/>
                <w:lang w:val="en-US"/>
              </w:rPr>
            </w:pPr>
            <w:r w:rsidRPr="00433261">
              <w:rPr>
                <w:rFonts w:ascii="Times New Roman" w:eastAsia="Times New Roman" w:hAnsi="Times New Roman" w:cs="Times New Roman"/>
                <w:color w:val="000000"/>
                <w:sz w:val="24"/>
                <w:szCs w:val="24"/>
                <w:lang w:val="en-US"/>
              </w:rPr>
              <w:t>Patients with CP and IHD</w:t>
            </w:r>
          </w:p>
        </w:tc>
        <w:tc>
          <w:tcPr>
            <w:tcW w:w="1417" w:type="dxa"/>
            <w:tcBorders>
              <w:top w:val="single" w:sz="8" w:space="0" w:color="auto"/>
              <w:left w:val="nil"/>
              <w:bottom w:val="nil"/>
              <w:right w:val="single" w:sz="8" w:space="0" w:color="auto"/>
            </w:tcBorders>
            <w:shd w:val="clear" w:color="auto" w:fill="auto"/>
            <w:vAlign w:val="center"/>
          </w:tcPr>
          <w:p w:rsidR="000B22DF" w:rsidRPr="000B22DF" w:rsidRDefault="000B22DF" w:rsidP="000B22DF">
            <w:pPr>
              <w:spacing w:after="0" w:line="240" w:lineRule="auto"/>
              <w:jc w:val="center"/>
              <w:rPr>
                <w:rFonts w:ascii="Times New Roman" w:eastAsia="Times New Roman" w:hAnsi="Times New Roman" w:cs="Times New Roman"/>
                <w:color w:val="000000"/>
                <w:sz w:val="24"/>
                <w:szCs w:val="24"/>
                <w:lang w:val="en-US"/>
              </w:rPr>
            </w:pPr>
            <w:r w:rsidRPr="00433261">
              <w:rPr>
                <w:rFonts w:ascii="Times New Roman" w:eastAsia="Times New Roman" w:hAnsi="Times New Roman" w:cs="Times New Roman"/>
                <w:color w:val="000000"/>
                <w:sz w:val="24"/>
                <w:szCs w:val="24"/>
                <w:lang w:val="en-US"/>
              </w:rPr>
              <w:t>Healthy</w:t>
            </w:r>
          </w:p>
        </w:tc>
      </w:tr>
      <w:tr w:rsidR="000B22DF" w:rsidRPr="000B22DF" w:rsidTr="00CB5F33">
        <w:trPr>
          <w:trHeight w:val="330"/>
          <w:jc w:val="center"/>
        </w:trPr>
        <w:tc>
          <w:tcPr>
            <w:tcW w:w="1433" w:type="dxa"/>
            <w:vMerge/>
            <w:tcBorders>
              <w:top w:val="single" w:sz="8" w:space="0" w:color="auto"/>
              <w:left w:val="single" w:sz="8" w:space="0" w:color="auto"/>
              <w:bottom w:val="single" w:sz="8" w:space="0" w:color="000000"/>
              <w:right w:val="single" w:sz="8" w:space="0" w:color="auto"/>
            </w:tcBorders>
            <w:vAlign w:val="center"/>
          </w:tcPr>
          <w:p w:rsidR="000B22DF" w:rsidRPr="000B22DF" w:rsidRDefault="000B22DF" w:rsidP="000B22DF">
            <w:pPr>
              <w:spacing w:after="0" w:line="240" w:lineRule="auto"/>
              <w:rPr>
                <w:rFonts w:ascii="Times New Roman" w:eastAsia="Times New Roman" w:hAnsi="Times New Roman" w:cs="Times New Roman"/>
                <w:color w:val="000000"/>
                <w:sz w:val="24"/>
                <w:szCs w:val="24"/>
                <w:lang w:val="en-US"/>
              </w:rPr>
            </w:pPr>
          </w:p>
        </w:tc>
        <w:tc>
          <w:tcPr>
            <w:tcW w:w="3685" w:type="dxa"/>
            <w:gridSpan w:val="3"/>
            <w:tcBorders>
              <w:top w:val="nil"/>
              <w:left w:val="nil"/>
              <w:bottom w:val="single" w:sz="8" w:space="0" w:color="auto"/>
              <w:right w:val="single" w:sz="8" w:space="0" w:color="000000"/>
            </w:tcBorders>
            <w:shd w:val="clear" w:color="auto" w:fill="auto"/>
            <w:vAlign w:val="center"/>
          </w:tcPr>
          <w:p w:rsidR="000B22DF" w:rsidRPr="000B22DF" w:rsidRDefault="000B22DF" w:rsidP="000B22DF">
            <w:pPr>
              <w:spacing w:after="0" w:line="240" w:lineRule="auto"/>
              <w:jc w:val="center"/>
              <w:rPr>
                <w:rFonts w:ascii="Times New Roman" w:eastAsia="Times New Roman" w:hAnsi="Times New Roman" w:cs="Times New Roman"/>
                <w:color w:val="000000"/>
                <w:sz w:val="24"/>
                <w:szCs w:val="24"/>
                <w:lang w:val="en-US"/>
              </w:rPr>
            </w:pPr>
            <w:r w:rsidRPr="000B22DF">
              <w:rPr>
                <w:rFonts w:ascii="Times New Roman" w:eastAsia="Times New Roman" w:hAnsi="Times New Roman" w:cs="Times New Roman"/>
                <w:color w:val="000000"/>
                <w:sz w:val="24"/>
                <w:szCs w:val="24"/>
                <w:lang w:val="en-US"/>
              </w:rPr>
              <w:t>n = 10</w:t>
            </w:r>
          </w:p>
        </w:tc>
        <w:tc>
          <w:tcPr>
            <w:tcW w:w="3686" w:type="dxa"/>
            <w:gridSpan w:val="3"/>
            <w:tcBorders>
              <w:top w:val="nil"/>
              <w:left w:val="nil"/>
              <w:bottom w:val="single" w:sz="8" w:space="0" w:color="auto"/>
              <w:right w:val="single" w:sz="8" w:space="0" w:color="000000"/>
            </w:tcBorders>
            <w:shd w:val="clear" w:color="auto" w:fill="auto"/>
            <w:vAlign w:val="center"/>
          </w:tcPr>
          <w:p w:rsidR="000B22DF" w:rsidRPr="000B22DF" w:rsidRDefault="000B22DF" w:rsidP="000B22DF">
            <w:pPr>
              <w:spacing w:after="0" w:line="240" w:lineRule="auto"/>
              <w:jc w:val="center"/>
              <w:rPr>
                <w:rFonts w:ascii="Times New Roman" w:eastAsia="Times New Roman" w:hAnsi="Times New Roman" w:cs="Times New Roman"/>
                <w:color w:val="000000"/>
                <w:sz w:val="24"/>
                <w:szCs w:val="24"/>
                <w:lang w:val="en-US"/>
              </w:rPr>
            </w:pPr>
            <w:r w:rsidRPr="000B22DF">
              <w:rPr>
                <w:rFonts w:ascii="Times New Roman" w:eastAsia="Times New Roman" w:hAnsi="Times New Roman" w:cs="Times New Roman"/>
                <w:color w:val="000000"/>
                <w:sz w:val="24"/>
                <w:szCs w:val="24"/>
                <w:lang w:val="en-US"/>
              </w:rPr>
              <w:t>n = 11</w:t>
            </w:r>
          </w:p>
        </w:tc>
        <w:tc>
          <w:tcPr>
            <w:tcW w:w="1417" w:type="dxa"/>
            <w:tcBorders>
              <w:top w:val="nil"/>
              <w:left w:val="nil"/>
              <w:bottom w:val="nil"/>
              <w:right w:val="single" w:sz="8" w:space="0" w:color="auto"/>
            </w:tcBorders>
            <w:shd w:val="clear" w:color="auto" w:fill="auto"/>
            <w:vAlign w:val="center"/>
          </w:tcPr>
          <w:p w:rsidR="000B22DF" w:rsidRPr="000B22DF" w:rsidRDefault="000B22DF" w:rsidP="000B22DF">
            <w:pPr>
              <w:spacing w:after="0" w:line="240" w:lineRule="auto"/>
              <w:jc w:val="center"/>
              <w:rPr>
                <w:rFonts w:ascii="Times New Roman" w:eastAsia="Times New Roman" w:hAnsi="Times New Roman" w:cs="Times New Roman"/>
                <w:color w:val="000000"/>
                <w:sz w:val="24"/>
                <w:szCs w:val="24"/>
                <w:lang w:val="en-US"/>
              </w:rPr>
            </w:pPr>
            <w:r w:rsidRPr="000B22DF">
              <w:rPr>
                <w:rFonts w:ascii="Times New Roman" w:eastAsia="Times New Roman" w:hAnsi="Times New Roman" w:cs="Times New Roman"/>
                <w:color w:val="000000"/>
                <w:sz w:val="24"/>
                <w:szCs w:val="24"/>
                <w:lang w:val="en-US"/>
              </w:rPr>
              <w:t>n = 10</w:t>
            </w:r>
          </w:p>
        </w:tc>
      </w:tr>
      <w:tr w:rsidR="000B22DF" w:rsidRPr="000B22DF" w:rsidTr="00CB5F33">
        <w:trPr>
          <w:trHeight w:val="330"/>
          <w:jc w:val="center"/>
        </w:trPr>
        <w:tc>
          <w:tcPr>
            <w:tcW w:w="1433" w:type="dxa"/>
            <w:vMerge/>
            <w:tcBorders>
              <w:top w:val="single" w:sz="8" w:space="0" w:color="auto"/>
              <w:left w:val="single" w:sz="8" w:space="0" w:color="auto"/>
              <w:bottom w:val="single" w:sz="8" w:space="0" w:color="000000"/>
              <w:right w:val="single" w:sz="8" w:space="0" w:color="auto"/>
            </w:tcBorders>
            <w:vAlign w:val="center"/>
          </w:tcPr>
          <w:p w:rsidR="000B22DF" w:rsidRPr="000B22DF" w:rsidRDefault="000B22DF" w:rsidP="000B22DF">
            <w:pPr>
              <w:spacing w:after="0" w:line="240" w:lineRule="auto"/>
              <w:rPr>
                <w:rFonts w:ascii="Times New Roman" w:eastAsia="Times New Roman" w:hAnsi="Times New Roman" w:cs="Times New Roman"/>
                <w:color w:val="000000"/>
                <w:sz w:val="24"/>
                <w:szCs w:val="24"/>
                <w:lang w:val="en-US"/>
              </w:rPr>
            </w:pPr>
          </w:p>
        </w:tc>
        <w:tc>
          <w:tcPr>
            <w:tcW w:w="1417" w:type="dxa"/>
            <w:tcBorders>
              <w:top w:val="nil"/>
              <w:left w:val="nil"/>
              <w:bottom w:val="single" w:sz="8" w:space="0" w:color="auto"/>
              <w:right w:val="single" w:sz="8" w:space="0" w:color="auto"/>
            </w:tcBorders>
            <w:shd w:val="clear" w:color="auto" w:fill="auto"/>
            <w:vAlign w:val="center"/>
          </w:tcPr>
          <w:p w:rsidR="000B22DF" w:rsidRPr="000B22DF" w:rsidRDefault="000B22DF" w:rsidP="000B22DF">
            <w:pPr>
              <w:spacing w:after="0" w:line="240" w:lineRule="auto"/>
              <w:jc w:val="center"/>
              <w:rPr>
                <w:rFonts w:ascii="Times New Roman" w:eastAsia="Times New Roman" w:hAnsi="Times New Roman" w:cs="Times New Roman"/>
                <w:color w:val="000000"/>
                <w:sz w:val="24"/>
                <w:szCs w:val="24"/>
                <w:lang w:val="en-US"/>
              </w:rPr>
            </w:pPr>
            <w:r w:rsidRPr="00433261">
              <w:rPr>
                <w:rFonts w:ascii="Times New Roman" w:eastAsia="Times New Roman" w:hAnsi="Times New Roman" w:cs="Times New Roman"/>
                <w:color w:val="000000"/>
                <w:sz w:val="24"/>
                <w:szCs w:val="24"/>
                <w:lang w:val="en-US"/>
              </w:rPr>
              <w:t>before treatment</w:t>
            </w:r>
          </w:p>
        </w:tc>
        <w:tc>
          <w:tcPr>
            <w:tcW w:w="1480" w:type="dxa"/>
            <w:tcBorders>
              <w:top w:val="nil"/>
              <w:left w:val="nil"/>
              <w:bottom w:val="single" w:sz="8" w:space="0" w:color="auto"/>
              <w:right w:val="single" w:sz="8" w:space="0" w:color="auto"/>
            </w:tcBorders>
            <w:shd w:val="clear" w:color="auto" w:fill="auto"/>
            <w:vAlign w:val="center"/>
          </w:tcPr>
          <w:p w:rsidR="000B22DF" w:rsidRPr="000B22DF" w:rsidRDefault="000B22DF" w:rsidP="000B22DF">
            <w:pPr>
              <w:spacing w:after="0" w:line="240" w:lineRule="auto"/>
              <w:jc w:val="center"/>
              <w:rPr>
                <w:rFonts w:ascii="Times New Roman" w:eastAsia="Times New Roman" w:hAnsi="Times New Roman" w:cs="Times New Roman"/>
                <w:color w:val="000000"/>
                <w:sz w:val="24"/>
                <w:szCs w:val="24"/>
                <w:lang w:val="en-US"/>
              </w:rPr>
            </w:pPr>
            <w:r w:rsidRPr="00433261">
              <w:rPr>
                <w:rFonts w:ascii="Times New Roman" w:eastAsia="Times New Roman" w:hAnsi="Times New Roman" w:cs="Times New Roman"/>
                <w:color w:val="000000"/>
                <w:sz w:val="24"/>
                <w:szCs w:val="24"/>
                <w:lang w:val="en-US"/>
              </w:rPr>
              <w:t>after treatment</w:t>
            </w:r>
          </w:p>
        </w:tc>
        <w:tc>
          <w:tcPr>
            <w:tcW w:w="788" w:type="dxa"/>
            <w:tcBorders>
              <w:top w:val="nil"/>
              <w:left w:val="nil"/>
              <w:bottom w:val="single" w:sz="8" w:space="0" w:color="auto"/>
              <w:right w:val="single" w:sz="8" w:space="0" w:color="auto"/>
            </w:tcBorders>
            <w:shd w:val="clear" w:color="auto" w:fill="auto"/>
            <w:vAlign w:val="center"/>
          </w:tcPr>
          <w:p w:rsidR="000B22DF" w:rsidRPr="000B22DF" w:rsidRDefault="000B22DF" w:rsidP="000B22DF">
            <w:pPr>
              <w:spacing w:after="0" w:line="240" w:lineRule="auto"/>
              <w:jc w:val="center"/>
              <w:rPr>
                <w:rFonts w:ascii="Times New Roman" w:eastAsia="Times New Roman" w:hAnsi="Times New Roman" w:cs="Times New Roman"/>
                <w:color w:val="000000"/>
                <w:sz w:val="24"/>
                <w:szCs w:val="24"/>
                <w:lang w:val="en-US"/>
              </w:rPr>
            </w:pPr>
            <w:r w:rsidRPr="000B22DF">
              <w:rPr>
                <w:rFonts w:ascii="Times New Roman" w:eastAsia="Times New Roman" w:hAnsi="Times New Roman" w:cs="Times New Roman"/>
                <w:color w:val="000000"/>
                <w:sz w:val="24"/>
                <w:szCs w:val="24"/>
                <w:lang w:val="en-US"/>
              </w:rPr>
              <w:t>∆, %</w:t>
            </w:r>
          </w:p>
        </w:tc>
        <w:tc>
          <w:tcPr>
            <w:tcW w:w="1418" w:type="dxa"/>
            <w:tcBorders>
              <w:top w:val="nil"/>
              <w:left w:val="nil"/>
              <w:bottom w:val="single" w:sz="8" w:space="0" w:color="auto"/>
              <w:right w:val="single" w:sz="8" w:space="0" w:color="auto"/>
            </w:tcBorders>
            <w:shd w:val="clear" w:color="auto" w:fill="auto"/>
            <w:vAlign w:val="center"/>
          </w:tcPr>
          <w:p w:rsidR="000B22DF" w:rsidRPr="000B22DF" w:rsidRDefault="000B22DF" w:rsidP="00DF4CF7">
            <w:pPr>
              <w:spacing w:after="0" w:line="240" w:lineRule="auto"/>
              <w:jc w:val="center"/>
              <w:rPr>
                <w:rFonts w:ascii="Times New Roman" w:eastAsia="Times New Roman" w:hAnsi="Times New Roman" w:cs="Times New Roman"/>
                <w:color w:val="000000"/>
                <w:sz w:val="24"/>
                <w:szCs w:val="24"/>
                <w:lang w:val="en-US"/>
              </w:rPr>
            </w:pPr>
            <w:r w:rsidRPr="00433261">
              <w:rPr>
                <w:rFonts w:ascii="Times New Roman" w:eastAsia="Times New Roman" w:hAnsi="Times New Roman" w:cs="Times New Roman"/>
                <w:color w:val="000000"/>
                <w:sz w:val="24"/>
                <w:szCs w:val="24"/>
                <w:lang w:val="en-US"/>
              </w:rPr>
              <w:t>before treatment</w:t>
            </w:r>
          </w:p>
        </w:tc>
        <w:tc>
          <w:tcPr>
            <w:tcW w:w="1480" w:type="dxa"/>
            <w:tcBorders>
              <w:top w:val="nil"/>
              <w:left w:val="nil"/>
              <w:bottom w:val="single" w:sz="8" w:space="0" w:color="auto"/>
              <w:right w:val="single" w:sz="8" w:space="0" w:color="auto"/>
            </w:tcBorders>
            <w:shd w:val="clear" w:color="auto" w:fill="auto"/>
            <w:vAlign w:val="center"/>
          </w:tcPr>
          <w:p w:rsidR="000B22DF" w:rsidRPr="000B22DF" w:rsidRDefault="000B22DF" w:rsidP="00DF4CF7">
            <w:pPr>
              <w:spacing w:after="0" w:line="240" w:lineRule="auto"/>
              <w:jc w:val="center"/>
              <w:rPr>
                <w:rFonts w:ascii="Times New Roman" w:eastAsia="Times New Roman" w:hAnsi="Times New Roman" w:cs="Times New Roman"/>
                <w:color w:val="000000"/>
                <w:sz w:val="24"/>
                <w:szCs w:val="24"/>
                <w:lang w:val="en-US"/>
              </w:rPr>
            </w:pPr>
            <w:r w:rsidRPr="00433261">
              <w:rPr>
                <w:rFonts w:ascii="Times New Roman" w:eastAsia="Times New Roman" w:hAnsi="Times New Roman" w:cs="Times New Roman"/>
                <w:color w:val="000000"/>
                <w:sz w:val="24"/>
                <w:szCs w:val="24"/>
                <w:lang w:val="en-US"/>
              </w:rPr>
              <w:t>after treatment</w:t>
            </w:r>
          </w:p>
        </w:tc>
        <w:tc>
          <w:tcPr>
            <w:tcW w:w="788" w:type="dxa"/>
            <w:tcBorders>
              <w:top w:val="nil"/>
              <w:left w:val="nil"/>
              <w:bottom w:val="single" w:sz="8" w:space="0" w:color="auto"/>
              <w:right w:val="single" w:sz="8" w:space="0" w:color="auto"/>
            </w:tcBorders>
            <w:shd w:val="clear" w:color="auto" w:fill="auto"/>
            <w:vAlign w:val="center"/>
          </w:tcPr>
          <w:p w:rsidR="000B22DF" w:rsidRPr="000B22DF" w:rsidRDefault="000B22DF" w:rsidP="000B22DF">
            <w:pPr>
              <w:spacing w:after="0" w:line="240" w:lineRule="auto"/>
              <w:jc w:val="center"/>
              <w:rPr>
                <w:rFonts w:ascii="Times New Roman" w:eastAsia="Times New Roman" w:hAnsi="Times New Roman" w:cs="Times New Roman"/>
                <w:color w:val="000000"/>
                <w:sz w:val="24"/>
                <w:szCs w:val="24"/>
                <w:lang w:val="en-US"/>
              </w:rPr>
            </w:pPr>
            <w:r w:rsidRPr="000B22DF">
              <w:rPr>
                <w:rFonts w:ascii="Times New Roman" w:eastAsia="Times New Roman" w:hAnsi="Times New Roman" w:cs="Times New Roman"/>
                <w:color w:val="000000"/>
                <w:sz w:val="24"/>
                <w:szCs w:val="24"/>
                <w:lang w:val="en-US"/>
              </w:rPr>
              <w:t>∆, %</w:t>
            </w:r>
          </w:p>
        </w:tc>
        <w:tc>
          <w:tcPr>
            <w:tcW w:w="1417" w:type="dxa"/>
            <w:tcBorders>
              <w:top w:val="nil"/>
              <w:left w:val="nil"/>
              <w:bottom w:val="single" w:sz="8" w:space="0" w:color="auto"/>
              <w:right w:val="single" w:sz="8" w:space="0" w:color="auto"/>
            </w:tcBorders>
            <w:shd w:val="clear" w:color="auto" w:fill="auto"/>
            <w:vAlign w:val="center"/>
          </w:tcPr>
          <w:p w:rsidR="000B22DF" w:rsidRPr="000B22DF" w:rsidRDefault="000B22DF" w:rsidP="000B22DF">
            <w:pPr>
              <w:spacing w:after="0" w:line="240" w:lineRule="auto"/>
              <w:rPr>
                <w:rFonts w:ascii="Times New Roman" w:eastAsia="Times New Roman" w:hAnsi="Times New Roman" w:cs="Times New Roman"/>
                <w:color w:val="000000"/>
                <w:sz w:val="24"/>
                <w:szCs w:val="24"/>
                <w:lang w:val="en-US"/>
              </w:rPr>
            </w:pPr>
            <w:r w:rsidRPr="000B22DF">
              <w:rPr>
                <w:rFonts w:ascii="Times New Roman" w:eastAsia="Times New Roman" w:hAnsi="Times New Roman" w:cs="Times New Roman"/>
                <w:color w:val="000000"/>
                <w:sz w:val="24"/>
                <w:szCs w:val="24"/>
                <w:lang w:val="en-US"/>
              </w:rPr>
              <w:t xml:space="preserve"> </w:t>
            </w:r>
          </w:p>
        </w:tc>
      </w:tr>
      <w:tr w:rsidR="000B22DF" w:rsidRPr="000B22DF" w:rsidTr="00CB5F33">
        <w:trPr>
          <w:trHeight w:val="960"/>
          <w:jc w:val="center"/>
        </w:trPr>
        <w:tc>
          <w:tcPr>
            <w:tcW w:w="1433" w:type="dxa"/>
            <w:tcBorders>
              <w:top w:val="nil"/>
              <w:left w:val="single" w:sz="8" w:space="0" w:color="auto"/>
              <w:bottom w:val="single" w:sz="8" w:space="0" w:color="auto"/>
              <w:right w:val="single" w:sz="8" w:space="0" w:color="auto"/>
            </w:tcBorders>
            <w:shd w:val="clear" w:color="auto" w:fill="auto"/>
            <w:vAlign w:val="center"/>
          </w:tcPr>
          <w:p w:rsidR="000B22DF" w:rsidRPr="000B22DF" w:rsidRDefault="000B22DF" w:rsidP="000B22DF">
            <w:pPr>
              <w:spacing w:after="0" w:line="240" w:lineRule="auto"/>
              <w:rPr>
                <w:rFonts w:ascii="Times New Roman" w:eastAsia="Times New Roman" w:hAnsi="Times New Roman" w:cs="Times New Roman"/>
                <w:color w:val="000000"/>
                <w:sz w:val="24"/>
                <w:szCs w:val="24"/>
                <w:lang w:val="en-US"/>
              </w:rPr>
            </w:pPr>
            <w:r w:rsidRPr="00433261">
              <w:rPr>
                <w:rFonts w:ascii="Times New Roman" w:eastAsia="Times New Roman" w:hAnsi="Times New Roman" w:cs="Times New Roman"/>
                <w:color w:val="000000"/>
                <w:sz w:val="24"/>
                <w:szCs w:val="24"/>
                <w:lang w:val="en-US"/>
              </w:rPr>
              <w:t>Total CS</w:t>
            </w:r>
            <w:r w:rsidRPr="000B22DF">
              <w:rPr>
                <w:rFonts w:ascii="Times New Roman" w:eastAsia="Times New Roman" w:hAnsi="Times New Roman" w:cs="Times New Roman"/>
                <w:color w:val="000000"/>
                <w:sz w:val="24"/>
                <w:szCs w:val="24"/>
                <w:lang w:val="en-US"/>
              </w:rPr>
              <w:t xml:space="preserve">, </w:t>
            </w:r>
            <w:r w:rsidRPr="00433261">
              <w:rPr>
                <w:rFonts w:ascii="Times New Roman" w:eastAsia="Times New Roman" w:hAnsi="Times New Roman" w:cs="Times New Roman"/>
                <w:color w:val="000000"/>
                <w:sz w:val="24"/>
                <w:szCs w:val="24"/>
                <w:lang w:val="en-US"/>
              </w:rPr>
              <w:t>mmol</w:t>
            </w:r>
            <w:r w:rsidRPr="000B22DF">
              <w:rPr>
                <w:rFonts w:ascii="Times New Roman" w:eastAsia="Times New Roman" w:hAnsi="Times New Roman" w:cs="Times New Roman"/>
                <w:color w:val="000000"/>
                <w:sz w:val="24"/>
                <w:szCs w:val="24"/>
                <w:lang w:val="en-US"/>
              </w:rPr>
              <w:t>/</w:t>
            </w:r>
            <w:r w:rsidRPr="00433261">
              <w:rPr>
                <w:rFonts w:ascii="Times New Roman" w:eastAsia="Times New Roman" w:hAnsi="Times New Roman" w:cs="Times New Roman"/>
                <w:color w:val="000000"/>
                <w:sz w:val="24"/>
                <w:szCs w:val="24"/>
                <w:lang w:val="en-US"/>
              </w:rPr>
              <w:t>l</w:t>
            </w:r>
          </w:p>
        </w:tc>
        <w:tc>
          <w:tcPr>
            <w:tcW w:w="1417" w:type="dxa"/>
            <w:tcBorders>
              <w:top w:val="nil"/>
              <w:left w:val="nil"/>
              <w:bottom w:val="single" w:sz="8" w:space="0" w:color="auto"/>
              <w:right w:val="single" w:sz="8" w:space="0" w:color="auto"/>
            </w:tcBorders>
            <w:shd w:val="clear" w:color="auto" w:fill="auto"/>
            <w:vAlign w:val="center"/>
          </w:tcPr>
          <w:p w:rsidR="000B22DF" w:rsidRPr="000B22DF" w:rsidRDefault="000B22DF" w:rsidP="000B22DF">
            <w:pPr>
              <w:spacing w:after="0" w:line="240" w:lineRule="auto"/>
              <w:jc w:val="center"/>
              <w:rPr>
                <w:rFonts w:ascii="Times New Roman" w:eastAsia="Times New Roman" w:hAnsi="Times New Roman" w:cs="Times New Roman"/>
                <w:color w:val="000000"/>
                <w:sz w:val="24"/>
                <w:szCs w:val="24"/>
                <w:lang w:val="en-US"/>
              </w:rPr>
            </w:pPr>
            <w:r w:rsidRPr="000B22DF">
              <w:rPr>
                <w:rFonts w:ascii="Times New Roman" w:eastAsia="Times New Roman" w:hAnsi="Times New Roman" w:cs="Times New Roman"/>
                <w:color w:val="000000"/>
                <w:sz w:val="24"/>
                <w:szCs w:val="24"/>
                <w:lang w:val="en-US"/>
              </w:rPr>
              <w:t>6,46±0,22*</w:t>
            </w:r>
          </w:p>
        </w:tc>
        <w:tc>
          <w:tcPr>
            <w:tcW w:w="1480" w:type="dxa"/>
            <w:tcBorders>
              <w:top w:val="nil"/>
              <w:left w:val="nil"/>
              <w:bottom w:val="single" w:sz="8" w:space="0" w:color="auto"/>
              <w:right w:val="single" w:sz="8" w:space="0" w:color="auto"/>
            </w:tcBorders>
            <w:shd w:val="clear" w:color="auto" w:fill="auto"/>
            <w:vAlign w:val="center"/>
          </w:tcPr>
          <w:p w:rsidR="000B22DF" w:rsidRPr="000B22DF" w:rsidRDefault="000B22DF" w:rsidP="000B22DF">
            <w:pPr>
              <w:spacing w:after="0" w:line="240" w:lineRule="auto"/>
              <w:jc w:val="center"/>
              <w:rPr>
                <w:rFonts w:ascii="Times New Roman" w:eastAsia="Times New Roman" w:hAnsi="Times New Roman" w:cs="Times New Roman"/>
                <w:color w:val="000000"/>
                <w:sz w:val="24"/>
                <w:szCs w:val="24"/>
                <w:lang w:val="en-US"/>
              </w:rPr>
            </w:pPr>
            <w:r w:rsidRPr="000B22DF">
              <w:rPr>
                <w:rFonts w:ascii="Times New Roman" w:eastAsia="Times New Roman" w:hAnsi="Times New Roman" w:cs="Times New Roman"/>
                <w:color w:val="000000"/>
                <w:sz w:val="24"/>
                <w:szCs w:val="24"/>
                <w:lang w:val="en-US"/>
              </w:rPr>
              <w:t>5,32±1,49</w:t>
            </w:r>
          </w:p>
        </w:tc>
        <w:tc>
          <w:tcPr>
            <w:tcW w:w="788" w:type="dxa"/>
            <w:tcBorders>
              <w:top w:val="nil"/>
              <w:left w:val="nil"/>
              <w:bottom w:val="single" w:sz="8" w:space="0" w:color="auto"/>
              <w:right w:val="single" w:sz="8" w:space="0" w:color="auto"/>
            </w:tcBorders>
            <w:shd w:val="clear" w:color="auto" w:fill="auto"/>
            <w:vAlign w:val="center"/>
          </w:tcPr>
          <w:p w:rsidR="000B22DF" w:rsidRPr="000B22DF" w:rsidRDefault="000B22DF" w:rsidP="000B22DF">
            <w:pPr>
              <w:spacing w:after="0" w:line="240" w:lineRule="auto"/>
              <w:jc w:val="center"/>
              <w:rPr>
                <w:rFonts w:ascii="Times New Roman" w:eastAsia="Times New Roman" w:hAnsi="Times New Roman" w:cs="Times New Roman"/>
                <w:color w:val="000000"/>
                <w:sz w:val="24"/>
                <w:szCs w:val="24"/>
                <w:lang w:val="en-US"/>
              </w:rPr>
            </w:pPr>
            <w:r w:rsidRPr="000B22DF">
              <w:rPr>
                <w:rFonts w:ascii="Times New Roman" w:eastAsia="Times New Roman" w:hAnsi="Times New Roman" w:cs="Times New Roman"/>
                <w:color w:val="000000"/>
                <w:sz w:val="24"/>
                <w:szCs w:val="24"/>
                <w:lang w:val="en-US"/>
              </w:rPr>
              <w:t>-18%</w:t>
            </w:r>
          </w:p>
        </w:tc>
        <w:tc>
          <w:tcPr>
            <w:tcW w:w="1418" w:type="dxa"/>
            <w:tcBorders>
              <w:top w:val="nil"/>
              <w:left w:val="nil"/>
              <w:bottom w:val="single" w:sz="8" w:space="0" w:color="auto"/>
              <w:right w:val="single" w:sz="8" w:space="0" w:color="auto"/>
            </w:tcBorders>
            <w:shd w:val="clear" w:color="auto" w:fill="auto"/>
            <w:vAlign w:val="center"/>
          </w:tcPr>
          <w:p w:rsidR="000B22DF" w:rsidRPr="000B22DF" w:rsidRDefault="000B22DF" w:rsidP="000B22DF">
            <w:pPr>
              <w:spacing w:after="0" w:line="240" w:lineRule="auto"/>
              <w:jc w:val="center"/>
              <w:rPr>
                <w:rFonts w:ascii="Times New Roman" w:eastAsia="Times New Roman" w:hAnsi="Times New Roman" w:cs="Times New Roman"/>
                <w:color w:val="000000"/>
                <w:sz w:val="24"/>
                <w:szCs w:val="24"/>
                <w:lang w:val="en-US"/>
              </w:rPr>
            </w:pPr>
            <w:r w:rsidRPr="000B22DF">
              <w:rPr>
                <w:rFonts w:ascii="Times New Roman" w:eastAsia="Times New Roman" w:hAnsi="Times New Roman" w:cs="Times New Roman"/>
                <w:color w:val="000000"/>
                <w:sz w:val="24"/>
                <w:szCs w:val="24"/>
                <w:lang w:val="en-US"/>
              </w:rPr>
              <w:t>7,32±0,15*</w:t>
            </w:r>
          </w:p>
        </w:tc>
        <w:tc>
          <w:tcPr>
            <w:tcW w:w="1480" w:type="dxa"/>
            <w:tcBorders>
              <w:top w:val="nil"/>
              <w:left w:val="nil"/>
              <w:bottom w:val="single" w:sz="8" w:space="0" w:color="auto"/>
              <w:right w:val="single" w:sz="8" w:space="0" w:color="auto"/>
            </w:tcBorders>
            <w:shd w:val="clear" w:color="auto" w:fill="auto"/>
            <w:vAlign w:val="center"/>
          </w:tcPr>
          <w:p w:rsidR="000B22DF" w:rsidRPr="000B22DF" w:rsidRDefault="000B22DF" w:rsidP="000B22DF">
            <w:pPr>
              <w:spacing w:after="0" w:line="240" w:lineRule="auto"/>
              <w:jc w:val="center"/>
              <w:rPr>
                <w:rFonts w:ascii="Times New Roman" w:eastAsia="Times New Roman" w:hAnsi="Times New Roman" w:cs="Times New Roman"/>
                <w:color w:val="000000"/>
                <w:sz w:val="24"/>
                <w:szCs w:val="24"/>
                <w:lang w:val="en-US"/>
              </w:rPr>
            </w:pPr>
            <w:r w:rsidRPr="000B22DF">
              <w:rPr>
                <w:rFonts w:ascii="Times New Roman" w:eastAsia="Times New Roman" w:hAnsi="Times New Roman" w:cs="Times New Roman"/>
                <w:color w:val="000000"/>
                <w:sz w:val="24"/>
                <w:szCs w:val="24"/>
                <w:lang w:val="en-US"/>
              </w:rPr>
              <w:t>5,8±0,22</w:t>
            </w:r>
            <w:r w:rsidRPr="000B22DF">
              <w:rPr>
                <w:rFonts w:ascii="Times New Roman" w:eastAsia="Times New Roman" w:hAnsi="Times New Roman" w:cs="Times New Roman"/>
                <w:i/>
                <w:iCs/>
                <w:color w:val="000000"/>
                <w:sz w:val="24"/>
                <w:szCs w:val="24"/>
                <w:lang w:val="en-US"/>
              </w:rPr>
              <w:t>**</w:t>
            </w:r>
          </w:p>
        </w:tc>
        <w:tc>
          <w:tcPr>
            <w:tcW w:w="788" w:type="dxa"/>
            <w:tcBorders>
              <w:top w:val="nil"/>
              <w:left w:val="nil"/>
              <w:bottom w:val="single" w:sz="8" w:space="0" w:color="auto"/>
              <w:right w:val="single" w:sz="8" w:space="0" w:color="auto"/>
            </w:tcBorders>
            <w:shd w:val="clear" w:color="auto" w:fill="auto"/>
            <w:vAlign w:val="center"/>
          </w:tcPr>
          <w:p w:rsidR="000B22DF" w:rsidRPr="000B22DF" w:rsidRDefault="000B22DF" w:rsidP="000B22DF">
            <w:pPr>
              <w:spacing w:after="0" w:line="240" w:lineRule="auto"/>
              <w:jc w:val="center"/>
              <w:rPr>
                <w:rFonts w:ascii="Times New Roman" w:eastAsia="Times New Roman" w:hAnsi="Times New Roman" w:cs="Times New Roman"/>
                <w:color w:val="000000"/>
                <w:sz w:val="24"/>
                <w:szCs w:val="24"/>
                <w:lang w:val="en-US"/>
              </w:rPr>
            </w:pPr>
            <w:r w:rsidRPr="000B22DF">
              <w:rPr>
                <w:rFonts w:ascii="Times New Roman" w:eastAsia="Times New Roman" w:hAnsi="Times New Roman" w:cs="Times New Roman"/>
                <w:color w:val="000000"/>
                <w:sz w:val="24"/>
                <w:szCs w:val="24"/>
                <w:lang w:val="en-US"/>
              </w:rPr>
              <w:t>-21%</w:t>
            </w:r>
          </w:p>
        </w:tc>
        <w:tc>
          <w:tcPr>
            <w:tcW w:w="1417" w:type="dxa"/>
            <w:tcBorders>
              <w:top w:val="nil"/>
              <w:left w:val="nil"/>
              <w:bottom w:val="single" w:sz="8" w:space="0" w:color="auto"/>
              <w:right w:val="single" w:sz="8" w:space="0" w:color="auto"/>
            </w:tcBorders>
            <w:shd w:val="clear" w:color="auto" w:fill="auto"/>
            <w:vAlign w:val="center"/>
          </w:tcPr>
          <w:p w:rsidR="000B22DF" w:rsidRPr="000B22DF" w:rsidRDefault="000B22DF" w:rsidP="000B22DF">
            <w:pPr>
              <w:spacing w:after="0" w:line="240" w:lineRule="auto"/>
              <w:jc w:val="center"/>
              <w:rPr>
                <w:rFonts w:ascii="Times New Roman" w:eastAsia="Times New Roman" w:hAnsi="Times New Roman" w:cs="Times New Roman"/>
                <w:color w:val="000000"/>
                <w:sz w:val="24"/>
                <w:szCs w:val="24"/>
                <w:lang w:val="en-US"/>
              </w:rPr>
            </w:pPr>
            <w:r w:rsidRPr="000B22DF">
              <w:rPr>
                <w:rFonts w:ascii="Times New Roman" w:eastAsia="Times New Roman" w:hAnsi="Times New Roman" w:cs="Times New Roman"/>
                <w:color w:val="000000"/>
                <w:sz w:val="24"/>
                <w:szCs w:val="24"/>
                <w:lang w:val="en-US"/>
              </w:rPr>
              <w:t>4,8±0,8</w:t>
            </w:r>
          </w:p>
        </w:tc>
      </w:tr>
      <w:tr w:rsidR="000B22DF" w:rsidRPr="000B22DF" w:rsidTr="00CB5F33">
        <w:trPr>
          <w:trHeight w:val="645"/>
          <w:jc w:val="center"/>
        </w:trPr>
        <w:tc>
          <w:tcPr>
            <w:tcW w:w="1433" w:type="dxa"/>
            <w:tcBorders>
              <w:top w:val="nil"/>
              <w:left w:val="single" w:sz="8" w:space="0" w:color="auto"/>
              <w:bottom w:val="single" w:sz="8" w:space="0" w:color="auto"/>
              <w:right w:val="single" w:sz="8" w:space="0" w:color="auto"/>
            </w:tcBorders>
            <w:shd w:val="clear" w:color="auto" w:fill="auto"/>
            <w:vAlign w:val="center"/>
          </w:tcPr>
          <w:p w:rsidR="000B22DF" w:rsidRPr="000B22DF" w:rsidRDefault="000B22DF" w:rsidP="000B22DF">
            <w:pPr>
              <w:spacing w:after="0" w:line="240" w:lineRule="auto"/>
              <w:rPr>
                <w:rFonts w:ascii="Times New Roman" w:eastAsia="Times New Roman" w:hAnsi="Times New Roman" w:cs="Times New Roman"/>
                <w:color w:val="000000"/>
                <w:sz w:val="24"/>
                <w:szCs w:val="24"/>
                <w:lang w:val="en-US"/>
              </w:rPr>
            </w:pPr>
            <w:r w:rsidRPr="00433261">
              <w:rPr>
                <w:rFonts w:ascii="Times New Roman" w:eastAsia="Times New Roman" w:hAnsi="Times New Roman" w:cs="Times New Roman"/>
                <w:color w:val="000000"/>
                <w:sz w:val="24"/>
                <w:szCs w:val="24"/>
                <w:lang w:val="en-US"/>
              </w:rPr>
              <w:t>TG</w:t>
            </w:r>
            <w:r w:rsidRPr="000B22DF">
              <w:rPr>
                <w:rFonts w:ascii="Times New Roman" w:eastAsia="Times New Roman" w:hAnsi="Times New Roman" w:cs="Times New Roman"/>
                <w:color w:val="000000"/>
                <w:sz w:val="24"/>
                <w:szCs w:val="24"/>
                <w:lang w:val="en-US"/>
              </w:rPr>
              <w:t xml:space="preserve">, </w:t>
            </w:r>
            <w:r w:rsidRPr="00433261">
              <w:rPr>
                <w:rFonts w:ascii="Times New Roman" w:eastAsia="Times New Roman" w:hAnsi="Times New Roman" w:cs="Times New Roman"/>
                <w:color w:val="000000"/>
                <w:sz w:val="24"/>
                <w:szCs w:val="24"/>
                <w:lang w:val="en-US"/>
              </w:rPr>
              <w:t>mmol</w:t>
            </w:r>
            <w:r w:rsidRPr="000B22DF">
              <w:rPr>
                <w:rFonts w:ascii="Times New Roman" w:eastAsia="Times New Roman" w:hAnsi="Times New Roman" w:cs="Times New Roman"/>
                <w:color w:val="000000"/>
                <w:sz w:val="24"/>
                <w:szCs w:val="24"/>
                <w:lang w:val="en-US"/>
              </w:rPr>
              <w:t>/</w:t>
            </w:r>
            <w:r w:rsidRPr="00433261">
              <w:rPr>
                <w:rFonts w:ascii="Times New Roman" w:eastAsia="Times New Roman" w:hAnsi="Times New Roman" w:cs="Times New Roman"/>
                <w:color w:val="000000"/>
                <w:sz w:val="24"/>
                <w:szCs w:val="24"/>
                <w:lang w:val="en-US"/>
              </w:rPr>
              <w:t>l</w:t>
            </w:r>
          </w:p>
        </w:tc>
        <w:tc>
          <w:tcPr>
            <w:tcW w:w="1417" w:type="dxa"/>
            <w:tcBorders>
              <w:top w:val="nil"/>
              <w:left w:val="nil"/>
              <w:bottom w:val="single" w:sz="8" w:space="0" w:color="auto"/>
              <w:right w:val="single" w:sz="8" w:space="0" w:color="auto"/>
            </w:tcBorders>
            <w:shd w:val="clear" w:color="auto" w:fill="auto"/>
            <w:vAlign w:val="center"/>
          </w:tcPr>
          <w:p w:rsidR="000B22DF" w:rsidRPr="000B22DF" w:rsidRDefault="000B22DF" w:rsidP="000B22DF">
            <w:pPr>
              <w:spacing w:after="0" w:line="240" w:lineRule="auto"/>
              <w:jc w:val="center"/>
              <w:rPr>
                <w:rFonts w:ascii="Times New Roman" w:eastAsia="Times New Roman" w:hAnsi="Times New Roman" w:cs="Times New Roman"/>
                <w:color w:val="000000"/>
                <w:sz w:val="24"/>
                <w:szCs w:val="24"/>
                <w:lang w:val="en-US"/>
              </w:rPr>
            </w:pPr>
            <w:r w:rsidRPr="000B22DF">
              <w:rPr>
                <w:rFonts w:ascii="Times New Roman" w:eastAsia="Times New Roman" w:hAnsi="Times New Roman" w:cs="Times New Roman"/>
                <w:color w:val="000000"/>
                <w:sz w:val="24"/>
                <w:szCs w:val="24"/>
                <w:lang w:val="en-US"/>
              </w:rPr>
              <w:t>2,37±0,16*</w:t>
            </w:r>
          </w:p>
        </w:tc>
        <w:tc>
          <w:tcPr>
            <w:tcW w:w="1480" w:type="dxa"/>
            <w:tcBorders>
              <w:top w:val="nil"/>
              <w:left w:val="nil"/>
              <w:bottom w:val="single" w:sz="8" w:space="0" w:color="auto"/>
              <w:right w:val="single" w:sz="8" w:space="0" w:color="auto"/>
            </w:tcBorders>
            <w:shd w:val="clear" w:color="auto" w:fill="auto"/>
            <w:vAlign w:val="center"/>
          </w:tcPr>
          <w:p w:rsidR="000B22DF" w:rsidRPr="000B22DF" w:rsidRDefault="000B22DF" w:rsidP="000B22DF">
            <w:pPr>
              <w:spacing w:after="0" w:line="240" w:lineRule="auto"/>
              <w:jc w:val="center"/>
              <w:rPr>
                <w:rFonts w:ascii="Times New Roman" w:eastAsia="Times New Roman" w:hAnsi="Times New Roman" w:cs="Times New Roman"/>
                <w:color w:val="000000"/>
                <w:sz w:val="24"/>
                <w:szCs w:val="24"/>
                <w:lang w:val="en-US"/>
              </w:rPr>
            </w:pPr>
            <w:r w:rsidRPr="000B22DF">
              <w:rPr>
                <w:rFonts w:ascii="Times New Roman" w:eastAsia="Times New Roman" w:hAnsi="Times New Roman" w:cs="Times New Roman"/>
                <w:color w:val="000000"/>
                <w:sz w:val="24"/>
                <w:szCs w:val="24"/>
                <w:lang w:val="en-US"/>
              </w:rPr>
              <w:t>2,09±0,69</w:t>
            </w:r>
            <w:r w:rsidRPr="000B22DF">
              <w:rPr>
                <w:rFonts w:ascii="Times New Roman" w:eastAsia="Times New Roman" w:hAnsi="Times New Roman" w:cs="Times New Roman"/>
                <w:i/>
                <w:iCs/>
                <w:color w:val="000000"/>
                <w:sz w:val="24"/>
                <w:szCs w:val="24"/>
                <w:lang w:val="en-US"/>
              </w:rPr>
              <w:t>**</w:t>
            </w:r>
          </w:p>
        </w:tc>
        <w:tc>
          <w:tcPr>
            <w:tcW w:w="788" w:type="dxa"/>
            <w:tcBorders>
              <w:top w:val="nil"/>
              <w:left w:val="nil"/>
              <w:bottom w:val="single" w:sz="8" w:space="0" w:color="auto"/>
              <w:right w:val="single" w:sz="8" w:space="0" w:color="auto"/>
            </w:tcBorders>
            <w:shd w:val="clear" w:color="auto" w:fill="auto"/>
            <w:vAlign w:val="center"/>
          </w:tcPr>
          <w:p w:rsidR="000B22DF" w:rsidRPr="000B22DF" w:rsidRDefault="000B22DF" w:rsidP="000B22DF">
            <w:pPr>
              <w:spacing w:after="0" w:line="240" w:lineRule="auto"/>
              <w:jc w:val="center"/>
              <w:rPr>
                <w:rFonts w:ascii="Times New Roman" w:eastAsia="Times New Roman" w:hAnsi="Times New Roman" w:cs="Times New Roman"/>
                <w:color w:val="000000"/>
                <w:sz w:val="24"/>
                <w:szCs w:val="24"/>
                <w:lang w:val="en-US"/>
              </w:rPr>
            </w:pPr>
            <w:r w:rsidRPr="000B22DF">
              <w:rPr>
                <w:rFonts w:ascii="Times New Roman" w:eastAsia="Times New Roman" w:hAnsi="Times New Roman" w:cs="Times New Roman"/>
                <w:color w:val="000000"/>
                <w:sz w:val="24"/>
                <w:szCs w:val="24"/>
                <w:lang w:val="en-US"/>
              </w:rPr>
              <w:t>-12%</w:t>
            </w:r>
          </w:p>
        </w:tc>
        <w:tc>
          <w:tcPr>
            <w:tcW w:w="1418" w:type="dxa"/>
            <w:tcBorders>
              <w:top w:val="nil"/>
              <w:left w:val="nil"/>
              <w:bottom w:val="single" w:sz="8" w:space="0" w:color="auto"/>
              <w:right w:val="single" w:sz="8" w:space="0" w:color="auto"/>
            </w:tcBorders>
            <w:shd w:val="clear" w:color="auto" w:fill="auto"/>
            <w:vAlign w:val="center"/>
          </w:tcPr>
          <w:p w:rsidR="000B22DF" w:rsidRPr="000B22DF" w:rsidRDefault="000B22DF" w:rsidP="000B22DF">
            <w:pPr>
              <w:spacing w:after="0" w:line="240" w:lineRule="auto"/>
              <w:jc w:val="center"/>
              <w:rPr>
                <w:rFonts w:ascii="Times New Roman" w:eastAsia="Times New Roman" w:hAnsi="Times New Roman" w:cs="Times New Roman"/>
                <w:color w:val="000000"/>
                <w:sz w:val="24"/>
                <w:szCs w:val="24"/>
                <w:lang w:val="en-US"/>
              </w:rPr>
            </w:pPr>
            <w:r w:rsidRPr="000B22DF">
              <w:rPr>
                <w:rFonts w:ascii="Times New Roman" w:eastAsia="Times New Roman" w:hAnsi="Times New Roman" w:cs="Times New Roman"/>
                <w:color w:val="000000"/>
                <w:sz w:val="24"/>
                <w:szCs w:val="24"/>
                <w:lang w:val="en-US"/>
              </w:rPr>
              <w:t>2,53±0,2*</w:t>
            </w:r>
          </w:p>
        </w:tc>
        <w:tc>
          <w:tcPr>
            <w:tcW w:w="1480" w:type="dxa"/>
            <w:tcBorders>
              <w:top w:val="nil"/>
              <w:left w:val="nil"/>
              <w:bottom w:val="single" w:sz="8" w:space="0" w:color="auto"/>
              <w:right w:val="single" w:sz="8" w:space="0" w:color="auto"/>
            </w:tcBorders>
            <w:shd w:val="clear" w:color="auto" w:fill="auto"/>
            <w:vAlign w:val="center"/>
          </w:tcPr>
          <w:p w:rsidR="000B22DF" w:rsidRPr="000B22DF" w:rsidRDefault="000B22DF" w:rsidP="000B22DF">
            <w:pPr>
              <w:spacing w:after="0" w:line="240" w:lineRule="auto"/>
              <w:jc w:val="center"/>
              <w:rPr>
                <w:rFonts w:ascii="Times New Roman" w:eastAsia="Times New Roman" w:hAnsi="Times New Roman" w:cs="Times New Roman"/>
                <w:color w:val="000000"/>
                <w:sz w:val="24"/>
                <w:szCs w:val="24"/>
                <w:lang w:val="en-US"/>
              </w:rPr>
            </w:pPr>
            <w:r w:rsidRPr="000B22DF">
              <w:rPr>
                <w:rFonts w:ascii="Times New Roman" w:eastAsia="Times New Roman" w:hAnsi="Times New Roman" w:cs="Times New Roman"/>
                <w:color w:val="000000"/>
                <w:sz w:val="24"/>
                <w:szCs w:val="24"/>
                <w:lang w:val="en-US"/>
              </w:rPr>
              <w:t>2,06±0,14</w:t>
            </w:r>
            <w:r w:rsidRPr="000B22DF">
              <w:rPr>
                <w:rFonts w:ascii="Times New Roman" w:eastAsia="Times New Roman" w:hAnsi="Times New Roman" w:cs="Times New Roman"/>
                <w:i/>
                <w:iCs/>
                <w:color w:val="000000"/>
                <w:sz w:val="24"/>
                <w:szCs w:val="24"/>
                <w:lang w:val="en-US"/>
              </w:rPr>
              <w:t>**</w:t>
            </w:r>
          </w:p>
        </w:tc>
        <w:tc>
          <w:tcPr>
            <w:tcW w:w="788" w:type="dxa"/>
            <w:tcBorders>
              <w:top w:val="nil"/>
              <w:left w:val="nil"/>
              <w:bottom w:val="single" w:sz="8" w:space="0" w:color="auto"/>
              <w:right w:val="single" w:sz="8" w:space="0" w:color="auto"/>
            </w:tcBorders>
            <w:shd w:val="clear" w:color="auto" w:fill="auto"/>
            <w:vAlign w:val="center"/>
          </w:tcPr>
          <w:p w:rsidR="000B22DF" w:rsidRPr="000B22DF" w:rsidRDefault="000B22DF" w:rsidP="000B22DF">
            <w:pPr>
              <w:spacing w:after="0" w:line="240" w:lineRule="auto"/>
              <w:jc w:val="center"/>
              <w:rPr>
                <w:rFonts w:ascii="Times New Roman" w:eastAsia="Times New Roman" w:hAnsi="Times New Roman" w:cs="Times New Roman"/>
                <w:color w:val="000000"/>
                <w:sz w:val="24"/>
                <w:szCs w:val="24"/>
                <w:lang w:val="en-US"/>
              </w:rPr>
            </w:pPr>
            <w:r w:rsidRPr="000B22DF">
              <w:rPr>
                <w:rFonts w:ascii="Times New Roman" w:eastAsia="Times New Roman" w:hAnsi="Times New Roman" w:cs="Times New Roman"/>
                <w:color w:val="000000"/>
                <w:sz w:val="24"/>
                <w:szCs w:val="24"/>
                <w:lang w:val="en-US"/>
              </w:rPr>
              <w:t>-19%</w:t>
            </w:r>
          </w:p>
        </w:tc>
        <w:tc>
          <w:tcPr>
            <w:tcW w:w="1417" w:type="dxa"/>
            <w:tcBorders>
              <w:top w:val="nil"/>
              <w:left w:val="nil"/>
              <w:bottom w:val="single" w:sz="8" w:space="0" w:color="auto"/>
              <w:right w:val="single" w:sz="8" w:space="0" w:color="auto"/>
            </w:tcBorders>
            <w:shd w:val="clear" w:color="auto" w:fill="auto"/>
            <w:vAlign w:val="center"/>
          </w:tcPr>
          <w:p w:rsidR="000B22DF" w:rsidRPr="000B22DF" w:rsidRDefault="000B22DF" w:rsidP="000B22DF">
            <w:pPr>
              <w:spacing w:after="0" w:line="240" w:lineRule="auto"/>
              <w:jc w:val="center"/>
              <w:rPr>
                <w:rFonts w:ascii="Times New Roman" w:eastAsia="Times New Roman" w:hAnsi="Times New Roman" w:cs="Times New Roman"/>
                <w:color w:val="000000"/>
                <w:sz w:val="24"/>
                <w:szCs w:val="24"/>
                <w:lang w:val="en-US"/>
              </w:rPr>
            </w:pPr>
            <w:r w:rsidRPr="000B22DF">
              <w:rPr>
                <w:rFonts w:ascii="Times New Roman" w:eastAsia="Times New Roman" w:hAnsi="Times New Roman" w:cs="Times New Roman"/>
                <w:color w:val="000000"/>
                <w:sz w:val="24"/>
                <w:szCs w:val="24"/>
                <w:lang w:val="en-US"/>
              </w:rPr>
              <w:t>1,43±0,4</w:t>
            </w:r>
          </w:p>
        </w:tc>
      </w:tr>
      <w:tr w:rsidR="000B22DF" w:rsidRPr="000B22DF" w:rsidTr="00CB5F33">
        <w:trPr>
          <w:trHeight w:val="645"/>
          <w:jc w:val="center"/>
        </w:trPr>
        <w:tc>
          <w:tcPr>
            <w:tcW w:w="1433" w:type="dxa"/>
            <w:tcBorders>
              <w:top w:val="nil"/>
              <w:left w:val="single" w:sz="8" w:space="0" w:color="auto"/>
              <w:bottom w:val="single" w:sz="8" w:space="0" w:color="auto"/>
              <w:right w:val="single" w:sz="8" w:space="0" w:color="auto"/>
            </w:tcBorders>
            <w:shd w:val="clear" w:color="auto" w:fill="auto"/>
            <w:vAlign w:val="center"/>
          </w:tcPr>
          <w:p w:rsidR="000B22DF" w:rsidRPr="000B22DF" w:rsidRDefault="000B22DF" w:rsidP="000B22DF">
            <w:pPr>
              <w:spacing w:after="0" w:line="240" w:lineRule="auto"/>
              <w:rPr>
                <w:rFonts w:ascii="Times New Roman" w:eastAsia="Times New Roman" w:hAnsi="Times New Roman" w:cs="Times New Roman"/>
                <w:color w:val="000000"/>
                <w:sz w:val="24"/>
                <w:szCs w:val="24"/>
                <w:lang w:val="en-US"/>
              </w:rPr>
            </w:pPr>
            <w:r w:rsidRPr="00433261">
              <w:rPr>
                <w:rFonts w:ascii="Times New Roman" w:eastAsia="Times New Roman" w:hAnsi="Times New Roman" w:cs="Times New Roman"/>
                <w:color w:val="000000"/>
                <w:sz w:val="24"/>
                <w:szCs w:val="24"/>
                <w:lang w:val="en-US"/>
              </w:rPr>
              <w:t>LDL</w:t>
            </w:r>
            <w:r w:rsidRPr="000B22DF">
              <w:rPr>
                <w:rFonts w:ascii="Times New Roman" w:eastAsia="Times New Roman" w:hAnsi="Times New Roman" w:cs="Times New Roman"/>
                <w:color w:val="000000"/>
                <w:sz w:val="24"/>
                <w:szCs w:val="24"/>
                <w:lang w:val="en-US"/>
              </w:rPr>
              <w:t xml:space="preserve">, </w:t>
            </w:r>
            <w:r w:rsidRPr="00433261">
              <w:rPr>
                <w:rFonts w:ascii="Times New Roman" w:eastAsia="Times New Roman" w:hAnsi="Times New Roman" w:cs="Times New Roman"/>
                <w:color w:val="000000"/>
                <w:sz w:val="24"/>
                <w:szCs w:val="24"/>
                <w:lang w:val="en-US"/>
              </w:rPr>
              <w:t>mmol</w:t>
            </w:r>
            <w:r w:rsidRPr="000B22DF">
              <w:rPr>
                <w:rFonts w:ascii="Times New Roman" w:eastAsia="Times New Roman" w:hAnsi="Times New Roman" w:cs="Times New Roman"/>
                <w:color w:val="000000"/>
                <w:sz w:val="24"/>
                <w:szCs w:val="24"/>
                <w:lang w:val="en-US"/>
              </w:rPr>
              <w:t>/</w:t>
            </w:r>
            <w:r w:rsidRPr="00433261">
              <w:rPr>
                <w:rFonts w:ascii="Times New Roman" w:eastAsia="Times New Roman" w:hAnsi="Times New Roman" w:cs="Times New Roman"/>
                <w:color w:val="000000"/>
                <w:sz w:val="24"/>
                <w:szCs w:val="24"/>
                <w:lang w:val="en-US"/>
              </w:rPr>
              <w:t>l</w:t>
            </w:r>
          </w:p>
        </w:tc>
        <w:tc>
          <w:tcPr>
            <w:tcW w:w="1417" w:type="dxa"/>
            <w:tcBorders>
              <w:top w:val="nil"/>
              <w:left w:val="nil"/>
              <w:bottom w:val="single" w:sz="8" w:space="0" w:color="auto"/>
              <w:right w:val="single" w:sz="8" w:space="0" w:color="auto"/>
            </w:tcBorders>
            <w:shd w:val="clear" w:color="auto" w:fill="auto"/>
            <w:vAlign w:val="center"/>
          </w:tcPr>
          <w:p w:rsidR="000B22DF" w:rsidRPr="000B22DF" w:rsidRDefault="000B22DF" w:rsidP="000B22DF">
            <w:pPr>
              <w:spacing w:after="0" w:line="240" w:lineRule="auto"/>
              <w:jc w:val="center"/>
              <w:rPr>
                <w:rFonts w:ascii="Times New Roman" w:eastAsia="Times New Roman" w:hAnsi="Times New Roman" w:cs="Times New Roman"/>
                <w:color w:val="000000"/>
                <w:sz w:val="24"/>
                <w:szCs w:val="24"/>
                <w:lang w:val="en-US"/>
              </w:rPr>
            </w:pPr>
            <w:r w:rsidRPr="000B22DF">
              <w:rPr>
                <w:rFonts w:ascii="Times New Roman" w:eastAsia="Times New Roman" w:hAnsi="Times New Roman" w:cs="Times New Roman"/>
                <w:color w:val="000000"/>
                <w:sz w:val="24"/>
                <w:szCs w:val="24"/>
                <w:lang w:val="en-US"/>
              </w:rPr>
              <w:t>4,32±0,4*</w:t>
            </w:r>
          </w:p>
        </w:tc>
        <w:tc>
          <w:tcPr>
            <w:tcW w:w="1480" w:type="dxa"/>
            <w:tcBorders>
              <w:top w:val="nil"/>
              <w:left w:val="nil"/>
              <w:bottom w:val="single" w:sz="8" w:space="0" w:color="auto"/>
              <w:right w:val="single" w:sz="8" w:space="0" w:color="auto"/>
            </w:tcBorders>
            <w:shd w:val="clear" w:color="auto" w:fill="auto"/>
            <w:vAlign w:val="center"/>
          </w:tcPr>
          <w:p w:rsidR="000B22DF" w:rsidRPr="000B22DF" w:rsidRDefault="000B22DF" w:rsidP="000B22DF">
            <w:pPr>
              <w:spacing w:after="0" w:line="240" w:lineRule="auto"/>
              <w:jc w:val="center"/>
              <w:rPr>
                <w:rFonts w:ascii="Times New Roman" w:eastAsia="Times New Roman" w:hAnsi="Times New Roman" w:cs="Times New Roman"/>
                <w:color w:val="000000"/>
                <w:sz w:val="24"/>
                <w:szCs w:val="24"/>
                <w:lang w:val="en-US"/>
              </w:rPr>
            </w:pPr>
            <w:r w:rsidRPr="000B22DF">
              <w:rPr>
                <w:rFonts w:ascii="Times New Roman" w:eastAsia="Times New Roman" w:hAnsi="Times New Roman" w:cs="Times New Roman"/>
                <w:color w:val="000000"/>
                <w:sz w:val="24"/>
                <w:szCs w:val="24"/>
                <w:lang w:val="en-US"/>
              </w:rPr>
              <w:t>3,18±0,3</w:t>
            </w:r>
          </w:p>
        </w:tc>
        <w:tc>
          <w:tcPr>
            <w:tcW w:w="788" w:type="dxa"/>
            <w:tcBorders>
              <w:top w:val="nil"/>
              <w:left w:val="nil"/>
              <w:bottom w:val="single" w:sz="8" w:space="0" w:color="auto"/>
              <w:right w:val="single" w:sz="8" w:space="0" w:color="auto"/>
            </w:tcBorders>
            <w:shd w:val="clear" w:color="auto" w:fill="auto"/>
            <w:vAlign w:val="center"/>
          </w:tcPr>
          <w:p w:rsidR="000B22DF" w:rsidRPr="000B22DF" w:rsidRDefault="000B22DF" w:rsidP="000B22DF">
            <w:pPr>
              <w:spacing w:after="0" w:line="240" w:lineRule="auto"/>
              <w:jc w:val="center"/>
              <w:rPr>
                <w:rFonts w:ascii="Times New Roman" w:eastAsia="Times New Roman" w:hAnsi="Times New Roman" w:cs="Times New Roman"/>
                <w:color w:val="000000"/>
                <w:sz w:val="24"/>
                <w:szCs w:val="24"/>
                <w:lang w:val="en-US"/>
              </w:rPr>
            </w:pPr>
            <w:r w:rsidRPr="000B22DF">
              <w:rPr>
                <w:rFonts w:ascii="Times New Roman" w:eastAsia="Times New Roman" w:hAnsi="Times New Roman" w:cs="Times New Roman"/>
                <w:color w:val="000000"/>
                <w:sz w:val="24"/>
                <w:szCs w:val="24"/>
                <w:lang w:val="en-US"/>
              </w:rPr>
              <w:t>-26%</w:t>
            </w:r>
          </w:p>
        </w:tc>
        <w:tc>
          <w:tcPr>
            <w:tcW w:w="1418" w:type="dxa"/>
            <w:tcBorders>
              <w:top w:val="nil"/>
              <w:left w:val="nil"/>
              <w:bottom w:val="single" w:sz="8" w:space="0" w:color="auto"/>
              <w:right w:val="single" w:sz="8" w:space="0" w:color="auto"/>
            </w:tcBorders>
            <w:shd w:val="clear" w:color="auto" w:fill="auto"/>
            <w:vAlign w:val="center"/>
          </w:tcPr>
          <w:p w:rsidR="000B22DF" w:rsidRPr="000B22DF" w:rsidRDefault="000B22DF" w:rsidP="000B22DF">
            <w:pPr>
              <w:spacing w:after="0" w:line="240" w:lineRule="auto"/>
              <w:jc w:val="center"/>
              <w:rPr>
                <w:rFonts w:ascii="Times New Roman" w:eastAsia="Times New Roman" w:hAnsi="Times New Roman" w:cs="Times New Roman"/>
                <w:color w:val="000000"/>
                <w:sz w:val="24"/>
                <w:szCs w:val="24"/>
                <w:lang w:val="en-US"/>
              </w:rPr>
            </w:pPr>
            <w:r w:rsidRPr="000B22DF">
              <w:rPr>
                <w:rFonts w:ascii="Times New Roman" w:eastAsia="Times New Roman" w:hAnsi="Times New Roman" w:cs="Times New Roman"/>
                <w:color w:val="000000"/>
                <w:sz w:val="24"/>
                <w:szCs w:val="24"/>
                <w:lang w:val="en-US"/>
              </w:rPr>
              <w:t>5,14±0,3*</w:t>
            </w:r>
          </w:p>
        </w:tc>
        <w:tc>
          <w:tcPr>
            <w:tcW w:w="1480" w:type="dxa"/>
            <w:tcBorders>
              <w:top w:val="nil"/>
              <w:left w:val="nil"/>
              <w:bottom w:val="single" w:sz="8" w:space="0" w:color="auto"/>
              <w:right w:val="single" w:sz="8" w:space="0" w:color="auto"/>
            </w:tcBorders>
            <w:shd w:val="clear" w:color="auto" w:fill="auto"/>
            <w:vAlign w:val="center"/>
          </w:tcPr>
          <w:p w:rsidR="000B22DF" w:rsidRPr="000B22DF" w:rsidRDefault="000B22DF" w:rsidP="000B22DF">
            <w:pPr>
              <w:spacing w:after="0" w:line="240" w:lineRule="auto"/>
              <w:jc w:val="center"/>
              <w:rPr>
                <w:rFonts w:ascii="Times New Roman" w:eastAsia="Times New Roman" w:hAnsi="Times New Roman" w:cs="Times New Roman"/>
                <w:color w:val="000000"/>
                <w:sz w:val="24"/>
                <w:szCs w:val="24"/>
                <w:lang w:val="en-US"/>
              </w:rPr>
            </w:pPr>
            <w:r w:rsidRPr="000B22DF">
              <w:rPr>
                <w:rFonts w:ascii="Times New Roman" w:eastAsia="Times New Roman" w:hAnsi="Times New Roman" w:cs="Times New Roman"/>
                <w:color w:val="000000"/>
                <w:sz w:val="24"/>
                <w:szCs w:val="24"/>
                <w:lang w:val="en-US"/>
              </w:rPr>
              <w:t>3,68±0.2</w:t>
            </w:r>
            <w:r w:rsidRPr="000B22DF">
              <w:rPr>
                <w:rFonts w:ascii="Times New Roman" w:eastAsia="Times New Roman" w:hAnsi="Times New Roman" w:cs="Times New Roman"/>
                <w:i/>
                <w:iCs/>
                <w:color w:val="000000"/>
                <w:sz w:val="24"/>
                <w:szCs w:val="24"/>
                <w:lang w:val="en-US"/>
              </w:rPr>
              <w:t xml:space="preserve">** </w:t>
            </w:r>
          </w:p>
        </w:tc>
        <w:tc>
          <w:tcPr>
            <w:tcW w:w="788" w:type="dxa"/>
            <w:tcBorders>
              <w:top w:val="nil"/>
              <w:left w:val="nil"/>
              <w:bottom w:val="single" w:sz="8" w:space="0" w:color="auto"/>
              <w:right w:val="single" w:sz="8" w:space="0" w:color="auto"/>
            </w:tcBorders>
            <w:shd w:val="clear" w:color="auto" w:fill="auto"/>
            <w:vAlign w:val="center"/>
          </w:tcPr>
          <w:p w:rsidR="000B22DF" w:rsidRPr="000B22DF" w:rsidRDefault="000B22DF" w:rsidP="000B22DF">
            <w:pPr>
              <w:spacing w:after="0" w:line="240" w:lineRule="auto"/>
              <w:jc w:val="center"/>
              <w:rPr>
                <w:rFonts w:ascii="Times New Roman" w:eastAsia="Times New Roman" w:hAnsi="Times New Roman" w:cs="Times New Roman"/>
                <w:color w:val="000000"/>
                <w:sz w:val="24"/>
                <w:szCs w:val="24"/>
                <w:lang w:val="en-US"/>
              </w:rPr>
            </w:pPr>
            <w:r w:rsidRPr="000B22DF">
              <w:rPr>
                <w:rFonts w:ascii="Times New Roman" w:eastAsia="Times New Roman" w:hAnsi="Times New Roman" w:cs="Times New Roman"/>
                <w:color w:val="000000"/>
                <w:sz w:val="24"/>
                <w:szCs w:val="24"/>
                <w:lang w:val="en-US"/>
              </w:rPr>
              <w:t>-28%</w:t>
            </w:r>
          </w:p>
        </w:tc>
        <w:tc>
          <w:tcPr>
            <w:tcW w:w="1417" w:type="dxa"/>
            <w:tcBorders>
              <w:top w:val="nil"/>
              <w:left w:val="nil"/>
              <w:bottom w:val="single" w:sz="8" w:space="0" w:color="auto"/>
              <w:right w:val="single" w:sz="8" w:space="0" w:color="auto"/>
            </w:tcBorders>
            <w:shd w:val="clear" w:color="auto" w:fill="auto"/>
            <w:vAlign w:val="center"/>
          </w:tcPr>
          <w:p w:rsidR="000B22DF" w:rsidRPr="000B22DF" w:rsidRDefault="000B22DF" w:rsidP="000B22DF">
            <w:pPr>
              <w:spacing w:after="0" w:line="240" w:lineRule="auto"/>
              <w:jc w:val="center"/>
              <w:rPr>
                <w:rFonts w:ascii="Times New Roman" w:eastAsia="Times New Roman" w:hAnsi="Times New Roman" w:cs="Times New Roman"/>
                <w:color w:val="000000"/>
                <w:sz w:val="24"/>
                <w:szCs w:val="24"/>
                <w:lang w:val="en-US"/>
              </w:rPr>
            </w:pPr>
            <w:r w:rsidRPr="000B22DF">
              <w:rPr>
                <w:rFonts w:ascii="Times New Roman" w:eastAsia="Times New Roman" w:hAnsi="Times New Roman" w:cs="Times New Roman"/>
                <w:color w:val="000000"/>
                <w:sz w:val="24"/>
                <w:szCs w:val="24"/>
                <w:lang w:val="en-US"/>
              </w:rPr>
              <w:t>2,81±0,29</w:t>
            </w:r>
          </w:p>
        </w:tc>
      </w:tr>
      <w:tr w:rsidR="000B22DF" w:rsidRPr="000B22DF" w:rsidTr="00CB5F33">
        <w:trPr>
          <w:trHeight w:val="645"/>
          <w:jc w:val="center"/>
        </w:trPr>
        <w:tc>
          <w:tcPr>
            <w:tcW w:w="1433" w:type="dxa"/>
            <w:tcBorders>
              <w:top w:val="nil"/>
              <w:left w:val="single" w:sz="8" w:space="0" w:color="auto"/>
              <w:bottom w:val="single" w:sz="8" w:space="0" w:color="auto"/>
              <w:right w:val="single" w:sz="8" w:space="0" w:color="auto"/>
            </w:tcBorders>
            <w:shd w:val="clear" w:color="auto" w:fill="auto"/>
            <w:vAlign w:val="center"/>
          </w:tcPr>
          <w:p w:rsidR="000B22DF" w:rsidRPr="000B22DF" w:rsidRDefault="000B22DF" w:rsidP="000B22DF">
            <w:pPr>
              <w:spacing w:after="0" w:line="240" w:lineRule="auto"/>
              <w:rPr>
                <w:rFonts w:ascii="Times New Roman" w:eastAsia="Times New Roman" w:hAnsi="Times New Roman" w:cs="Times New Roman"/>
                <w:color w:val="000000"/>
                <w:sz w:val="24"/>
                <w:szCs w:val="24"/>
                <w:lang w:val="en-US"/>
              </w:rPr>
            </w:pPr>
            <w:r w:rsidRPr="00433261">
              <w:rPr>
                <w:rFonts w:ascii="Times New Roman" w:eastAsia="Times New Roman" w:hAnsi="Times New Roman" w:cs="Times New Roman"/>
                <w:color w:val="000000"/>
                <w:sz w:val="24"/>
                <w:szCs w:val="24"/>
                <w:lang w:val="en-US"/>
              </w:rPr>
              <w:t>VLDL</w:t>
            </w:r>
            <w:r w:rsidRPr="000B22DF">
              <w:rPr>
                <w:rFonts w:ascii="Times New Roman" w:eastAsia="Times New Roman" w:hAnsi="Times New Roman" w:cs="Times New Roman"/>
                <w:color w:val="000000"/>
                <w:sz w:val="24"/>
                <w:szCs w:val="24"/>
                <w:lang w:val="en-US"/>
              </w:rPr>
              <w:t xml:space="preserve">, </w:t>
            </w:r>
            <w:r w:rsidRPr="00433261">
              <w:rPr>
                <w:rFonts w:ascii="Times New Roman" w:eastAsia="Times New Roman" w:hAnsi="Times New Roman" w:cs="Times New Roman"/>
                <w:color w:val="000000"/>
                <w:sz w:val="24"/>
                <w:szCs w:val="24"/>
                <w:lang w:val="en-US"/>
              </w:rPr>
              <w:t>mmol</w:t>
            </w:r>
            <w:r w:rsidRPr="000B22DF">
              <w:rPr>
                <w:rFonts w:ascii="Times New Roman" w:eastAsia="Times New Roman" w:hAnsi="Times New Roman" w:cs="Times New Roman"/>
                <w:color w:val="000000"/>
                <w:sz w:val="24"/>
                <w:szCs w:val="24"/>
                <w:lang w:val="en-US"/>
              </w:rPr>
              <w:t>/</w:t>
            </w:r>
            <w:r w:rsidRPr="00433261">
              <w:rPr>
                <w:rFonts w:ascii="Times New Roman" w:eastAsia="Times New Roman" w:hAnsi="Times New Roman" w:cs="Times New Roman"/>
                <w:color w:val="000000"/>
                <w:sz w:val="24"/>
                <w:szCs w:val="24"/>
                <w:lang w:val="en-US"/>
              </w:rPr>
              <w:t>l</w:t>
            </w:r>
          </w:p>
        </w:tc>
        <w:tc>
          <w:tcPr>
            <w:tcW w:w="1417" w:type="dxa"/>
            <w:tcBorders>
              <w:top w:val="nil"/>
              <w:left w:val="nil"/>
              <w:bottom w:val="single" w:sz="8" w:space="0" w:color="auto"/>
              <w:right w:val="single" w:sz="8" w:space="0" w:color="auto"/>
            </w:tcBorders>
            <w:shd w:val="clear" w:color="auto" w:fill="auto"/>
            <w:vAlign w:val="center"/>
          </w:tcPr>
          <w:p w:rsidR="000B22DF" w:rsidRPr="000B22DF" w:rsidRDefault="000B22DF" w:rsidP="000B22DF">
            <w:pPr>
              <w:spacing w:after="0" w:line="240" w:lineRule="auto"/>
              <w:jc w:val="center"/>
              <w:rPr>
                <w:rFonts w:ascii="Times New Roman" w:eastAsia="Times New Roman" w:hAnsi="Times New Roman" w:cs="Times New Roman"/>
                <w:color w:val="000000"/>
                <w:sz w:val="24"/>
                <w:szCs w:val="24"/>
                <w:lang w:val="en-US"/>
              </w:rPr>
            </w:pPr>
            <w:r w:rsidRPr="000B22DF">
              <w:rPr>
                <w:rFonts w:ascii="Times New Roman" w:eastAsia="Times New Roman" w:hAnsi="Times New Roman" w:cs="Times New Roman"/>
                <w:color w:val="000000"/>
                <w:sz w:val="24"/>
                <w:szCs w:val="24"/>
                <w:lang w:val="en-US"/>
              </w:rPr>
              <w:t>1,08±0,14*</w:t>
            </w:r>
          </w:p>
        </w:tc>
        <w:tc>
          <w:tcPr>
            <w:tcW w:w="1480" w:type="dxa"/>
            <w:tcBorders>
              <w:top w:val="nil"/>
              <w:left w:val="nil"/>
              <w:bottom w:val="single" w:sz="8" w:space="0" w:color="auto"/>
              <w:right w:val="single" w:sz="8" w:space="0" w:color="auto"/>
            </w:tcBorders>
            <w:shd w:val="clear" w:color="auto" w:fill="auto"/>
            <w:vAlign w:val="center"/>
          </w:tcPr>
          <w:p w:rsidR="000B22DF" w:rsidRPr="000B22DF" w:rsidRDefault="000B22DF" w:rsidP="000B22DF">
            <w:pPr>
              <w:spacing w:after="0" w:line="240" w:lineRule="auto"/>
              <w:jc w:val="center"/>
              <w:rPr>
                <w:rFonts w:ascii="Times New Roman" w:eastAsia="Times New Roman" w:hAnsi="Times New Roman" w:cs="Times New Roman"/>
                <w:color w:val="000000"/>
                <w:sz w:val="24"/>
                <w:szCs w:val="24"/>
                <w:lang w:val="en-US"/>
              </w:rPr>
            </w:pPr>
            <w:r w:rsidRPr="000B22DF">
              <w:rPr>
                <w:rFonts w:ascii="Times New Roman" w:eastAsia="Times New Roman" w:hAnsi="Times New Roman" w:cs="Times New Roman"/>
                <w:color w:val="000000"/>
                <w:sz w:val="24"/>
                <w:szCs w:val="24"/>
                <w:lang w:val="en-US"/>
              </w:rPr>
              <w:t>0,95±0,14</w:t>
            </w:r>
          </w:p>
        </w:tc>
        <w:tc>
          <w:tcPr>
            <w:tcW w:w="788" w:type="dxa"/>
            <w:tcBorders>
              <w:top w:val="nil"/>
              <w:left w:val="nil"/>
              <w:bottom w:val="single" w:sz="8" w:space="0" w:color="auto"/>
              <w:right w:val="single" w:sz="8" w:space="0" w:color="auto"/>
            </w:tcBorders>
            <w:shd w:val="clear" w:color="auto" w:fill="auto"/>
            <w:vAlign w:val="center"/>
          </w:tcPr>
          <w:p w:rsidR="000B22DF" w:rsidRPr="000B22DF" w:rsidRDefault="000B22DF" w:rsidP="000B22DF">
            <w:pPr>
              <w:spacing w:after="0" w:line="240" w:lineRule="auto"/>
              <w:jc w:val="center"/>
              <w:rPr>
                <w:rFonts w:ascii="Times New Roman" w:eastAsia="Times New Roman" w:hAnsi="Times New Roman" w:cs="Times New Roman"/>
                <w:color w:val="000000"/>
                <w:sz w:val="24"/>
                <w:szCs w:val="24"/>
                <w:lang w:val="en-US"/>
              </w:rPr>
            </w:pPr>
            <w:r w:rsidRPr="000B22DF">
              <w:rPr>
                <w:rFonts w:ascii="Times New Roman" w:eastAsia="Times New Roman" w:hAnsi="Times New Roman" w:cs="Times New Roman"/>
                <w:color w:val="000000"/>
                <w:sz w:val="24"/>
                <w:szCs w:val="24"/>
                <w:lang w:val="en-US"/>
              </w:rPr>
              <w:t>-12%</w:t>
            </w:r>
          </w:p>
        </w:tc>
        <w:tc>
          <w:tcPr>
            <w:tcW w:w="1418" w:type="dxa"/>
            <w:tcBorders>
              <w:top w:val="nil"/>
              <w:left w:val="nil"/>
              <w:bottom w:val="single" w:sz="8" w:space="0" w:color="auto"/>
              <w:right w:val="single" w:sz="8" w:space="0" w:color="auto"/>
            </w:tcBorders>
            <w:shd w:val="clear" w:color="auto" w:fill="auto"/>
            <w:vAlign w:val="center"/>
          </w:tcPr>
          <w:p w:rsidR="000B22DF" w:rsidRPr="000B22DF" w:rsidRDefault="000B22DF" w:rsidP="000B22DF">
            <w:pPr>
              <w:spacing w:after="0" w:line="240" w:lineRule="auto"/>
              <w:jc w:val="center"/>
              <w:rPr>
                <w:rFonts w:ascii="Times New Roman" w:eastAsia="Times New Roman" w:hAnsi="Times New Roman" w:cs="Times New Roman"/>
                <w:color w:val="000000"/>
                <w:sz w:val="24"/>
                <w:szCs w:val="24"/>
                <w:lang w:val="en-US"/>
              </w:rPr>
            </w:pPr>
            <w:r w:rsidRPr="000B22DF">
              <w:rPr>
                <w:rFonts w:ascii="Times New Roman" w:eastAsia="Times New Roman" w:hAnsi="Times New Roman" w:cs="Times New Roman"/>
                <w:color w:val="000000"/>
                <w:sz w:val="24"/>
                <w:szCs w:val="24"/>
                <w:lang w:val="en-US"/>
              </w:rPr>
              <w:t>1,15±0,11*</w:t>
            </w:r>
          </w:p>
        </w:tc>
        <w:tc>
          <w:tcPr>
            <w:tcW w:w="1480" w:type="dxa"/>
            <w:tcBorders>
              <w:top w:val="nil"/>
              <w:left w:val="nil"/>
              <w:bottom w:val="single" w:sz="8" w:space="0" w:color="auto"/>
              <w:right w:val="single" w:sz="8" w:space="0" w:color="auto"/>
            </w:tcBorders>
            <w:shd w:val="clear" w:color="auto" w:fill="auto"/>
            <w:vAlign w:val="center"/>
          </w:tcPr>
          <w:p w:rsidR="000B22DF" w:rsidRPr="000B22DF" w:rsidRDefault="000B22DF" w:rsidP="000B22DF">
            <w:pPr>
              <w:spacing w:after="0" w:line="240" w:lineRule="auto"/>
              <w:jc w:val="center"/>
              <w:rPr>
                <w:rFonts w:ascii="Times New Roman" w:eastAsia="Times New Roman" w:hAnsi="Times New Roman" w:cs="Times New Roman"/>
                <w:color w:val="000000"/>
                <w:sz w:val="24"/>
                <w:szCs w:val="24"/>
                <w:lang w:val="en-US"/>
              </w:rPr>
            </w:pPr>
            <w:r w:rsidRPr="000B22DF">
              <w:rPr>
                <w:rFonts w:ascii="Times New Roman" w:eastAsia="Times New Roman" w:hAnsi="Times New Roman" w:cs="Times New Roman"/>
                <w:color w:val="000000"/>
                <w:sz w:val="24"/>
                <w:szCs w:val="24"/>
                <w:lang w:val="en-US"/>
              </w:rPr>
              <w:t>0,94±0,12</w:t>
            </w:r>
          </w:p>
        </w:tc>
        <w:tc>
          <w:tcPr>
            <w:tcW w:w="788" w:type="dxa"/>
            <w:tcBorders>
              <w:top w:val="nil"/>
              <w:left w:val="nil"/>
              <w:bottom w:val="single" w:sz="8" w:space="0" w:color="auto"/>
              <w:right w:val="single" w:sz="8" w:space="0" w:color="auto"/>
            </w:tcBorders>
            <w:shd w:val="clear" w:color="auto" w:fill="auto"/>
            <w:vAlign w:val="center"/>
          </w:tcPr>
          <w:p w:rsidR="000B22DF" w:rsidRPr="000B22DF" w:rsidRDefault="000B22DF" w:rsidP="000B22DF">
            <w:pPr>
              <w:spacing w:after="0" w:line="240" w:lineRule="auto"/>
              <w:jc w:val="center"/>
              <w:rPr>
                <w:rFonts w:ascii="Times New Roman" w:eastAsia="Times New Roman" w:hAnsi="Times New Roman" w:cs="Times New Roman"/>
                <w:color w:val="000000"/>
                <w:sz w:val="24"/>
                <w:szCs w:val="24"/>
                <w:lang w:val="en-US"/>
              </w:rPr>
            </w:pPr>
            <w:r w:rsidRPr="000B22DF">
              <w:rPr>
                <w:rFonts w:ascii="Times New Roman" w:eastAsia="Times New Roman" w:hAnsi="Times New Roman" w:cs="Times New Roman"/>
                <w:color w:val="000000"/>
                <w:sz w:val="24"/>
                <w:szCs w:val="24"/>
                <w:lang w:val="en-US"/>
              </w:rPr>
              <w:t>-19%</w:t>
            </w:r>
          </w:p>
        </w:tc>
        <w:tc>
          <w:tcPr>
            <w:tcW w:w="1417" w:type="dxa"/>
            <w:tcBorders>
              <w:top w:val="nil"/>
              <w:left w:val="nil"/>
              <w:bottom w:val="single" w:sz="8" w:space="0" w:color="auto"/>
              <w:right w:val="single" w:sz="8" w:space="0" w:color="auto"/>
            </w:tcBorders>
            <w:shd w:val="clear" w:color="auto" w:fill="auto"/>
            <w:vAlign w:val="center"/>
          </w:tcPr>
          <w:p w:rsidR="000B22DF" w:rsidRPr="000B22DF" w:rsidRDefault="000B22DF" w:rsidP="000B22DF">
            <w:pPr>
              <w:spacing w:after="0" w:line="240" w:lineRule="auto"/>
              <w:jc w:val="center"/>
              <w:rPr>
                <w:rFonts w:ascii="Times New Roman" w:eastAsia="Times New Roman" w:hAnsi="Times New Roman" w:cs="Times New Roman"/>
                <w:color w:val="000000"/>
                <w:sz w:val="24"/>
                <w:szCs w:val="24"/>
                <w:lang w:val="en-US"/>
              </w:rPr>
            </w:pPr>
            <w:r w:rsidRPr="000B22DF">
              <w:rPr>
                <w:rFonts w:ascii="Times New Roman" w:eastAsia="Times New Roman" w:hAnsi="Times New Roman" w:cs="Times New Roman"/>
                <w:color w:val="000000"/>
                <w:sz w:val="24"/>
                <w:szCs w:val="24"/>
                <w:lang w:val="en-US"/>
              </w:rPr>
              <w:t>0,65±0,06</w:t>
            </w:r>
          </w:p>
        </w:tc>
      </w:tr>
      <w:tr w:rsidR="000B22DF" w:rsidRPr="000B22DF" w:rsidTr="00CB5F33">
        <w:trPr>
          <w:trHeight w:val="330"/>
          <w:jc w:val="center"/>
        </w:trPr>
        <w:tc>
          <w:tcPr>
            <w:tcW w:w="1433" w:type="dxa"/>
            <w:tcBorders>
              <w:top w:val="nil"/>
              <w:left w:val="single" w:sz="8" w:space="0" w:color="auto"/>
              <w:bottom w:val="single" w:sz="8" w:space="0" w:color="auto"/>
              <w:right w:val="single" w:sz="8" w:space="0" w:color="auto"/>
            </w:tcBorders>
            <w:shd w:val="clear" w:color="auto" w:fill="auto"/>
            <w:vAlign w:val="center"/>
          </w:tcPr>
          <w:p w:rsidR="000B22DF" w:rsidRPr="000B22DF" w:rsidRDefault="00433261" w:rsidP="000B22DF">
            <w:pPr>
              <w:spacing w:after="0" w:line="240" w:lineRule="auto"/>
              <w:rPr>
                <w:rFonts w:ascii="Times New Roman" w:eastAsia="Times New Roman" w:hAnsi="Times New Roman" w:cs="Times New Roman"/>
                <w:color w:val="000000"/>
                <w:sz w:val="24"/>
                <w:szCs w:val="24"/>
                <w:lang w:val="en-US"/>
              </w:rPr>
            </w:pPr>
            <w:r w:rsidRPr="00433261">
              <w:rPr>
                <w:rFonts w:ascii="Times New Roman" w:eastAsia="Times New Roman" w:hAnsi="Times New Roman" w:cs="Times New Roman"/>
                <w:color w:val="000000"/>
                <w:sz w:val="24"/>
                <w:szCs w:val="24"/>
                <w:lang w:val="en-US"/>
              </w:rPr>
              <w:lastRenderedPageBreak/>
              <w:t>HDL</w:t>
            </w:r>
            <w:r w:rsidR="000B22DF" w:rsidRPr="000B22DF">
              <w:rPr>
                <w:rFonts w:ascii="Times New Roman" w:eastAsia="Times New Roman" w:hAnsi="Times New Roman" w:cs="Times New Roman"/>
                <w:color w:val="000000"/>
                <w:sz w:val="24"/>
                <w:szCs w:val="24"/>
                <w:lang w:val="en-US"/>
              </w:rPr>
              <w:t xml:space="preserve">, </w:t>
            </w:r>
            <w:r w:rsidRPr="00433261">
              <w:rPr>
                <w:rFonts w:ascii="Times New Roman" w:eastAsia="Times New Roman" w:hAnsi="Times New Roman" w:cs="Times New Roman"/>
                <w:color w:val="000000"/>
                <w:sz w:val="24"/>
                <w:szCs w:val="24"/>
                <w:lang w:val="en-US"/>
              </w:rPr>
              <w:t>mmol</w:t>
            </w:r>
            <w:r w:rsidRPr="000B22DF">
              <w:rPr>
                <w:rFonts w:ascii="Times New Roman" w:eastAsia="Times New Roman" w:hAnsi="Times New Roman" w:cs="Times New Roman"/>
                <w:color w:val="000000"/>
                <w:sz w:val="24"/>
                <w:szCs w:val="24"/>
                <w:lang w:val="en-US"/>
              </w:rPr>
              <w:t>/</w:t>
            </w:r>
            <w:r w:rsidRPr="00433261">
              <w:rPr>
                <w:rFonts w:ascii="Times New Roman" w:eastAsia="Times New Roman" w:hAnsi="Times New Roman" w:cs="Times New Roman"/>
                <w:color w:val="000000"/>
                <w:sz w:val="24"/>
                <w:szCs w:val="24"/>
                <w:lang w:val="en-US"/>
              </w:rPr>
              <w:t>l</w:t>
            </w:r>
          </w:p>
        </w:tc>
        <w:tc>
          <w:tcPr>
            <w:tcW w:w="1417" w:type="dxa"/>
            <w:tcBorders>
              <w:top w:val="nil"/>
              <w:left w:val="nil"/>
              <w:bottom w:val="single" w:sz="8" w:space="0" w:color="auto"/>
              <w:right w:val="single" w:sz="8" w:space="0" w:color="auto"/>
            </w:tcBorders>
            <w:shd w:val="clear" w:color="auto" w:fill="auto"/>
            <w:vAlign w:val="center"/>
          </w:tcPr>
          <w:p w:rsidR="000B22DF" w:rsidRPr="000B22DF" w:rsidRDefault="000B22DF" w:rsidP="000B22DF">
            <w:pPr>
              <w:spacing w:after="0" w:line="240" w:lineRule="auto"/>
              <w:jc w:val="center"/>
              <w:rPr>
                <w:rFonts w:ascii="Times New Roman" w:eastAsia="Times New Roman" w:hAnsi="Times New Roman" w:cs="Times New Roman"/>
                <w:color w:val="000000"/>
                <w:sz w:val="24"/>
                <w:szCs w:val="24"/>
                <w:lang w:val="en-US"/>
              </w:rPr>
            </w:pPr>
            <w:r w:rsidRPr="000B22DF">
              <w:rPr>
                <w:rFonts w:ascii="Times New Roman" w:eastAsia="Times New Roman" w:hAnsi="Times New Roman" w:cs="Times New Roman"/>
                <w:color w:val="000000"/>
                <w:sz w:val="24"/>
                <w:szCs w:val="24"/>
                <w:lang w:val="en-US"/>
              </w:rPr>
              <w:t xml:space="preserve">1,06±0,2* </w:t>
            </w:r>
          </w:p>
        </w:tc>
        <w:tc>
          <w:tcPr>
            <w:tcW w:w="1480" w:type="dxa"/>
            <w:tcBorders>
              <w:top w:val="nil"/>
              <w:left w:val="nil"/>
              <w:bottom w:val="single" w:sz="8" w:space="0" w:color="auto"/>
              <w:right w:val="single" w:sz="8" w:space="0" w:color="auto"/>
            </w:tcBorders>
            <w:shd w:val="clear" w:color="auto" w:fill="auto"/>
            <w:vAlign w:val="center"/>
          </w:tcPr>
          <w:p w:rsidR="000B22DF" w:rsidRPr="000B22DF" w:rsidRDefault="000B22DF" w:rsidP="000B22DF">
            <w:pPr>
              <w:spacing w:after="0" w:line="240" w:lineRule="auto"/>
              <w:jc w:val="center"/>
              <w:rPr>
                <w:rFonts w:ascii="Times New Roman" w:eastAsia="Times New Roman" w:hAnsi="Times New Roman" w:cs="Times New Roman"/>
                <w:color w:val="000000"/>
                <w:sz w:val="24"/>
                <w:szCs w:val="24"/>
                <w:lang w:val="en-US"/>
              </w:rPr>
            </w:pPr>
            <w:r w:rsidRPr="000B22DF">
              <w:rPr>
                <w:rFonts w:ascii="Times New Roman" w:eastAsia="Times New Roman" w:hAnsi="Times New Roman" w:cs="Times New Roman"/>
                <w:color w:val="000000"/>
                <w:sz w:val="24"/>
                <w:szCs w:val="24"/>
                <w:lang w:val="en-US"/>
              </w:rPr>
              <w:t>1,19±0,29</w:t>
            </w:r>
            <w:r w:rsidRPr="000B22DF">
              <w:rPr>
                <w:rFonts w:ascii="Times New Roman" w:eastAsia="Times New Roman" w:hAnsi="Times New Roman" w:cs="Times New Roman"/>
                <w:i/>
                <w:iCs/>
                <w:color w:val="000000"/>
                <w:sz w:val="24"/>
                <w:szCs w:val="24"/>
                <w:lang w:val="en-US"/>
              </w:rPr>
              <w:t>**</w:t>
            </w:r>
          </w:p>
        </w:tc>
        <w:tc>
          <w:tcPr>
            <w:tcW w:w="788" w:type="dxa"/>
            <w:tcBorders>
              <w:top w:val="nil"/>
              <w:left w:val="nil"/>
              <w:bottom w:val="single" w:sz="8" w:space="0" w:color="auto"/>
              <w:right w:val="single" w:sz="8" w:space="0" w:color="auto"/>
            </w:tcBorders>
            <w:shd w:val="clear" w:color="auto" w:fill="auto"/>
            <w:vAlign w:val="center"/>
          </w:tcPr>
          <w:p w:rsidR="000B22DF" w:rsidRPr="000B22DF" w:rsidRDefault="000B22DF" w:rsidP="000B22DF">
            <w:pPr>
              <w:spacing w:after="0" w:line="240" w:lineRule="auto"/>
              <w:jc w:val="center"/>
              <w:rPr>
                <w:rFonts w:ascii="Times New Roman" w:eastAsia="Times New Roman" w:hAnsi="Times New Roman" w:cs="Times New Roman"/>
                <w:color w:val="000000"/>
                <w:sz w:val="24"/>
                <w:szCs w:val="24"/>
                <w:lang w:val="en-US"/>
              </w:rPr>
            </w:pPr>
            <w:r w:rsidRPr="000B22DF">
              <w:rPr>
                <w:rFonts w:ascii="Times New Roman" w:eastAsia="Times New Roman" w:hAnsi="Times New Roman" w:cs="Times New Roman"/>
                <w:color w:val="000000"/>
                <w:sz w:val="24"/>
                <w:szCs w:val="24"/>
                <w:lang w:val="en-US"/>
              </w:rPr>
              <w:t>12%</w:t>
            </w:r>
          </w:p>
        </w:tc>
        <w:tc>
          <w:tcPr>
            <w:tcW w:w="1418" w:type="dxa"/>
            <w:tcBorders>
              <w:top w:val="nil"/>
              <w:left w:val="nil"/>
              <w:bottom w:val="single" w:sz="8" w:space="0" w:color="auto"/>
              <w:right w:val="single" w:sz="8" w:space="0" w:color="auto"/>
            </w:tcBorders>
            <w:shd w:val="clear" w:color="auto" w:fill="auto"/>
            <w:vAlign w:val="center"/>
          </w:tcPr>
          <w:p w:rsidR="000B22DF" w:rsidRPr="000B22DF" w:rsidRDefault="000B22DF" w:rsidP="000B22DF">
            <w:pPr>
              <w:spacing w:after="0" w:line="240" w:lineRule="auto"/>
              <w:jc w:val="center"/>
              <w:rPr>
                <w:rFonts w:ascii="Times New Roman" w:eastAsia="Times New Roman" w:hAnsi="Times New Roman" w:cs="Times New Roman"/>
                <w:color w:val="000000"/>
                <w:sz w:val="24"/>
                <w:szCs w:val="24"/>
                <w:lang w:val="en-US"/>
              </w:rPr>
            </w:pPr>
            <w:r w:rsidRPr="000B22DF">
              <w:rPr>
                <w:rFonts w:ascii="Times New Roman" w:eastAsia="Times New Roman" w:hAnsi="Times New Roman" w:cs="Times New Roman"/>
                <w:color w:val="000000"/>
                <w:sz w:val="24"/>
                <w:szCs w:val="24"/>
                <w:lang w:val="en-US"/>
              </w:rPr>
              <w:t>1,03±0,18</w:t>
            </w:r>
          </w:p>
        </w:tc>
        <w:tc>
          <w:tcPr>
            <w:tcW w:w="1480" w:type="dxa"/>
            <w:tcBorders>
              <w:top w:val="nil"/>
              <w:left w:val="nil"/>
              <w:bottom w:val="single" w:sz="8" w:space="0" w:color="auto"/>
              <w:right w:val="single" w:sz="8" w:space="0" w:color="auto"/>
            </w:tcBorders>
            <w:shd w:val="clear" w:color="auto" w:fill="auto"/>
            <w:vAlign w:val="center"/>
          </w:tcPr>
          <w:p w:rsidR="000B22DF" w:rsidRPr="000B22DF" w:rsidRDefault="000B22DF" w:rsidP="000B22DF">
            <w:pPr>
              <w:spacing w:after="0" w:line="240" w:lineRule="auto"/>
              <w:jc w:val="center"/>
              <w:rPr>
                <w:rFonts w:ascii="Times New Roman" w:eastAsia="Times New Roman" w:hAnsi="Times New Roman" w:cs="Times New Roman"/>
                <w:color w:val="000000"/>
                <w:sz w:val="24"/>
                <w:szCs w:val="24"/>
                <w:lang w:val="en-US"/>
              </w:rPr>
            </w:pPr>
            <w:r w:rsidRPr="000B22DF">
              <w:rPr>
                <w:rFonts w:ascii="Times New Roman" w:eastAsia="Times New Roman" w:hAnsi="Times New Roman" w:cs="Times New Roman"/>
                <w:color w:val="000000"/>
                <w:sz w:val="24"/>
                <w:szCs w:val="24"/>
                <w:lang w:val="en-US"/>
              </w:rPr>
              <w:t>1,18±0,09</w:t>
            </w:r>
            <w:r w:rsidRPr="000B22DF">
              <w:rPr>
                <w:rFonts w:ascii="Times New Roman" w:eastAsia="Times New Roman" w:hAnsi="Times New Roman" w:cs="Times New Roman"/>
                <w:i/>
                <w:iCs/>
                <w:color w:val="000000"/>
                <w:sz w:val="24"/>
                <w:szCs w:val="24"/>
                <w:lang w:val="en-US"/>
              </w:rPr>
              <w:t xml:space="preserve">** </w:t>
            </w:r>
          </w:p>
        </w:tc>
        <w:tc>
          <w:tcPr>
            <w:tcW w:w="788" w:type="dxa"/>
            <w:tcBorders>
              <w:top w:val="nil"/>
              <w:left w:val="nil"/>
              <w:bottom w:val="single" w:sz="8" w:space="0" w:color="auto"/>
              <w:right w:val="single" w:sz="8" w:space="0" w:color="auto"/>
            </w:tcBorders>
            <w:shd w:val="clear" w:color="auto" w:fill="auto"/>
            <w:vAlign w:val="center"/>
          </w:tcPr>
          <w:p w:rsidR="000B22DF" w:rsidRPr="000B22DF" w:rsidRDefault="000B22DF" w:rsidP="000B22DF">
            <w:pPr>
              <w:spacing w:after="0" w:line="240" w:lineRule="auto"/>
              <w:jc w:val="center"/>
              <w:rPr>
                <w:rFonts w:ascii="Times New Roman" w:eastAsia="Times New Roman" w:hAnsi="Times New Roman" w:cs="Times New Roman"/>
                <w:color w:val="000000"/>
                <w:sz w:val="24"/>
                <w:szCs w:val="24"/>
                <w:lang w:val="en-US"/>
              </w:rPr>
            </w:pPr>
            <w:r w:rsidRPr="000B22DF">
              <w:rPr>
                <w:rFonts w:ascii="Times New Roman" w:eastAsia="Times New Roman" w:hAnsi="Times New Roman" w:cs="Times New Roman"/>
                <w:color w:val="000000"/>
                <w:sz w:val="24"/>
                <w:szCs w:val="24"/>
                <w:lang w:val="en-US"/>
              </w:rPr>
              <w:t>15%</w:t>
            </w:r>
          </w:p>
        </w:tc>
        <w:tc>
          <w:tcPr>
            <w:tcW w:w="1417" w:type="dxa"/>
            <w:tcBorders>
              <w:top w:val="nil"/>
              <w:left w:val="nil"/>
              <w:bottom w:val="single" w:sz="8" w:space="0" w:color="auto"/>
              <w:right w:val="single" w:sz="8" w:space="0" w:color="auto"/>
            </w:tcBorders>
            <w:shd w:val="clear" w:color="auto" w:fill="auto"/>
            <w:vAlign w:val="center"/>
          </w:tcPr>
          <w:p w:rsidR="000B22DF" w:rsidRPr="000B22DF" w:rsidRDefault="000B22DF" w:rsidP="000B22DF">
            <w:pPr>
              <w:spacing w:after="0" w:line="240" w:lineRule="auto"/>
              <w:jc w:val="center"/>
              <w:rPr>
                <w:rFonts w:ascii="Times New Roman" w:eastAsia="Times New Roman" w:hAnsi="Times New Roman" w:cs="Times New Roman"/>
                <w:color w:val="000000"/>
                <w:sz w:val="24"/>
                <w:szCs w:val="24"/>
                <w:lang w:val="en-US"/>
              </w:rPr>
            </w:pPr>
            <w:r w:rsidRPr="000B22DF">
              <w:rPr>
                <w:rFonts w:ascii="Times New Roman" w:eastAsia="Times New Roman" w:hAnsi="Times New Roman" w:cs="Times New Roman"/>
                <w:color w:val="000000"/>
                <w:sz w:val="24"/>
                <w:szCs w:val="24"/>
                <w:lang w:val="en-US"/>
              </w:rPr>
              <w:t>1,34±0,07</w:t>
            </w:r>
          </w:p>
        </w:tc>
      </w:tr>
      <w:tr w:rsidR="000B22DF" w:rsidRPr="000B22DF" w:rsidTr="00CB5F33">
        <w:trPr>
          <w:trHeight w:val="330"/>
          <w:jc w:val="center"/>
        </w:trPr>
        <w:tc>
          <w:tcPr>
            <w:tcW w:w="1433" w:type="dxa"/>
            <w:tcBorders>
              <w:top w:val="nil"/>
              <w:left w:val="single" w:sz="8" w:space="0" w:color="auto"/>
              <w:bottom w:val="single" w:sz="8" w:space="0" w:color="auto"/>
              <w:right w:val="single" w:sz="8" w:space="0" w:color="auto"/>
            </w:tcBorders>
            <w:shd w:val="clear" w:color="000000" w:fill="D9D9D9"/>
            <w:vAlign w:val="center"/>
          </w:tcPr>
          <w:p w:rsidR="000B22DF" w:rsidRPr="000B22DF" w:rsidRDefault="000B22DF" w:rsidP="000B22DF">
            <w:pPr>
              <w:spacing w:after="0" w:line="240" w:lineRule="auto"/>
              <w:rPr>
                <w:rFonts w:ascii="Times New Roman" w:eastAsia="Times New Roman" w:hAnsi="Times New Roman" w:cs="Times New Roman"/>
                <w:b/>
                <w:bCs/>
                <w:color w:val="000000"/>
                <w:sz w:val="24"/>
                <w:szCs w:val="24"/>
                <w:lang w:val="en-US"/>
              </w:rPr>
            </w:pPr>
            <w:r w:rsidRPr="000B22DF">
              <w:rPr>
                <w:rFonts w:ascii="Times New Roman" w:eastAsia="Times New Roman" w:hAnsi="Times New Roman" w:cs="Times New Roman"/>
                <w:b/>
                <w:bCs/>
                <w:color w:val="000000"/>
                <w:sz w:val="24"/>
                <w:szCs w:val="24"/>
                <w:lang w:val="en-US"/>
              </w:rPr>
              <w:t>ІА</w:t>
            </w:r>
          </w:p>
        </w:tc>
        <w:tc>
          <w:tcPr>
            <w:tcW w:w="1417" w:type="dxa"/>
            <w:tcBorders>
              <w:top w:val="nil"/>
              <w:left w:val="nil"/>
              <w:bottom w:val="single" w:sz="8" w:space="0" w:color="auto"/>
              <w:right w:val="single" w:sz="8" w:space="0" w:color="auto"/>
            </w:tcBorders>
            <w:shd w:val="clear" w:color="000000" w:fill="D9D9D9"/>
            <w:noWrap/>
            <w:vAlign w:val="bottom"/>
          </w:tcPr>
          <w:p w:rsidR="000B22DF" w:rsidRPr="000B22DF" w:rsidRDefault="000B22DF" w:rsidP="000B22DF">
            <w:pPr>
              <w:spacing w:after="0" w:line="240" w:lineRule="auto"/>
              <w:jc w:val="center"/>
              <w:rPr>
                <w:rFonts w:ascii="Times New Roman" w:eastAsia="Times New Roman" w:hAnsi="Times New Roman" w:cs="Times New Roman"/>
                <w:b/>
                <w:bCs/>
                <w:color w:val="000000"/>
                <w:sz w:val="24"/>
                <w:szCs w:val="24"/>
                <w:lang w:val="en-US"/>
              </w:rPr>
            </w:pPr>
            <w:r w:rsidRPr="000B22DF">
              <w:rPr>
                <w:rFonts w:ascii="Times New Roman" w:eastAsia="Times New Roman" w:hAnsi="Times New Roman" w:cs="Times New Roman"/>
                <w:b/>
                <w:bCs/>
                <w:color w:val="000000"/>
                <w:sz w:val="24"/>
                <w:szCs w:val="24"/>
                <w:lang w:val="en-US"/>
              </w:rPr>
              <w:t>5,09</w:t>
            </w:r>
          </w:p>
        </w:tc>
        <w:tc>
          <w:tcPr>
            <w:tcW w:w="1480" w:type="dxa"/>
            <w:tcBorders>
              <w:top w:val="nil"/>
              <w:left w:val="nil"/>
              <w:bottom w:val="single" w:sz="8" w:space="0" w:color="auto"/>
              <w:right w:val="single" w:sz="8" w:space="0" w:color="auto"/>
            </w:tcBorders>
            <w:shd w:val="clear" w:color="000000" w:fill="D9D9D9"/>
            <w:noWrap/>
            <w:vAlign w:val="bottom"/>
          </w:tcPr>
          <w:p w:rsidR="000B22DF" w:rsidRPr="000B22DF" w:rsidRDefault="000B22DF" w:rsidP="000B22DF">
            <w:pPr>
              <w:spacing w:after="0" w:line="240" w:lineRule="auto"/>
              <w:jc w:val="center"/>
              <w:rPr>
                <w:rFonts w:ascii="Times New Roman" w:eastAsia="Times New Roman" w:hAnsi="Times New Roman" w:cs="Times New Roman"/>
                <w:b/>
                <w:bCs/>
                <w:color w:val="000000"/>
                <w:sz w:val="24"/>
                <w:szCs w:val="24"/>
                <w:lang w:val="en-US"/>
              </w:rPr>
            </w:pPr>
            <w:r w:rsidRPr="000B22DF">
              <w:rPr>
                <w:rFonts w:ascii="Times New Roman" w:eastAsia="Times New Roman" w:hAnsi="Times New Roman" w:cs="Times New Roman"/>
                <w:b/>
                <w:bCs/>
                <w:color w:val="000000"/>
                <w:sz w:val="24"/>
                <w:szCs w:val="24"/>
                <w:lang w:val="en-US"/>
              </w:rPr>
              <w:t>3,47</w:t>
            </w:r>
          </w:p>
        </w:tc>
        <w:tc>
          <w:tcPr>
            <w:tcW w:w="788" w:type="dxa"/>
            <w:tcBorders>
              <w:top w:val="nil"/>
              <w:left w:val="nil"/>
              <w:bottom w:val="single" w:sz="8" w:space="0" w:color="auto"/>
              <w:right w:val="single" w:sz="8" w:space="0" w:color="auto"/>
            </w:tcBorders>
            <w:shd w:val="clear" w:color="000000" w:fill="D9D9D9"/>
            <w:vAlign w:val="center"/>
          </w:tcPr>
          <w:p w:rsidR="000B22DF" w:rsidRPr="000B22DF" w:rsidRDefault="000B22DF" w:rsidP="000B22DF">
            <w:pPr>
              <w:spacing w:after="0" w:line="240" w:lineRule="auto"/>
              <w:jc w:val="center"/>
              <w:rPr>
                <w:rFonts w:ascii="Times New Roman" w:eastAsia="Times New Roman" w:hAnsi="Times New Roman" w:cs="Times New Roman"/>
                <w:b/>
                <w:bCs/>
                <w:color w:val="000000"/>
                <w:sz w:val="24"/>
                <w:szCs w:val="24"/>
                <w:lang w:val="en-US"/>
              </w:rPr>
            </w:pPr>
            <w:r w:rsidRPr="000B22DF">
              <w:rPr>
                <w:rFonts w:ascii="Times New Roman" w:eastAsia="Times New Roman" w:hAnsi="Times New Roman" w:cs="Times New Roman"/>
                <w:b/>
                <w:bCs/>
                <w:color w:val="000000"/>
                <w:sz w:val="24"/>
                <w:szCs w:val="24"/>
                <w:lang w:val="en-US"/>
              </w:rPr>
              <w:t>-32%</w:t>
            </w:r>
          </w:p>
        </w:tc>
        <w:tc>
          <w:tcPr>
            <w:tcW w:w="1418" w:type="dxa"/>
            <w:tcBorders>
              <w:top w:val="nil"/>
              <w:left w:val="nil"/>
              <w:bottom w:val="single" w:sz="8" w:space="0" w:color="auto"/>
              <w:right w:val="single" w:sz="8" w:space="0" w:color="auto"/>
            </w:tcBorders>
            <w:shd w:val="clear" w:color="000000" w:fill="D9D9D9"/>
            <w:noWrap/>
            <w:vAlign w:val="bottom"/>
          </w:tcPr>
          <w:p w:rsidR="000B22DF" w:rsidRPr="000B22DF" w:rsidRDefault="000B22DF" w:rsidP="000B22DF">
            <w:pPr>
              <w:spacing w:after="0" w:line="240" w:lineRule="auto"/>
              <w:jc w:val="center"/>
              <w:rPr>
                <w:rFonts w:ascii="Times New Roman" w:eastAsia="Times New Roman" w:hAnsi="Times New Roman" w:cs="Times New Roman"/>
                <w:b/>
                <w:bCs/>
                <w:color w:val="000000"/>
                <w:sz w:val="24"/>
                <w:szCs w:val="24"/>
                <w:lang w:val="en-US"/>
              </w:rPr>
            </w:pPr>
            <w:r w:rsidRPr="000B22DF">
              <w:rPr>
                <w:rFonts w:ascii="Times New Roman" w:eastAsia="Times New Roman" w:hAnsi="Times New Roman" w:cs="Times New Roman"/>
                <w:b/>
                <w:bCs/>
                <w:color w:val="000000"/>
                <w:sz w:val="24"/>
                <w:szCs w:val="24"/>
                <w:lang w:val="en-US"/>
              </w:rPr>
              <w:t>6,11</w:t>
            </w:r>
          </w:p>
        </w:tc>
        <w:tc>
          <w:tcPr>
            <w:tcW w:w="1480" w:type="dxa"/>
            <w:tcBorders>
              <w:top w:val="nil"/>
              <w:left w:val="nil"/>
              <w:bottom w:val="single" w:sz="8" w:space="0" w:color="auto"/>
              <w:right w:val="single" w:sz="8" w:space="0" w:color="auto"/>
            </w:tcBorders>
            <w:shd w:val="clear" w:color="000000" w:fill="D9D9D9"/>
            <w:noWrap/>
            <w:vAlign w:val="bottom"/>
          </w:tcPr>
          <w:p w:rsidR="000B22DF" w:rsidRPr="000B22DF" w:rsidRDefault="000B22DF" w:rsidP="000B22DF">
            <w:pPr>
              <w:spacing w:after="0" w:line="240" w:lineRule="auto"/>
              <w:jc w:val="center"/>
              <w:rPr>
                <w:rFonts w:ascii="Times New Roman" w:eastAsia="Times New Roman" w:hAnsi="Times New Roman" w:cs="Times New Roman"/>
                <w:b/>
                <w:bCs/>
                <w:color w:val="000000"/>
                <w:sz w:val="24"/>
                <w:szCs w:val="24"/>
                <w:lang w:val="en-US"/>
              </w:rPr>
            </w:pPr>
            <w:r w:rsidRPr="000B22DF">
              <w:rPr>
                <w:rFonts w:ascii="Times New Roman" w:eastAsia="Times New Roman" w:hAnsi="Times New Roman" w:cs="Times New Roman"/>
                <w:b/>
                <w:bCs/>
                <w:color w:val="000000"/>
                <w:sz w:val="24"/>
                <w:szCs w:val="24"/>
                <w:lang w:val="en-US"/>
              </w:rPr>
              <w:t>3,92</w:t>
            </w:r>
          </w:p>
        </w:tc>
        <w:tc>
          <w:tcPr>
            <w:tcW w:w="788" w:type="dxa"/>
            <w:tcBorders>
              <w:top w:val="nil"/>
              <w:left w:val="nil"/>
              <w:bottom w:val="single" w:sz="8" w:space="0" w:color="auto"/>
              <w:right w:val="single" w:sz="8" w:space="0" w:color="auto"/>
            </w:tcBorders>
            <w:shd w:val="clear" w:color="000000" w:fill="D9D9D9"/>
            <w:vAlign w:val="center"/>
          </w:tcPr>
          <w:p w:rsidR="000B22DF" w:rsidRPr="000B22DF" w:rsidRDefault="000B22DF" w:rsidP="000B22DF">
            <w:pPr>
              <w:spacing w:after="0" w:line="240" w:lineRule="auto"/>
              <w:jc w:val="center"/>
              <w:rPr>
                <w:rFonts w:ascii="Times New Roman" w:eastAsia="Times New Roman" w:hAnsi="Times New Roman" w:cs="Times New Roman"/>
                <w:b/>
                <w:bCs/>
                <w:color w:val="000000"/>
                <w:sz w:val="24"/>
                <w:szCs w:val="24"/>
                <w:lang w:val="en-US"/>
              </w:rPr>
            </w:pPr>
            <w:r w:rsidRPr="000B22DF">
              <w:rPr>
                <w:rFonts w:ascii="Times New Roman" w:eastAsia="Times New Roman" w:hAnsi="Times New Roman" w:cs="Times New Roman"/>
                <w:b/>
                <w:bCs/>
                <w:color w:val="000000"/>
                <w:sz w:val="24"/>
                <w:szCs w:val="24"/>
                <w:lang w:val="en-US"/>
              </w:rPr>
              <w:t>-36%</w:t>
            </w:r>
          </w:p>
        </w:tc>
        <w:tc>
          <w:tcPr>
            <w:tcW w:w="1417" w:type="dxa"/>
            <w:tcBorders>
              <w:top w:val="nil"/>
              <w:left w:val="nil"/>
              <w:bottom w:val="single" w:sz="8" w:space="0" w:color="auto"/>
              <w:right w:val="single" w:sz="8" w:space="0" w:color="auto"/>
            </w:tcBorders>
            <w:shd w:val="clear" w:color="000000" w:fill="D9D9D9"/>
            <w:noWrap/>
            <w:vAlign w:val="bottom"/>
          </w:tcPr>
          <w:p w:rsidR="000B22DF" w:rsidRPr="000B22DF" w:rsidRDefault="000B22DF" w:rsidP="000B22DF">
            <w:pPr>
              <w:spacing w:after="0" w:line="240" w:lineRule="auto"/>
              <w:jc w:val="center"/>
              <w:rPr>
                <w:rFonts w:ascii="Times New Roman" w:eastAsia="Times New Roman" w:hAnsi="Times New Roman" w:cs="Times New Roman"/>
                <w:b/>
                <w:bCs/>
                <w:color w:val="000000"/>
                <w:sz w:val="24"/>
                <w:szCs w:val="24"/>
                <w:lang w:val="en-US"/>
              </w:rPr>
            </w:pPr>
            <w:r w:rsidRPr="000B22DF">
              <w:rPr>
                <w:rFonts w:ascii="Times New Roman" w:eastAsia="Times New Roman" w:hAnsi="Times New Roman" w:cs="Times New Roman"/>
                <w:b/>
                <w:bCs/>
                <w:color w:val="000000"/>
                <w:sz w:val="24"/>
                <w:szCs w:val="24"/>
                <w:lang w:val="en-US"/>
              </w:rPr>
              <w:t>2,58</w:t>
            </w:r>
          </w:p>
        </w:tc>
      </w:tr>
    </w:tbl>
    <w:p w:rsidR="00037E6B" w:rsidRPr="00433261" w:rsidRDefault="00037E6B" w:rsidP="00037E6B">
      <w:pPr>
        <w:shd w:val="clear" w:color="auto" w:fill="FFFFFF"/>
        <w:spacing w:after="0" w:line="360" w:lineRule="atLeast"/>
        <w:jc w:val="both"/>
        <w:rPr>
          <w:rFonts w:ascii="Times New Roman" w:eastAsia="Times New Roman" w:hAnsi="Times New Roman" w:cs="Times New Roman"/>
          <w:color w:val="000000"/>
          <w:sz w:val="24"/>
          <w:szCs w:val="24"/>
          <w:lang w:val="en-US"/>
        </w:rPr>
      </w:pPr>
      <w:r w:rsidRPr="00433261">
        <w:rPr>
          <w:rFonts w:ascii="Times New Roman" w:eastAsia="Times New Roman" w:hAnsi="Times New Roman" w:cs="Times New Roman"/>
          <w:i/>
          <w:iCs/>
          <w:color w:val="000000"/>
          <w:sz w:val="24"/>
          <w:szCs w:val="24"/>
          <w:lang w:val="en-US"/>
        </w:rPr>
        <w:t>Note</w:t>
      </w:r>
      <w:r w:rsidR="00A1558C" w:rsidRPr="00433261">
        <w:rPr>
          <w:rFonts w:ascii="Times New Roman" w:eastAsia="Times New Roman" w:hAnsi="Times New Roman" w:cs="Times New Roman"/>
          <w:i/>
          <w:iCs/>
          <w:color w:val="000000"/>
          <w:sz w:val="24"/>
          <w:szCs w:val="24"/>
          <w:lang w:val="en-US"/>
        </w:rPr>
        <w:t>:</w:t>
      </w:r>
      <w:r w:rsidRPr="00433261">
        <w:rPr>
          <w:rFonts w:ascii="Times New Roman" w:eastAsia="Times New Roman" w:hAnsi="Times New Roman" w:cs="Times New Roman"/>
          <w:color w:val="000000"/>
          <w:sz w:val="24"/>
          <w:szCs w:val="24"/>
          <w:lang w:val="en-US"/>
        </w:rPr>
        <w:t xml:space="preserve"> *</w:t>
      </w:r>
      <w:r w:rsidR="00A1558C" w:rsidRPr="00433261">
        <w:rPr>
          <w:rFonts w:ascii="Times New Roman" w:eastAsia="Times New Roman" w:hAnsi="Times New Roman" w:cs="Times New Roman"/>
          <w:color w:val="000000"/>
          <w:sz w:val="24"/>
          <w:szCs w:val="24"/>
          <w:lang w:val="en-US"/>
        </w:rPr>
        <w:t xml:space="preserve"> — </w:t>
      </w:r>
      <w:r w:rsidR="00433261" w:rsidRPr="00433261">
        <w:rPr>
          <w:rFonts w:ascii="Times New Roman" w:eastAsia="Times New Roman" w:hAnsi="Times New Roman" w:cs="Times New Roman"/>
          <w:i/>
          <w:iCs/>
          <w:color w:val="000000"/>
          <w:sz w:val="24"/>
          <w:szCs w:val="24"/>
          <w:lang w:val="en-US"/>
        </w:rPr>
        <w:t>the indices of patients with respect to practically healthy differ significantly (p &lt;0.05);</w:t>
      </w:r>
    </w:p>
    <w:p w:rsidR="00037E6B" w:rsidRPr="00433261" w:rsidRDefault="00037E6B" w:rsidP="00037E6B">
      <w:pPr>
        <w:spacing w:after="0" w:line="360" w:lineRule="atLeast"/>
        <w:jc w:val="both"/>
        <w:rPr>
          <w:rFonts w:ascii="Times New Roman" w:eastAsia="Times New Roman" w:hAnsi="Times New Roman" w:cs="Times New Roman"/>
          <w:color w:val="000000"/>
          <w:sz w:val="24"/>
          <w:szCs w:val="24"/>
          <w:lang w:val="en-US"/>
        </w:rPr>
      </w:pPr>
      <w:r w:rsidRPr="00433261">
        <w:rPr>
          <w:rFonts w:ascii="Times New Roman" w:eastAsia="Times New Roman" w:hAnsi="Times New Roman" w:cs="Times New Roman"/>
          <w:i/>
          <w:iCs/>
          <w:color w:val="000000"/>
          <w:sz w:val="24"/>
          <w:szCs w:val="24"/>
          <w:lang w:val="en-US"/>
        </w:rPr>
        <w:t>**</w:t>
      </w:r>
      <w:r w:rsidR="00A1558C" w:rsidRPr="00433261">
        <w:rPr>
          <w:rFonts w:ascii="Times New Roman" w:eastAsia="Times New Roman" w:hAnsi="Times New Roman" w:cs="Times New Roman"/>
          <w:i/>
          <w:iCs/>
          <w:color w:val="000000"/>
          <w:sz w:val="24"/>
          <w:szCs w:val="24"/>
          <w:lang w:val="en-US"/>
        </w:rPr>
        <w:t xml:space="preserve"> — </w:t>
      </w:r>
      <w:r w:rsidR="00433261" w:rsidRPr="00433261">
        <w:rPr>
          <w:rFonts w:ascii="Times New Roman" w:eastAsia="Times New Roman" w:hAnsi="Times New Roman" w:cs="Times New Roman"/>
          <w:i/>
          <w:iCs/>
          <w:color w:val="000000"/>
          <w:sz w:val="24"/>
          <w:szCs w:val="24"/>
          <w:lang w:val="en-US"/>
        </w:rPr>
        <w:t xml:space="preserve">the probability of difference (p &lt;0.05) compared with the indexes of patients after treatment </w:t>
      </w:r>
      <w:r w:rsidRPr="00433261">
        <w:rPr>
          <w:rFonts w:ascii="Times New Roman" w:eastAsia="Times New Roman" w:hAnsi="Times New Roman" w:cs="Times New Roman"/>
          <w:color w:val="000000"/>
          <w:sz w:val="24"/>
          <w:szCs w:val="24"/>
          <w:lang w:val="en-US"/>
        </w:rPr>
        <w:t>Δ,</w:t>
      </w:r>
      <w:r w:rsidR="00CB5F33">
        <w:rPr>
          <w:rFonts w:ascii="Times New Roman" w:eastAsia="Times New Roman" w:hAnsi="Times New Roman" w:cs="Times New Roman"/>
          <w:color w:val="000000"/>
          <w:sz w:val="24"/>
          <w:szCs w:val="24"/>
          <w:lang w:val="en-US"/>
        </w:rPr>
        <w:t xml:space="preserve"> </w:t>
      </w:r>
      <w:r w:rsidRPr="00433261">
        <w:rPr>
          <w:rFonts w:ascii="Times New Roman" w:eastAsia="Times New Roman" w:hAnsi="Times New Roman" w:cs="Times New Roman"/>
          <w:color w:val="000000"/>
          <w:sz w:val="24"/>
          <w:szCs w:val="24"/>
          <w:lang w:val="en-US"/>
        </w:rPr>
        <w:t>%</w:t>
      </w:r>
    </w:p>
    <w:p w:rsidR="00CB5F33" w:rsidRDefault="00CB5F33" w:rsidP="00037E6B">
      <w:pPr>
        <w:spacing w:after="0" w:line="420" w:lineRule="atLeast"/>
        <w:ind w:firstLine="709"/>
        <w:jc w:val="both"/>
        <w:rPr>
          <w:rFonts w:ascii="Times New Roman" w:eastAsia="Times New Roman" w:hAnsi="Times New Roman" w:cs="Times New Roman"/>
          <w:color w:val="000000"/>
          <w:sz w:val="28"/>
          <w:szCs w:val="28"/>
          <w:lang w:val="en-US"/>
        </w:rPr>
      </w:pPr>
    </w:p>
    <w:p w:rsidR="00037E6B" w:rsidRPr="00433261" w:rsidRDefault="00433261" w:rsidP="00037E6B">
      <w:pPr>
        <w:spacing w:after="0" w:line="420" w:lineRule="atLeast"/>
        <w:ind w:firstLine="709"/>
        <w:jc w:val="both"/>
        <w:rPr>
          <w:rFonts w:ascii="Times New Roman" w:eastAsia="Times New Roman" w:hAnsi="Times New Roman" w:cs="Times New Roman"/>
          <w:color w:val="000000"/>
          <w:sz w:val="28"/>
          <w:szCs w:val="28"/>
          <w:lang w:val="en-US"/>
        </w:rPr>
      </w:pPr>
      <w:r w:rsidRPr="00433261">
        <w:rPr>
          <w:rFonts w:ascii="Times New Roman" w:eastAsia="Times New Roman" w:hAnsi="Times New Roman" w:cs="Times New Roman"/>
          <w:color w:val="000000"/>
          <w:sz w:val="28"/>
          <w:szCs w:val="28"/>
          <w:lang w:val="en-US"/>
        </w:rPr>
        <w:t>Prior to the appointment of Phytostatemin, all patients had (significantly&gt; &lt;0.05) elevated HRH, LDL cholesterol, LDL cholesterol and TG (Fig. 1).</w:t>
      </w:r>
    </w:p>
    <w:p w:rsidR="00037E6B" w:rsidRPr="00433261" w:rsidRDefault="00037E6B" w:rsidP="00037E6B">
      <w:pPr>
        <w:spacing w:after="0" w:line="420" w:lineRule="atLeast"/>
        <w:jc w:val="both"/>
        <w:rPr>
          <w:rFonts w:ascii="Times New Roman" w:eastAsia="Times New Roman" w:hAnsi="Times New Roman" w:cs="Times New Roman"/>
          <w:color w:val="000000"/>
          <w:sz w:val="28"/>
          <w:szCs w:val="28"/>
          <w:lang w:val="en-US"/>
        </w:rPr>
      </w:pPr>
      <w:r w:rsidRPr="00433261">
        <w:rPr>
          <w:noProof/>
          <w:sz w:val="28"/>
          <w:szCs w:val="28"/>
          <w:lang w:val="en-US" w:eastAsia="zh-CN"/>
        </w:rPr>
        <w:drawing>
          <wp:inline distT="0" distB="0" distL="0" distR="0">
            <wp:extent cx="5940425" cy="2628591"/>
            <wp:effectExtent l="0" t="0" r="0" b="0"/>
            <wp:docPr id="8" name="Объект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sidR="00A1558C" w:rsidRPr="00433261">
        <w:rPr>
          <w:rFonts w:ascii="Times New Roman" w:eastAsia="Times New Roman" w:hAnsi="Times New Roman" w:cs="Times New Roman"/>
          <w:color w:val="000000"/>
          <w:sz w:val="28"/>
          <w:szCs w:val="28"/>
          <w:lang w:val="en-US"/>
        </w:rPr>
        <w:t xml:space="preserve"> </w:t>
      </w:r>
      <w:r w:rsidR="00433261" w:rsidRPr="00433261">
        <w:rPr>
          <w:rFonts w:ascii="Times New Roman" w:eastAsia="Times New Roman" w:hAnsi="Times New Roman" w:cs="Times New Roman"/>
          <w:color w:val="000000"/>
          <w:sz w:val="28"/>
          <w:lang w:val="en-US"/>
        </w:rPr>
        <w:t>Fig. 1 Lipid profile of blood in the examined patients with CS with dyslipidemia and on CP with CHD.</w:t>
      </w:r>
    </w:p>
    <w:p w:rsidR="00037E6B" w:rsidRPr="00433261" w:rsidRDefault="00433261" w:rsidP="00037E6B">
      <w:pPr>
        <w:spacing w:after="0" w:line="420" w:lineRule="atLeast"/>
        <w:ind w:firstLine="709"/>
        <w:jc w:val="both"/>
        <w:rPr>
          <w:rFonts w:ascii="Times New Roman" w:eastAsia="Times New Roman" w:hAnsi="Times New Roman" w:cs="Times New Roman"/>
          <w:color w:val="000000"/>
          <w:sz w:val="28"/>
          <w:szCs w:val="28"/>
          <w:lang w:val="en-US"/>
        </w:rPr>
      </w:pPr>
      <w:r w:rsidRPr="00433261">
        <w:rPr>
          <w:rFonts w:ascii="Times New Roman" w:eastAsia="Times New Roman" w:hAnsi="Times New Roman" w:cs="Times New Roman"/>
          <w:color w:val="000000"/>
          <w:sz w:val="28"/>
          <w:szCs w:val="28"/>
          <w:lang w:val="en-US"/>
        </w:rPr>
        <w:t xml:space="preserve">The level of HDL cholesterol as anti-atherogenic plasma factor was significantly lower in both groups of patients (relative to the indicator of the group of practically healthy), which can be attested not only to the severity of atherosclerotic changes, but also to emphasize the importance of such an etiopathogenetic link in the development of </w:t>
      </w:r>
      <w:r>
        <w:rPr>
          <w:rFonts w:ascii="Times New Roman" w:eastAsia="Times New Roman" w:hAnsi="Times New Roman" w:cs="Times New Roman"/>
          <w:color w:val="000000"/>
          <w:sz w:val="28"/>
          <w:szCs w:val="28"/>
          <w:lang w:val="en-US"/>
        </w:rPr>
        <w:t>CP</w:t>
      </w:r>
      <w:r w:rsidRPr="00433261">
        <w:rPr>
          <w:rFonts w:ascii="Times New Roman" w:eastAsia="Times New Roman" w:hAnsi="Times New Roman" w:cs="Times New Roman"/>
          <w:color w:val="000000"/>
          <w:sz w:val="28"/>
          <w:szCs w:val="28"/>
          <w:lang w:val="en-US"/>
        </w:rPr>
        <w:t xml:space="preserve"> as hypertriglyceridemia, especially in the case of lipogenic </w:t>
      </w:r>
      <w:r>
        <w:rPr>
          <w:rFonts w:ascii="Times New Roman" w:eastAsia="Times New Roman" w:hAnsi="Times New Roman" w:cs="Times New Roman"/>
          <w:color w:val="000000"/>
          <w:sz w:val="28"/>
          <w:szCs w:val="28"/>
          <w:lang w:val="en-US"/>
        </w:rPr>
        <w:t>CP</w:t>
      </w:r>
      <w:r w:rsidRPr="00433261">
        <w:rPr>
          <w:rFonts w:ascii="Times New Roman" w:eastAsia="Times New Roman" w:hAnsi="Times New Roman" w:cs="Times New Roman"/>
          <w:color w:val="000000"/>
          <w:sz w:val="28"/>
          <w:szCs w:val="28"/>
          <w:lang w:val="en-US"/>
        </w:rPr>
        <w:t xml:space="preserve"> in this groups of patients [7]. Such changes are known to increase the risk of developing atherosclerosis and the possibility of its complications, including in the group of patients with a combined course of CP [4]. Confirmation of such an assumption is an elevated index (coefficient) of atherogenicity in the examined patients for the comorbidity of CP and CHD.</w:t>
      </w:r>
      <w:r w:rsidRPr="00433261">
        <w:rPr>
          <w:rFonts w:ascii="Times New Roman" w:eastAsia="Times New Roman" w:hAnsi="Times New Roman" w:cs="Times New Roman"/>
          <w:color w:val="000000"/>
          <w:sz w:val="28"/>
          <w:szCs w:val="28"/>
          <w:lang w:val="en-US"/>
        </w:rPr>
        <w:br/>
        <w:t>In the analysis of the types of dyslipidemia, it was found that IIa and II types of dyslipidemia were more frequent (22 and 25% respectively), but for comorbidity with CHD, dyslipidemia IIa and IU were recorded, which indicated the probability of atherosclerotic changes in the blood vessels, including those with CP</w:t>
      </w:r>
      <w:r w:rsidRPr="00433261">
        <w:rPr>
          <w:rFonts w:ascii="Times New Roman" w:eastAsia="Times New Roman" w:hAnsi="Times New Roman" w:cs="Times New Roman"/>
          <w:color w:val="000000"/>
          <w:sz w:val="28"/>
          <w:szCs w:val="28"/>
          <w:lang w:val="en-US"/>
        </w:rPr>
        <w:br/>
      </w:r>
      <w:r w:rsidRPr="00433261">
        <w:rPr>
          <w:rFonts w:ascii="Times New Roman" w:eastAsia="Times New Roman" w:hAnsi="Times New Roman" w:cs="Times New Roman"/>
          <w:color w:val="000000"/>
          <w:sz w:val="28"/>
          <w:szCs w:val="28"/>
          <w:lang w:val="en-US"/>
        </w:rPr>
        <w:lastRenderedPageBreak/>
        <w:t>Analyzing the indicators of lipidogram (Figure 2) regarding the effect of 3-month treatment for the appointment of polycosinol, we can say that in patients with CP significantly increased the incidence of HDL-C and significantly decreased TG. This provides the opportunity to talk about sufficient hypolipidemic efficacy that can prevent the development of CP (triglyceride by etiology) and the aggressive development of atherosclerosis, which for a long time has not clinically shown in such patients.</w:t>
      </w:r>
    </w:p>
    <w:p w:rsidR="00037E6B" w:rsidRPr="00433261" w:rsidRDefault="00037E6B" w:rsidP="00037E6B">
      <w:pPr>
        <w:spacing w:after="0" w:line="420" w:lineRule="atLeast"/>
        <w:jc w:val="both"/>
        <w:rPr>
          <w:rFonts w:ascii="Times New Roman" w:eastAsia="Times New Roman" w:hAnsi="Times New Roman" w:cs="Times New Roman"/>
          <w:color w:val="000000"/>
          <w:sz w:val="28"/>
          <w:szCs w:val="28"/>
          <w:lang w:val="en-US"/>
        </w:rPr>
      </w:pPr>
      <w:r w:rsidRPr="00433261">
        <w:rPr>
          <w:noProof/>
          <w:sz w:val="28"/>
          <w:szCs w:val="28"/>
          <w:lang w:val="en-US" w:eastAsia="zh-CN"/>
        </w:rPr>
        <w:drawing>
          <wp:inline distT="0" distB="0" distL="0" distR="0">
            <wp:extent cx="5940425" cy="2621837"/>
            <wp:effectExtent l="0" t="0" r="0" b="0"/>
            <wp:docPr id="12" name="Объект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sidR="00A1558C" w:rsidRPr="00433261">
        <w:rPr>
          <w:rFonts w:ascii="Times New Roman" w:eastAsia="Times New Roman" w:hAnsi="Times New Roman" w:cs="Times New Roman"/>
          <w:color w:val="000000"/>
          <w:sz w:val="28"/>
          <w:szCs w:val="28"/>
          <w:lang w:val="en-US"/>
        </w:rPr>
        <w:t xml:space="preserve"> </w:t>
      </w:r>
      <w:proofErr w:type="gramStart"/>
      <w:r w:rsidR="00433261" w:rsidRPr="00433261">
        <w:rPr>
          <w:rFonts w:ascii="Times New Roman" w:eastAsia="Times New Roman" w:hAnsi="Times New Roman" w:cs="Times New Roman"/>
          <w:color w:val="000000"/>
          <w:sz w:val="28"/>
          <w:lang w:val="en-US"/>
        </w:rPr>
        <w:t>Fig. 2.</w:t>
      </w:r>
      <w:proofErr w:type="gramEnd"/>
      <w:r w:rsidR="00433261" w:rsidRPr="00433261">
        <w:rPr>
          <w:rFonts w:ascii="Times New Roman" w:eastAsia="Times New Roman" w:hAnsi="Times New Roman" w:cs="Times New Roman"/>
          <w:color w:val="000000"/>
          <w:sz w:val="28"/>
          <w:lang w:val="en-US"/>
        </w:rPr>
        <w:t xml:space="preserve"> Lipid profile of blood in examined patients with CP in the dynamics of treatment with polikozanol.</w:t>
      </w:r>
    </w:p>
    <w:p w:rsidR="00037E6B" w:rsidRPr="00433261" w:rsidRDefault="00A1558C" w:rsidP="00037E6B">
      <w:pPr>
        <w:spacing w:after="0" w:line="420" w:lineRule="atLeast"/>
        <w:ind w:firstLine="709"/>
        <w:jc w:val="both"/>
        <w:rPr>
          <w:rFonts w:ascii="Times New Roman" w:eastAsia="Times New Roman" w:hAnsi="Times New Roman" w:cs="Times New Roman"/>
          <w:color w:val="000000"/>
          <w:sz w:val="28"/>
          <w:szCs w:val="28"/>
          <w:lang w:val="en-US"/>
        </w:rPr>
      </w:pPr>
      <w:r w:rsidRPr="00433261">
        <w:rPr>
          <w:rFonts w:ascii="Times New Roman" w:eastAsia="Times New Roman" w:hAnsi="Times New Roman" w:cs="Times New Roman"/>
          <w:color w:val="000000"/>
          <w:sz w:val="28"/>
          <w:szCs w:val="28"/>
          <w:lang w:val="en-US"/>
        </w:rPr>
        <w:t xml:space="preserve"> </w:t>
      </w:r>
    </w:p>
    <w:p w:rsidR="00037E6B" w:rsidRPr="00433261" w:rsidRDefault="00433261" w:rsidP="00037E6B">
      <w:pPr>
        <w:spacing w:after="0" w:line="420" w:lineRule="atLeast"/>
        <w:ind w:firstLine="709"/>
        <w:jc w:val="both"/>
        <w:rPr>
          <w:rFonts w:ascii="Times New Roman" w:eastAsia="Times New Roman" w:hAnsi="Times New Roman" w:cs="Times New Roman"/>
          <w:color w:val="000000"/>
          <w:sz w:val="28"/>
          <w:szCs w:val="28"/>
          <w:lang w:val="en-US"/>
        </w:rPr>
      </w:pPr>
      <w:r w:rsidRPr="00433261">
        <w:rPr>
          <w:rFonts w:ascii="Times New Roman" w:eastAsia="Times New Roman" w:hAnsi="Times New Roman" w:cs="Times New Roman"/>
          <w:color w:val="000000"/>
          <w:sz w:val="28"/>
          <w:szCs w:val="28"/>
          <w:lang w:val="en-US"/>
        </w:rPr>
        <w:t xml:space="preserve">Reduction of hypertriglyceridemia at the time of treatment completion emphasizes the importance of polycosanol as </w:t>
      </w:r>
      <w:proofErr w:type="gramStart"/>
      <w:r w:rsidRPr="00433261">
        <w:rPr>
          <w:rFonts w:ascii="Times New Roman" w:eastAsia="Times New Roman" w:hAnsi="Times New Roman" w:cs="Times New Roman"/>
          <w:color w:val="000000"/>
          <w:sz w:val="28"/>
          <w:szCs w:val="28"/>
          <w:lang w:val="en-US"/>
        </w:rPr>
        <w:t>a</w:t>
      </w:r>
      <w:proofErr w:type="gramEnd"/>
      <w:r w:rsidRPr="00433261">
        <w:rPr>
          <w:rFonts w:ascii="Times New Roman" w:eastAsia="Times New Roman" w:hAnsi="Times New Roman" w:cs="Times New Roman"/>
          <w:color w:val="000000"/>
          <w:sz w:val="28"/>
          <w:szCs w:val="28"/>
          <w:lang w:val="en-US"/>
        </w:rPr>
        <w:t xml:space="preserve"> herbal preparation, which can be recommended for treatment and for the prevention of atherogenic dyslipidemia. Significant hypocholesterolemic effect was also observed in the group of patients with comorbid flow with CHD (Fig. 3), where treatment with polycosanol was performed in combination with statins in starting doses (atorvastatin or rosuvastatin).</w:t>
      </w:r>
    </w:p>
    <w:p w:rsidR="00037E6B" w:rsidRPr="00433261" w:rsidRDefault="00037E6B" w:rsidP="00037E6B">
      <w:pPr>
        <w:spacing w:after="0" w:line="420" w:lineRule="atLeast"/>
        <w:jc w:val="both"/>
        <w:rPr>
          <w:rFonts w:ascii="Times New Roman" w:eastAsia="Times New Roman" w:hAnsi="Times New Roman" w:cs="Times New Roman"/>
          <w:color w:val="000000"/>
          <w:sz w:val="28"/>
          <w:szCs w:val="28"/>
          <w:lang w:val="en-US"/>
        </w:rPr>
      </w:pPr>
      <w:r w:rsidRPr="00433261">
        <w:rPr>
          <w:noProof/>
          <w:sz w:val="28"/>
          <w:szCs w:val="28"/>
          <w:lang w:val="en-US" w:eastAsia="zh-CN"/>
        </w:rPr>
        <w:lastRenderedPageBreak/>
        <w:drawing>
          <wp:inline distT="0" distB="0" distL="0" distR="0">
            <wp:extent cx="5940425" cy="2630696"/>
            <wp:effectExtent l="0" t="0" r="0" b="0"/>
            <wp:docPr id="16" name="Объект 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037E6B" w:rsidRPr="00433261" w:rsidRDefault="00433261" w:rsidP="00037E6B">
      <w:pPr>
        <w:spacing w:after="0" w:line="420" w:lineRule="atLeast"/>
        <w:ind w:firstLine="708"/>
        <w:rPr>
          <w:rFonts w:ascii="Times New Roman" w:eastAsia="Times New Roman" w:hAnsi="Times New Roman" w:cs="Times New Roman"/>
          <w:color w:val="000000"/>
          <w:sz w:val="28"/>
          <w:szCs w:val="28"/>
          <w:lang w:val="en-US"/>
        </w:rPr>
      </w:pPr>
      <w:proofErr w:type="gramStart"/>
      <w:r w:rsidRPr="00433261">
        <w:rPr>
          <w:rFonts w:ascii="Times New Roman" w:eastAsia="Times New Roman" w:hAnsi="Times New Roman" w:cs="Times New Roman"/>
          <w:color w:val="000000"/>
          <w:sz w:val="28"/>
          <w:lang w:val="en-US"/>
        </w:rPr>
        <w:t>Fig. 3.</w:t>
      </w:r>
      <w:proofErr w:type="gramEnd"/>
      <w:r w:rsidRPr="00433261">
        <w:rPr>
          <w:rFonts w:ascii="Times New Roman" w:eastAsia="Times New Roman" w:hAnsi="Times New Roman" w:cs="Times New Roman"/>
          <w:color w:val="000000"/>
          <w:sz w:val="28"/>
          <w:lang w:val="en-US"/>
        </w:rPr>
        <w:t xml:space="preserve"> </w:t>
      </w:r>
      <w:proofErr w:type="gramStart"/>
      <w:r w:rsidRPr="00433261">
        <w:rPr>
          <w:rFonts w:ascii="Times New Roman" w:eastAsia="Times New Roman" w:hAnsi="Times New Roman" w:cs="Times New Roman"/>
          <w:color w:val="000000"/>
          <w:sz w:val="28"/>
          <w:lang w:val="en-US"/>
        </w:rPr>
        <w:t>Lipid profile of blood in the examined patients with CP with CHD in the dynamics of treatment with polikozanol.</w:t>
      </w:r>
      <w:proofErr w:type="gramEnd"/>
    </w:p>
    <w:p w:rsidR="00433261" w:rsidRPr="00433261" w:rsidRDefault="00433261" w:rsidP="00037E6B">
      <w:pPr>
        <w:spacing w:after="0" w:line="420" w:lineRule="atLeast"/>
        <w:ind w:firstLine="709"/>
        <w:jc w:val="both"/>
        <w:rPr>
          <w:rFonts w:ascii="Times New Roman" w:eastAsia="Times New Roman" w:hAnsi="Times New Roman" w:cs="Times New Roman"/>
          <w:color w:val="000000"/>
          <w:sz w:val="28"/>
          <w:szCs w:val="28"/>
          <w:lang w:val="en-US"/>
        </w:rPr>
      </w:pPr>
      <w:r w:rsidRPr="00433261">
        <w:rPr>
          <w:rFonts w:ascii="Times New Roman" w:eastAsia="Times New Roman" w:hAnsi="Times New Roman" w:cs="Times New Roman"/>
          <w:color w:val="000000"/>
          <w:sz w:val="28"/>
          <w:szCs w:val="28"/>
          <w:lang w:val="en-US"/>
        </w:rPr>
        <w:t>However 3 months of treatment in most patients failed to achieve targets lipid spectrum of the blood, which emphasizes the need for further treatment 6-12 months or more, as indicated by the literature.</w:t>
      </w:r>
    </w:p>
    <w:p w:rsidR="00433261" w:rsidRPr="00433261" w:rsidRDefault="00433261" w:rsidP="00037E6B">
      <w:pPr>
        <w:spacing w:after="0" w:line="420" w:lineRule="atLeast"/>
        <w:ind w:firstLine="709"/>
        <w:jc w:val="both"/>
        <w:rPr>
          <w:rFonts w:ascii="Times New Roman" w:eastAsia="Times New Roman" w:hAnsi="Times New Roman" w:cs="Times New Roman"/>
          <w:color w:val="000000"/>
          <w:sz w:val="28"/>
          <w:szCs w:val="28"/>
          <w:lang w:val="en-US"/>
        </w:rPr>
      </w:pPr>
      <w:r w:rsidRPr="00433261">
        <w:rPr>
          <w:rFonts w:ascii="Times New Roman" w:eastAsia="Times New Roman" w:hAnsi="Times New Roman" w:cs="Times New Roman"/>
          <w:color w:val="000000"/>
          <w:sz w:val="28"/>
          <w:szCs w:val="28"/>
          <w:lang w:val="en-US"/>
        </w:rPr>
        <w:t>Consequently, polycosanol ("Phytostate") is a mixture of fatty alcohols, which is isolated from the waxy mass of sugar cane, and has a hypolipidemic effect, increasing the level of HDL cholesterol, protecting LDL cholesterol from damage by free radicals, reducing hypertriglyceridemia, suppressing excess platelet aggregation, improving efficacy of statin therapy in combination therapy. To achieve prognostically significant changes in lipid spectrum would prefer long-term (6-12 months) intended use low initial doses of lipid-lowering drugs (10, 20 mg) daily in combination with policosanol. It is also has a significant effect on lipid spectrum, but will not be associated with symptoms of side effects that are characteristic statynoterapiyi in high doses.</w:t>
      </w:r>
    </w:p>
    <w:p w:rsidR="00037E6B" w:rsidRPr="00433261" w:rsidRDefault="00433261" w:rsidP="00037E6B">
      <w:pPr>
        <w:spacing w:after="0" w:line="420" w:lineRule="atLeast"/>
        <w:ind w:firstLine="709"/>
        <w:jc w:val="both"/>
        <w:rPr>
          <w:rFonts w:ascii="Times New Roman" w:eastAsia="Times New Roman" w:hAnsi="Times New Roman" w:cs="Times New Roman"/>
          <w:color w:val="000000"/>
          <w:sz w:val="28"/>
          <w:szCs w:val="28"/>
          <w:lang w:val="en-US"/>
        </w:rPr>
      </w:pPr>
      <w:r w:rsidRPr="00433261">
        <w:rPr>
          <w:rFonts w:ascii="Times New Roman" w:eastAsia="Times New Roman" w:hAnsi="Times New Roman" w:cs="Times New Roman"/>
          <w:color w:val="000000"/>
          <w:sz w:val="28"/>
          <w:szCs w:val="28"/>
          <w:lang w:val="en-US"/>
        </w:rPr>
        <w:t>The use of policosanol in combination with statins in starting doses provided comorbid disease course provides an opportunity to reach a wider and significant impact on all parts of the lipid spectrum (hypercholesterolemia, hypertriglyceridemia, low HDL cholesterol level) than just isolated by appointment only statins. Based on this, statin treatment in combination with polycosanol may be recommended for both concomitant diabetes and metabolic syndrome, and with the comorbid flow of CP with CHD, in patients with impaired liver function in patients with chronic heart failure and in patients with hypertriglyceridemia (without the risk of side effects effects)</w:t>
      </w:r>
    </w:p>
    <w:p w:rsidR="00037E6B" w:rsidRPr="00433261" w:rsidRDefault="00037E6B" w:rsidP="00037E6B">
      <w:pPr>
        <w:spacing w:after="0" w:line="420" w:lineRule="atLeast"/>
        <w:ind w:firstLine="709"/>
        <w:jc w:val="both"/>
        <w:rPr>
          <w:rFonts w:ascii="Times New Roman" w:eastAsia="Times New Roman" w:hAnsi="Times New Roman" w:cs="Times New Roman"/>
          <w:color w:val="000000"/>
          <w:sz w:val="28"/>
          <w:szCs w:val="28"/>
          <w:lang w:val="en-US"/>
        </w:rPr>
      </w:pPr>
      <w:r w:rsidRPr="00433261">
        <w:rPr>
          <w:rFonts w:ascii="Times New Roman" w:eastAsia="Times New Roman" w:hAnsi="Times New Roman" w:cs="Times New Roman"/>
          <w:b/>
          <w:bCs/>
          <w:color w:val="000000"/>
          <w:sz w:val="28"/>
          <w:lang w:val="en-US"/>
        </w:rPr>
        <w:lastRenderedPageBreak/>
        <w:t>Conclusions</w:t>
      </w:r>
    </w:p>
    <w:p w:rsidR="00433261" w:rsidRPr="00433261" w:rsidRDefault="00433261" w:rsidP="00037E6B">
      <w:pPr>
        <w:spacing w:after="0" w:line="420" w:lineRule="atLeast"/>
        <w:ind w:firstLine="709"/>
        <w:jc w:val="both"/>
        <w:rPr>
          <w:rFonts w:ascii="Times New Roman" w:eastAsia="Times New Roman" w:hAnsi="Times New Roman" w:cs="Times New Roman"/>
          <w:color w:val="000000"/>
          <w:sz w:val="28"/>
          <w:szCs w:val="28"/>
          <w:lang w:val="en-US"/>
        </w:rPr>
      </w:pPr>
      <w:r w:rsidRPr="00433261">
        <w:rPr>
          <w:rFonts w:ascii="Times New Roman" w:eastAsia="Times New Roman" w:hAnsi="Times New Roman" w:cs="Times New Roman"/>
          <w:color w:val="000000"/>
          <w:sz w:val="28"/>
          <w:szCs w:val="28"/>
          <w:lang w:val="en-US"/>
        </w:rPr>
        <w:t>1. Polycosanol in the complex treatment of patients with CP in combination with hyperlipidemia and CHD has a sufficient hypolipidemic effect (improves the parameters of HDL, TG and atherogenic index).</w:t>
      </w:r>
    </w:p>
    <w:p w:rsidR="00037E6B" w:rsidRPr="00433261" w:rsidRDefault="00433261" w:rsidP="00037E6B">
      <w:pPr>
        <w:spacing w:after="0" w:line="420" w:lineRule="atLeast"/>
        <w:ind w:firstLine="709"/>
        <w:jc w:val="both"/>
        <w:rPr>
          <w:rFonts w:ascii="Times New Roman" w:eastAsia="Times New Roman" w:hAnsi="Times New Roman" w:cs="Times New Roman"/>
          <w:color w:val="000000"/>
          <w:sz w:val="28"/>
          <w:szCs w:val="28"/>
          <w:lang w:val="en-US"/>
        </w:rPr>
      </w:pPr>
      <w:r w:rsidRPr="00433261">
        <w:rPr>
          <w:rFonts w:ascii="Times New Roman" w:eastAsia="Times New Roman" w:hAnsi="Times New Roman" w:cs="Times New Roman"/>
          <w:color w:val="000000"/>
          <w:sz w:val="28"/>
          <w:szCs w:val="28"/>
          <w:lang w:val="en-US"/>
        </w:rPr>
        <w:t xml:space="preserve">2. For a comorbid flow of CP with CHD, the drug in combination with statins improves the lipid profile of plasma plasma (when used in starting doses for 3 months). This allows </w:t>
      </w:r>
      <w:proofErr w:type="gramStart"/>
      <w:r w:rsidRPr="00433261">
        <w:rPr>
          <w:rFonts w:ascii="Times New Roman" w:eastAsia="Times New Roman" w:hAnsi="Times New Roman" w:cs="Times New Roman"/>
          <w:color w:val="000000"/>
          <w:sz w:val="28"/>
          <w:szCs w:val="28"/>
          <w:lang w:val="en-US"/>
        </w:rPr>
        <w:t>to recommend</w:t>
      </w:r>
      <w:proofErr w:type="gramEnd"/>
      <w:r w:rsidRPr="00433261">
        <w:rPr>
          <w:rFonts w:ascii="Times New Roman" w:eastAsia="Times New Roman" w:hAnsi="Times New Roman" w:cs="Times New Roman"/>
          <w:color w:val="000000"/>
          <w:sz w:val="28"/>
          <w:szCs w:val="28"/>
          <w:lang w:val="en-US"/>
        </w:rPr>
        <w:t xml:space="preserve"> patients with CP in combination with hyperlipidemia, and also for comorbidity with CHD to use a preparation in combination with statins for 3 months for 10 mg 1 time a day during the evening (in order to improve cholesterol metabolism).</w:t>
      </w:r>
    </w:p>
    <w:p w:rsidR="00037E6B" w:rsidRPr="00433261" w:rsidRDefault="00A1558C" w:rsidP="00037E6B">
      <w:pPr>
        <w:spacing w:after="0" w:line="420" w:lineRule="atLeast"/>
        <w:jc w:val="both"/>
        <w:rPr>
          <w:rFonts w:ascii="Times New Roman" w:eastAsia="Times New Roman" w:hAnsi="Times New Roman" w:cs="Times New Roman"/>
          <w:color w:val="000000"/>
          <w:sz w:val="28"/>
          <w:szCs w:val="28"/>
          <w:lang w:val="en-US"/>
        </w:rPr>
      </w:pPr>
      <w:r w:rsidRPr="00433261">
        <w:rPr>
          <w:rFonts w:ascii="Times New Roman" w:eastAsia="Times New Roman" w:hAnsi="Times New Roman" w:cs="Times New Roman"/>
          <w:color w:val="000000"/>
          <w:sz w:val="28"/>
          <w:szCs w:val="28"/>
          <w:lang w:val="en-US"/>
        </w:rPr>
        <w:t xml:space="preserve"> </w:t>
      </w:r>
    </w:p>
    <w:p w:rsidR="00037E6B" w:rsidRPr="00433261" w:rsidRDefault="00E33433" w:rsidP="00433261">
      <w:pPr>
        <w:spacing w:after="0" w:line="240" w:lineRule="auto"/>
        <w:jc w:val="both"/>
        <w:rPr>
          <w:rFonts w:ascii="Times New Roman" w:eastAsia="Times New Roman" w:hAnsi="Times New Roman" w:cs="Times New Roman"/>
          <w:color w:val="000000"/>
          <w:sz w:val="28"/>
          <w:szCs w:val="28"/>
          <w:lang w:val="en-US"/>
        </w:rPr>
      </w:pPr>
      <w:r w:rsidRPr="00433261">
        <w:rPr>
          <w:rFonts w:ascii="Times New Roman" w:eastAsia="Times New Roman" w:hAnsi="Times New Roman" w:cs="Times New Roman"/>
          <w:b/>
          <w:bCs/>
          <w:color w:val="000000"/>
          <w:sz w:val="28"/>
          <w:szCs w:val="28"/>
          <w:lang w:val="en-US"/>
        </w:rPr>
        <w:t>References</w:t>
      </w:r>
      <w:r w:rsidR="00A1558C" w:rsidRPr="00433261">
        <w:rPr>
          <w:rFonts w:ascii="Times New Roman" w:eastAsia="Times New Roman" w:hAnsi="Times New Roman" w:cs="Times New Roman"/>
          <w:b/>
          <w:bCs/>
          <w:color w:val="000000"/>
          <w:sz w:val="28"/>
          <w:szCs w:val="28"/>
          <w:lang w:val="en-US"/>
        </w:rPr>
        <w:t>:</w:t>
      </w:r>
    </w:p>
    <w:p w:rsidR="00E33433" w:rsidRPr="00433261" w:rsidRDefault="00E33433" w:rsidP="00433261">
      <w:pPr>
        <w:spacing w:after="0" w:line="240" w:lineRule="auto"/>
        <w:jc w:val="both"/>
        <w:rPr>
          <w:rFonts w:ascii="Times New Roman" w:eastAsia="Times New Roman" w:hAnsi="Times New Roman" w:cs="Times New Roman"/>
          <w:sz w:val="28"/>
          <w:szCs w:val="28"/>
          <w:lang w:val="en-US"/>
        </w:rPr>
      </w:pPr>
      <w:r w:rsidRPr="00433261">
        <w:rPr>
          <w:rFonts w:ascii="Times New Roman" w:eastAsia="Times New Roman" w:hAnsi="Times New Roman" w:cs="Times New Roman"/>
          <w:sz w:val="28"/>
          <w:szCs w:val="28"/>
          <w:lang w:val="en-US"/>
        </w:rPr>
        <w:t xml:space="preserve">1. Амосова Е. Н. Клиническая кардиология / Е. Н. Амосова / В 2-х т. — </w:t>
      </w:r>
      <w:proofErr w:type="gramStart"/>
      <w:r w:rsidRPr="00433261">
        <w:rPr>
          <w:rFonts w:ascii="Times New Roman" w:eastAsia="Times New Roman" w:hAnsi="Times New Roman" w:cs="Times New Roman"/>
          <w:sz w:val="28"/>
          <w:szCs w:val="28"/>
          <w:lang w:val="en-US"/>
        </w:rPr>
        <w:t>К.,</w:t>
      </w:r>
      <w:proofErr w:type="gramEnd"/>
      <w:r w:rsidRPr="00433261">
        <w:rPr>
          <w:rFonts w:ascii="Times New Roman" w:eastAsia="Times New Roman" w:hAnsi="Times New Roman" w:cs="Times New Roman"/>
          <w:sz w:val="28"/>
          <w:szCs w:val="28"/>
          <w:lang w:val="en-US"/>
        </w:rPr>
        <w:t xml:space="preserve"> 1998. — 497с. </w:t>
      </w:r>
    </w:p>
    <w:p w:rsidR="00E33433" w:rsidRPr="00433261" w:rsidRDefault="00E33433" w:rsidP="00433261">
      <w:pPr>
        <w:spacing w:after="0" w:line="240" w:lineRule="auto"/>
        <w:jc w:val="both"/>
        <w:rPr>
          <w:rFonts w:ascii="Times New Roman" w:eastAsia="Times New Roman" w:hAnsi="Times New Roman" w:cs="Times New Roman"/>
          <w:sz w:val="28"/>
          <w:szCs w:val="28"/>
          <w:lang w:val="en-US"/>
        </w:rPr>
      </w:pPr>
      <w:r w:rsidRPr="00433261">
        <w:rPr>
          <w:rFonts w:ascii="Times New Roman" w:eastAsia="Times New Roman" w:hAnsi="Times New Roman" w:cs="Times New Roman"/>
          <w:sz w:val="28"/>
          <w:szCs w:val="28"/>
          <w:lang w:val="en-US"/>
        </w:rPr>
        <w:t xml:space="preserve">2. Бондарчук О. Н. Течение и лечение ишемической болезни сердца при сопутствующем хроническом </w:t>
      </w:r>
      <w:proofErr w:type="gramStart"/>
      <w:r w:rsidRPr="00433261">
        <w:rPr>
          <w:rFonts w:ascii="Times New Roman" w:eastAsia="Times New Roman" w:hAnsi="Times New Roman" w:cs="Times New Roman"/>
          <w:sz w:val="28"/>
          <w:szCs w:val="28"/>
          <w:lang w:val="en-US"/>
        </w:rPr>
        <w:t>панкреатите :</w:t>
      </w:r>
      <w:proofErr w:type="gramEnd"/>
      <w:r w:rsidRPr="00433261">
        <w:rPr>
          <w:rFonts w:ascii="Times New Roman" w:eastAsia="Times New Roman" w:hAnsi="Times New Roman" w:cs="Times New Roman"/>
          <w:sz w:val="28"/>
          <w:szCs w:val="28"/>
          <w:lang w:val="en-US"/>
        </w:rPr>
        <w:t xml:space="preserve"> автореф на соиск… канд.. </w:t>
      </w:r>
      <w:proofErr w:type="gramStart"/>
      <w:r w:rsidRPr="00433261">
        <w:rPr>
          <w:rFonts w:ascii="Times New Roman" w:eastAsia="Times New Roman" w:hAnsi="Times New Roman" w:cs="Times New Roman"/>
          <w:sz w:val="28"/>
          <w:szCs w:val="28"/>
          <w:lang w:val="en-US"/>
        </w:rPr>
        <w:t>мед</w:t>
      </w:r>
      <w:proofErr w:type="gramEnd"/>
      <w:r w:rsidRPr="00433261">
        <w:rPr>
          <w:rFonts w:ascii="Times New Roman" w:eastAsia="Times New Roman" w:hAnsi="Times New Roman" w:cs="Times New Roman"/>
          <w:sz w:val="28"/>
          <w:szCs w:val="28"/>
          <w:lang w:val="en-US"/>
        </w:rPr>
        <w:t xml:space="preserve"> наук. — Киев. — 2005. — 20 с. </w:t>
      </w:r>
    </w:p>
    <w:p w:rsidR="00E33433" w:rsidRPr="00433261" w:rsidRDefault="00E33433" w:rsidP="00433261">
      <w:pPr>
        <w:spacing w:after="0" w:line="240" w:lineRule="auto"/>
        <w:jc w:val="both"/>
        <w:rPr>
          <w:rFonts w:ascii="Times New Roman" w:eastAsia="Times New Roman" w:hAnsi="Times New Roman" w:cs="Times New Roman"/>
          <w:sz w:val="28"/>
          <w:szCs w:val="28"/>
          <w:lang w:val="en-US"/>
        </w:rPr>
      </w:pPr>
      <w:r w:rsidRPr="00433261">
        <w:rPr>
          <w:rFonts w:ascii="Times New Roman" w:eastAsia="Times New Roman" w:hAnsi="Times New Roman" w:cs="Times New Roman"/>
          <w:sz w:val="28"/>
          <w:szCs w:val="28"/>
          <w:lang w:val="en-US"/>
        </w:rPr>
        <w:t xml:space="preserve">3. Іващук С. І. Показники ліпідного обміну у хворих на набряковий панкреатит залежно від поліморфізму генів IL-4 (C-590T), TNF-a (G-308A), PRSS1 (R122H), SPINK1 (N34S) i CFTR (delF508C) / С. І. Івашук, Л. П. Сидорчук // Сучасна гастроентерологія. — 2016. — №4 (90). — </w:t>
      </w:r>
      <w:proofErr w:type="gramStart"/>
      <w:r w:rsidRPr="00433261">
        <w:rPr>
          <w:rFonts w:ascii="Times New Roman" w:eastAsia="Times New Roman" w:hAnsi="Times New Roman" w:cs="Times New Roman"/>
          <w:sz w:val="28"/>
          <w:szCs w:val="28"/>
          <w:lang w:val="en-US"/>
        </w:rPr>
        <w:t>С. 24</w:t>
      </w:r>
      <w:proofErr w:type="gramEnd"/>
      <w:r w:rsidRPr="00433261">
        <w:rPr>
          <w:rFonts w:ascii="Times New Roman" w:eastAsia="Times New Roman" w:hAnsi="Times New Roman" w:cs="Times New Roman"/>
          <w:sz w:val="28"/>
          <w:szCs w:val="28"/>
          <w:lang w:val="en-US"/>
        </w:rPr>
        <w:t>–30.</w:t>
      </w:r>
    </w:p>
    <w:p w:rsidR="00E33433" w:rsidRPr="00433261" w:rsidRDefault="00E33433" w:rsidP="00433261">
      <w:pPr>
        <w:spacing w:after="0" w:line="240" w:lineRule="auto"/>
        <w:jc w:val="both"/>
        <w:rPr>
          <w:rFonts w:ascii="Times New Roman" w:eastAsia="Times New Roman" w:hAnsi="Times New Roman" w:cs="Times New Roman"/>
          <w:sz w:val="28"/>
          <w:szCs w:val="28"/>
          <w:lang w:val="en-US"/>
        </w:rPr>
      </w:pPr>
      <w:r w:rsidRPr="00433261">
        <w:rPr>
          <w:rFonts w:ascii="Times New Roman" w:eastAsia="Times New Roman" w:hAnsi="Times New Roman" w:cs="Times New Roman"/>
          <w:sz w:val="28"/>
          <w:szCs w:val="28"/>
          <w:lang w:val="en-US"/>
        </w:rPr>
        <w:t xml:space="preserve">4. Кендзерська Т. Б. Патогенетична роль підшлункової залози в розвитку та прогресуванні метаболічного </w:t>
      </w:r>
      <w:proofErr w:type="gramStart"/>
      <w:r w:rsidRPr="00433261">
        <w:rPr>
          <w:rFonts w:ascii="Times New Roman" w:eastAsia="Times New Roman" w:hAnsi="Times New Roman" w:cs="Times New Roman"/>
          <w:sz w:val="28"/>
          <w:szCs w:val="28"/>
          <w:lang w:val="en-US"/>
        </w:rPr>
        <w:t>синдрому :</w:t>
      </w:r>
      <w:proofErr w:type="gramEnd"/>
      <w:r w:rsidRPr="00433261">
        <w:rPr>
          <w:rFonts w:ascii="Times New Roman" w:eastAsia="Times New Roman" w:hAnsi="Times New Roman" w:cs="Times New Roman"/>
          <w:sz w:val="28"/>
          <w:szCs w:val="28"/>
          <w:lang w:val="en-US"/>
        </w:rPr>
        <w:t xml:space="preserve"> Ч. 2. Абдомінально-вісцеральне ожиріння, дисгормоноз, АГ, ендотеліальна дисфункція, порушення системи гемостазу, гіперурекімія / Т. Б. Кендзерська, Т. М. Христич // Досягнення біології та медицини. — 2004. — №2. — </w:t>
      </w:r>
      <w:proofErr w:type="gramStart"/>
      <w:r w:rsidRPr="00433261">
        <w:rPr>
          <w:rFonts w:ascii="Times New Roman" w:eastAsia="Times New Roman" w:hAnsi="Times New Roman" w:cs="Times New Roman"/>
          <w:sz w:val="28"/>
          <w:szCs w:val="28"/>
          <w:lang w:val="en-US"/>
        </w:rPr>
        <w:t>С. 85</w:t>
      </w:r>
      <w:proofErr w:type="gramEnd"/>
      <w:r w:rsidRPr="00433261">
        <w:rPr>
          <w:rFonts w:ascii="Times New Roman" w:eastAsia="Times New Roman" w:hAnsi="Times New Roman" w:cs="Times New Roman"/>
          <w:sz w:val="28"/>
          <w:szCs w:val="28"/>
          <w:lang w:val="en-US"/>
        </w:rPr>
        <w:t>–92.</w:t>
      </w:r>
    </w:p>
    <w:p w:rsidR="00E33433" w:rsidRPr="00433261" w:rsidRDefault="00E33433" w:rsidP="00433261">
      <w:pPr>
        <w:spacing w:after="0" w:line="240" w:lineRule="auto"/>
        <w:jc w:val="both"/>
        <w:rPr>
          <w:rFonts w:ascii="Times New Roman" w:eastAsia="Times New Roman" w:hAnsi="Times New Roman" w:cs="Times New Roman"/>
          <w:sz w:val="28"/>
          <w:szCs w:val="28"/>
          <w:lang w:val="en-US"/>
        </w:rPr>
      </w:pPr>
      <w:r w:rsidRPr="00433261">
        <w:rPr>
          <w:rFonts w:ascii="Times New Roman" w:eastAsia="Times New Roman" w:hAnsi="Times New Roman" w:cs="Times New Roman"/>
          <w:sz w:val="28"/>
          <w:szCs w:val="28"/>
          <w:lang w:val="en-US"/>
        </w:rPr>
        <w:t>5. Колкина</w:t>
      </w:r>
      <w:r w:rsidRPr="00433261">
        <w:rPr>
          <w:rFonts w:ascii="Times New Roman" w:eastAsia="Times New Roman" w:hAnsi="Times New Roman" w:cs="Times New Roman"/>
          <w:b/>
          <w:bCs/>
          <w:sz w:val="28"/>
          <w:szCs w:val="28"/>
          <w:lang w:val="en-US"/>
        </w:rPr>
        <w:t xml:space="preserve"> </w:t>
      </w:r>
      <w:r w:rsidRPr="00433261">
        <w:rPr>
          <w:rFonts w:ascii="Times New Roman" w:eastAsia="Times New Roman" w:hAnsi="Times New Roman" w:cs="Times New Roman"/>
          <w:sz w:val="28"/>
          <w:szCs w:val="28"/>
          <w:lang w:val="en-US"/>
        </w:rPr>
        <w:t xml:space="preserve">В. Я. Гиперлипидемия и острый панкреатит / В. Я. Колкина // Вестник клуба панкреатологов. — 2009. — №3 (4). — </w:t>
      </w:r>
      <w:proofErr w:type="gramStart"/>
      <w:r w:rsidRPr="00433261">
        <w:rPr>
          <w:rFonts w:ascii="Times New Roman" w:eastAsia="Times New Roman" w:hAnsi="Times New Roman" w:cs="Times New Roman"/>
          <w:sz w:val="28"/>
          <w:szCs w:val="28"/>
          <w:lang w:val="en-US"/>
        </w:rPr>
        <w:t>С. 24</w:t>
      </w:r>
      <w:proofErr w:type="gramEnd"/>
      <w:r w:rsidRPr="00433261">
        <w:rPr>
          <w:rFonts w:ascii="Times New Roman" w:eastAsia="Times New Roman" w:hAnsi="Times New Roman" w:cs="Times New Roman"/>
          <w:sz w:val="28"/>
          <w:szCs w:val="28"/>
          <w:lang w:val="en-US"/>
        </w:rPr>
        <w:t xml:space="preserve">–26. </w:t>
      </w:r>
    </w:p>
    <w:p w:rsidR="00E33433" w:rsidRPr="00433261" w:rsidRDefault="00E33433" w:rsidP="00433261">
      <w:pPr>
        <w:spacing w:after="0" w:line="240" w:lineRule="auto"/>
        <w:jc w:val="both"/>
        <w:rPr>
          <w:rFonts w:ascii="Times New Roman" w:eastAsia="Times New Roman" w:hAnsi="Times New Roman" w:cs="Times New Roman"/>
          <w:sz w:val="28"/>
          <w:szCs w:val="28"/>
          <w:lang w:val="en-US"/>
        </w:rPr>
      </w:pPr>
      <w:r w:rsidRPr="00433261">
        <w:rPr>
          <w:rFonts w:ascii="Times New Roman" w:eastAsia="Times New Roman" w:hAnsi="Times New Roman" w:cs="Times New Roman"/>
          <w:color w:val="000000"/>
          <w:sz w:val="28"/>
          <w:szCs w:val="28"/>
          <w:lang w:val="en-US"/>
        </w:rPr>
        <w:t>6. Мітченко</w:t>
      </w:r>
      <w:r w:rsidRPr="00433261">
        <w:rPr>
          <w:rFonts w:ascii="Times New Roman" w:eastAsia="Times New Roman" w:hAnsi="Times New Roman" w:cs="Times New Roman"/>
          <w:b/>
          <w:bCs/>
          <w:color w:val="000000"/>
          <w:sz w:val="28"/>
          <w:szCs w:val="28"/>
          <w:lang w:val="en-US"/>
        </w:rPr>
        <w:t xml:space="preserve"> </w:t>
      </w:r>
      <w:r w:rsidRPr="00433261">
        <w:rPr>
          <w:rFonts w:ascii="Times New Roman" w:eastAsia="Times New Roman" w:hAnsi="Times New Roman" w:cs="Times New Roman"/>
          <w:color w:val="000000"/>
          <w:sz w:val="28"/>
          <w:szCs w:val="28"/>
          <w:lang w:val="en-US"/>
        </w:rPr>
        <w:t>О. І.</w:t>
      </w:r>
      <w:r w:rsidRPr="00433261">
        <w:rPr>
          <w:rFonts w:ascii="CompactC" w:eastAsia="Times New Roman" w:hAnsi="CompactC" w:cs="CompactC"/>
          <w:color w:val="231F20"/>
          <w:sz w:val="78"/>
          <w:szCs w:val="78"/>
          <w:lang w:val="en-US" w:bidi="th-TH"/>
        </w:rPr>
        <w:t xml:space="preserve"> </w:t>
      </w:r>
      <w:r w:rsidRPr="00433261">
        <w:rPr>
          <w:rFonts w:ascii="Times New Roman" w:eastAsia="Times New Roman" w:hAnsi="Times New Roman" w:cs="Times New Roman"/>
          <w:sz w:val="28"/>
          <w:szCs w:val="28"/>
          <w:lang w:val="en-US"/>
        </w:rPr>
        <w:t xml:space="preserve">Возможность оптимизации стандартной гиполипидемической терапии у пациентов с гипертонической болезнью и метаболическим синдромом / О. І. Мітченко, В. Ю. Романов // Здоров’я України. — 2012. — №2. — </w:t>
      </w:r>
      <w:proofErr w:type="gramStart"/>
      <w:r w:rsidRPr="00433261">
        <w:rPr>
          <w:rFonts w:ascii="Times New Roman" w:eastAsia="Times New Roman" w:hAnsi="Times New Roman" w:cs="Times New Roman"/>
          <w:sz w:val="28"/>
          <w:szCs w:val="28"/>
          <w:lang w:val="en-US"/>
        </w:rPr>
        <w:t>С. 2</w:t>
      </w:r>
      <w:proofErr w:type="gramEnd"/>
      <w:r w:rsidRPr="00433261">
        <w:rPr>
          <w:rFonts w:ascii="Times New Roman" w:eastAsia="Times New Roman" w:hAnsi="Times New Roman" w:cs="Times New Roman"/>
          <w:sz w:val="28"/>
          <w:szCs w:val="28"/>
          <w:lang w:val="en-US"/>
        </w:rPr>
        <w:t>–3.</w:t>
      </w:r>
    </w:p>
    <w:p w:rsidR="00E33433" w:rsidRPr="00433261" w:rsidRDefault="00E33433" w:rsidP="00433261">
      <w:pPr>
        <w:spacing w:after="0" w:line="240" w:lineRule="auto"/>
        <w:jc w:val="both"/>
        <w:rPr>
          <w:rFonts w:ascii="Times New Roman" w:eastAsia="Times New Roman" w:hAnsi="Times New Roman" w:cs="Times New Roman"/>
          <w:sz w:val="28"/>
          <w:szCs w:val="28"/>
          <w:lang w:val="en-US"/>
        </w:rPr>
      </w:pPr>
      <w:r w:rsidRPr="00433261">
        <w:rPr>
          <w:rFonts w:ascii="Times New Roman" w:eastAsia="Times New Roman" w:hAnsi="Times New Roman" w:cs="Times New Roman"/>
          <w:bCs/>
          <w:sz w:val="28"/>
          <w:szCs w:val="28"/>
          <w:lang w:val="en-US"/>
        </w:rPr>
        <w:t>7.</w:t>
      </w:r>
      <w:r w:rsidRPr="00433261">
        <w:rPr>
          <w:rFonts w:ascii="Times New Roman" w:eastAsia="Times New Roman" w:hAnsi="Times New Roman" w:cs="Times New Roman"/>
          <w:b/>
          <w:bCs/>
          <w:sz w:val="28"/>
          <w:szCs w:val="28"/>
          <w:lang w:val="en-US"/>
        </w:rPr>
        <w:t xml:space="preserve"> </w:t>
      </w:r>
      <w:r w:rsidRPr="00433261">
        <w:rPr>
          <w:rFonts w:ascii="Times New Roman" w:eastAsia="Times New Roman" w:hAnsi="Times New Roman" w:cs="Times New Roman"/>
          <w:sz w:val="28"/>
          <w:szCs w:val="28"/>
          <w:lang w:val="en-US"/>
        </w:rPr>
        <w:t xml:space="preserve">Овсянникова О. Н. Медикаментозная коррекция атерогенных дислипидемий пожилых больных ИБС и холестерозом желчного пузыря / О. Н. Овсянникова, Л. А. Звенигородская, А. А. Ильченко // Клин. геронтология. — 2006. — Т.12. — №1. — </w:t>
      </w:r>
      <w:proofErr w:type="gramStart"/>
      <w:r w:rsidRPr="00433261">
        <w:rPr>
          <w:rFonts w:ascii="Times New Roman" w:eastAsia="Times New Roman" w:hAnsi="Times New Roman" w:cs="Times New Roman"/>
          <w:sz w:val="28"/>
          <w:szCs w:val="28"/>
          <w:lang w:val="en-US"/>
        </w:rPr>
        <w:t>С. 12</w:t>
      </w:r>
      <w:proofErr w:type="gramEnd"/>
      <w:r w:rsidRPr="00433261">
        <w:rPr>
          <w:rFonts w:ascii="Times New Roman" w:eastAsia="Times New Roman" w:hAnsi="Times New Roman" w:cs="Times New Roman"/>
          <w:sz w:val="28"/>
          <w:szCs w:val="28"/>
          <w:lang w:val="en-US"/>
        </w:rPr>
        <w:t>–15.</w:t>
      </w:r>
    </w:p>
    <w:p w:rsidR="00E33433" w:rsidRPr="00433261" w:rsidRDefault="00E33433" w:rsidP="00433261">
      <w:pPr>
        <w:spacing w:after="0" w:line="240" w:lineRule="auto"/>
        <w:jc w:val="both"/>
        <w:rPr>
          <w:rFonts w:ascii="Times New Roman" w:eastAsia="Times New Roman" w:hAnsi="Times New Roman" w:cs="Times New Roman"/>
          <w:sz w:val="28"/>
          <w:szCs w:val="28"/>
          <w:lang w:val="en-US"/>
        </w:rPr>
      </w:pPr>
      <w:r w:rsidRPr="00433261">
        <w:rPr>
          <w:rFonts w:ascii="Times New Roman" w:eastAsia="Times New Roman" w:hAnsi="Times New Roman" w:cs="Times New Roman"/>
          <w:sz w:val="28"/>
          <w:szCs w:val="28"/>
          <w:lang w:val="en-US"/>
        </w:rPr>
        <w:t xml:space="preserve">8. Порівняльний аналіз ефективності полікозанолу та симвастатину в корекції порушень ліпідного обміну, параметрів інсулінової резистентності у хворих на цукровий діабет 2-го типу з дисліпопротеїнемією / О. О. Сергієнко, В. О. Сергієнко, М. Є. Гоцко, А. М. Урбанович // Клінічна ендокринологія та ендокринна хірургія. — 2013. — №2 (43). — </w:t>
      </w:r>
      <w:proofErr w:type="gramStart"/>
      <w:r w:rsidRPr="00433261">
        <w:rPr>
          <w:rFonts w:ascii="Times New Roman" w:eastAsia="Times New Roman" w:hAnsi="Times New Roman" w:cs="Times New Roman"/>
          <w:sz w:val="28"/>
          <w:szCs w:val="28"/>
          <w:lang w:val="en-US"/>
        </w:rPr>
        <w:t>С. 21</w:t>
      </w:r>
      <w:proofErr w:type="gramEnd"/>
      <w:r w:rsidRPr="00433261">
        <w:rPr>
          <w:rFonts w:ascii="Times New Roman" w:eastAsia="Times New Roman" w:hAnsi="Times New Roman" w:cs="Times New Roman"/>
          <w:sz w:val="28"/>
          <w:szCs w:val="28"/>
          <w:lang w:val="en-US"/>
        </w:rPr>
        <w:t xml:space="preserve">–29. </w:t>
      </w:r>
    </w:p>
    <w:p w:rsidR="00E33433" w:rsidRPr="00433261" w:rsidRDefault="00E33433" w:rsidP="00433261">
      <w:pPr>
        <w:widowControl w:val="0"/>
        <w:spacing w:after="0" w:line="240" w:lineRule="auto"/>
        <w:jc w:val="both"/>
        <w:rPr>
          <w:rFonts w:ascii="Times New Roman" w:eastAsia="Times New Roman" w:hAnsi="Times New Roman" w:cs="Times New Roman"/>
          <w:sz w:val="28"/>
          <w:szCs w:val="28"/>
          <w:lang w:val="en-US"/>
        </w:rPr>
      </w:pPr>
      <w:r w:rsidRPr="00433261">
        <w:rPr>
          <w:rFonts w:ascii="Times New Roman" w:eastAsia="Times New Roman" w:hAnsi="Times New Roman" w:cs="Times New Roman"/>
          <w:sz w:val="28"/>
          <w:szCs w:val="28"/>
          <w:lang w:val="en-US"/>
        </w:rPr>
        <w:lastRenderedPageBreak/>
        <w:t xml:space="preserve">9. Совместные рекомендации Европейского общества кардиологов и Европейского общества по борьбе с атеросклерозом по лечению дислипидемий. Часть 1 // Укр. тер. </w:t>
      </w:r>
      <w:proofErr w:type="gramStart"/>
      <w:r w:rsidRPr="00433261">
        <w:rPr>
          <w:rFonts w:ascii="Times New Roman" w:eastAsia="Times New Roman" w:hAnsi="Times New Roman" w:cs="Times New Roman"/>
          <w:sz w:val="28"/>
          <w:szCs w:val="28"/>
          <w:lang w:val="en-US"/>
        </w:rPr>
        <w:t>журн</w:t>
      </w:r>
      <w:proofErr w:type="gramEnd"/>
      <w:r w:rsidRPr="00433261">
        <w:rPr>
          <w:rFonts w:ascii="Times New Roman" w:eastAsia="Times New Roman" w:hAnsi="Times New Roman" w:cs="Times New Roman"/>
          <w:sz w:val="28"/>
          <w:szCs w:val="28"/>
          <w:lang w:val="en-US"/>
        </w:rPr>
        <w:t xml:space="preserve">. — 2011. — №4. — </w:t>
      </w:r>
      <w:proofErr w:type="gramStart"/>
      <w:r w:rsidRPr="00433261">
        <w:rPr>
          <w:rFonts w:ascii="Times New Roman" w:eastAsia="Times New Roman" w:hAnsi="Times New Roman" w:cs="Times New Roman"/>
          <w:sz w:val="28"/>
          <w:szCs w:val="28"/>
          <w:lang w:val="en-US"/>
        </w:rPr>
        <w:t>С. 5</w:t>
      </w:r>
      <w:proofErr w:type="gramEnd"/>
      <w:r w:rsidRPr="00433261">
        <w:rPr>
          <w:rFonts w:ascii="Times New Roman" w:eastAsia="Times New Roman" w:hAnsi="Times New Roman" w:cs="Times New Roman"/>
          <w:sz w:val="28"/>
          <w:szCs w:val="28"/>
          <w:lang w:val="en-US"/>
        </w:rPr>
        <w:t>–17.</w:t>
      </w:r>
    </w:p>
    <w:p w:rsidR="00E33433" w:rsidRPr="00433261" w:rsidRDefault="00E33433" w:rsidP="00433261">
      <w:pPr>
        <w:widowControl w:val="0"/>
        <w:spacing w:after="0" w:line="240" w:lineRule="auto"/>
        <w:jc w:val="both"/>
        <w:rPr>
          <w:rFonts w:ascii="Times New Roman" w:eastAsia="Times New Roman" w:hAnsi="Times New Roman" w:cs="Times New Roman"/>
          <w:sz w:val="28"/>
          <w:szCs w:val="28"/>
          <w:lang w:val="en-US"/>
        </w:rPr>
      </w:pPr>
      <w:r w:rsidRPr="00433261">
        <w:rPr>
          <w:rFonts w:ascii="Times New Roman" w:eastAsia="Times New Roman" w:hAnsi="Times New Roman" w:cs="Times New Roman"/>
          <w:sz w:val="28"/>
          <w:szCs w:val="28"/>
          <w:lang w:val="en-US"/>
        </w:rPr>
        <w:t>10. Совместны</w:t>
      </w:r>
      <w:r w:rsidRPr="00433261">
        <w:rPr>
          <w:rFonts w:ascii="Times New Roman" w:eastAsia="Times New Roman" w:hAnsi="Times New Roman" w:cs="Times New Roman"/>
          <w:bCs/>
          <w:sz w:val="28"/>
          <w:szCs w:val="28"/>
          <w:lang w:val="en-US"/>
        </w:rPr>
        <w:t>е</w:t>
      </w:r>
      <w:r w:rsidRPr="00433261">
        <w:rPr>
          <w:rFonts w:ascii="Times New Roman" w:eastAsia="Times New Roman" w:hAnsi="Times New Roman" w:cs="Times New Roman"/>
          <w:b/>
          <w:bCs/>
          <w:sz w:val="28"/>
          <w:szCs w:val="28"/>
          <w:lang w:val="en-US"/>
        </w:rPr>
        <w:t xml:space="preserve"> </w:t>
      </w:r>
      <w:r w:rsidRPr="00433261">
        <w:rPr>
          <w:rFonts w:ascii="Times New Roman" w:eastAsia="Times New Roman" w:hAnsi="Times New Roman" w:cs="Times New Roman"/>
          <w:sz w:val="28"/>
          <w:szCs w:val="28"/>
          <w:lang w:val="en-US"/>
        </w:rPr>
        <w:t xml:space="preserve">рекомендации Европейского общества кардиологов и Европейского общества по борьбе с атеросклерозом по лечению дислипидемий. Часть 4 // Укр. тер. </w:t>
      </w:r>
      <w:proofErr w:type="gramStart"/>
      <w:r w:rsidRPr="00433261">
        <w:rPr>
          <w:rFonts w:ascii="Times New Roman" w:eastAsia="Times New Roman" w:hAnsi="Times New Roman" w:cs="Times New Roman"/>
          <w:sz w:val="28"/>
          <w:szCs w:val="28"/>
          <w:lang w:val="en-US"/>
        </w:rPr>
        <w:t>журн</w:t>
      </w:r>
      <w:proofErr w:type="gramEnd"/>
      <w:r w:rsidRPr="00433261">
        <w:rPr>
          <w:rFonts w:ascii="Times New Roman" w:eastAsia="Times New Roman" w:hAnsi="Times New Roman" w:cs="Times New Roman"/>
          <w:sz w:val="28"/>
          <w:szCs w:val="28"/>
          <w:lang w:val="en-US"/>
        </w:rPr>
        <w:t xml:space="preserve">. — 2013. — №2. — </w:t>
      </w:r>
      <w:proofErr w:type="gramStart"/>
      <w:r w:rsidRPr="00433261">
        <w:rPr>
          <w:rFonts w:ascii="Times New Roman" w:eastAsia="Times New Roman" w:hAnsi="Times New Roman" w:cs="Times New Roman"/>
          <w:sz w:val="28"/>
          <w:szCs w:val="28"/>
          <w:lang w:val="en-US"/>
        </w:rPr>
        <w:t>С. 12</w:t>
      </w:r>
      <w:proofErr w:type="gramEnd"/>
      <w:r w:rsidRPr="00433261">
        <w:rPr>
          <w:rFonts w:ascii="Times New Roman" w:eastAsia="Times New Roman" w:hAnsi="Times New Roman" w:cs="Times New Roman"/>
          <w:sz w:val="28"/>
          <w:szCs w:val="28"/>
          <w:lang w:val="en-US"/>
        </w:rPr>
        <w:t>–23.</w:t>
      </w:r>
    </w:p>
    <w:p w:rsidR="00E33433" w:rsidRPr="00433261" w:rsidRDefault="00E33433" w:rsidP="00433261">
      <w:pPr>
        <w:spacing w:after="0" w:line="240" w:lineRule="auto"/>
        <w:jc w:val="both"/>
        <w:rPr>
          <w:rFonts w:ascii="Times New Roman" w:eastAsia="Times New Roman" w:hAnsi="Times New Roman" w:cs="Times New Roman"/>
          <w:bCs/>
          <w:sz w:val="28"/>
          <w:szCs w:val="28"/>
          <w:lang w:val="en-US"/>
        </w:rPr>
      </w:pPr>
      <w:r w:rsidRPr="00433261">
        <w:rPr>
          <w:rFonts w:ascii="Times New Roman" w:eastAsia="Times New Roman" w:hAnsi="Times New Roman" w:cs="Times New Roman"/>
          <w:bCs/>
          <w:sz w:val="28"/>
          <w:szCs w:val="28"/>
          <w:lang w:val="en-US"/>
        </w:rPr>
        <w:t>11. Христич</w:t>
      </w:r>
      <w:r w:rsidRPr="00433261">
        <w:rPr>
          <w:rFonts w:ascii="Times New Roman" w:eastAsia="Times New Roman" w:hAnsi="Times New Roman" w:cs="Times New Roman"/>
          <w:b/>
          <w:sz w:val="28"/>
          <w:szCs w:val="28"/>
          <w:lang w:val="en-US"/>
        </w:rPr>
        <w:t xml:space="preserve"> </w:t>
      </w:r>
      <w:r w:rsidRPr="00433261">
        <w:rPr>
          <w:rFonts w:ascii="Times New Roman" w:eastAsia="Times New Roman" w:hAnsi="Times New Roman" w:cs="Times New Roman"/>
          <w:bCs/>
          <w:sz w:val="28"/>
          <w:szCs w:val="28"/>
          <w:lang w:val="en-US"/>
        </w:rPr>
        <w:t xml:space="preserve">Т. Н. Клинико-патогенетические особенности сочетанного течения хронического панкреатита и ишемической болезни сердца / Т. Н. Христич, Т. Б. Кендзерская, М. В. Дяк // Гастроентерологія. Міжвідомчий збірник. — 2004. — Вип. 35 — Дніпропетровськ — 2004. — </w:t>
      </w:r>
      <w:proofErr w:type="gramStart"/>
      <w:r w:rsidRPr="00433261">
        <w:rPr>
          <w:rFonts w:ascii="Times New Roman" w:eastAsia="Times New Roman" w:hAnsi="Times New Roman" w:cs="Times New Roman"/>
          <w:bCs/>
          <w:sz w:val="28"/>
          <w:szCs w:val="28"/>
          <w:lang w:val="en-US"/>
        </w:rPr>
        <w:t>С. 374</w:t>
      </w:r>
      <w:proofErr w:type="gramEnd"/>
      <w:r w:rsidRPr="00433261">
        <w:rPr>
          <w:rFonts w:ascii="Times New Roman" w:eastAsia="Times New Roman" w:hAnsi="Times New Roman" w:cs="Times New Roman"/>
          <w:bCs/>
          <w:sz w:val="28"/>
          <w:szCs w:val="28"/>
          <w:lang w:val="en-US"/>
        </w:rPr>
        <w:t>–380.</w:t>
      </w:r>
    </w:p>
    <w:p w:rsidR="00E33433" w:rsidRPr="00433261" w:rsidRDefault="00E33433" w:rsidP="00433261">
      <w:pPr>
        <w:spacing w:after="0" w:line="240" w:lineRule="auto"/>
        <w:jc w:val="both"/>
        <w:rPr>
          <w:rFonts w:ascii="Times New Roman" w:eastAsia="Times New Roman" w:hAnsi="Times New Roman" w:cs="Times New Roman"/>
          <w:sz w:val="28"/>
          <w:szCs w:val="28"/>
          <w:lang w:val="en-US"/>
        </w:rPr>
      </w:pPr>
      <w:r w:rsidRPr="00433261">
        <w:rPr>
          <w:rFonts w:ascii="Times New Roman" w:eastAsia="Times New Roman" w:hAnsi="Times New Roman" w:cs="Times New Roman"/>
          <w:bCs/>
          <w:sz w:val="28"/>
          <w:szCs w:val="28"/>
          <w:lang w:val="en-US"/>
        </w:rPr>
        <w:t xml:space="preserve">12. Христич Т. М. Патогенетична роль підшлункової залози в розвитку і прогресуванні метаболічного синдрому (Частина І. Інсулінорезестентність, порушення толерантності до глюкози, дисліпопротеїнемія, активація вільнорадикального окиснення / Т. М. Христич, Т. Б. Кендзерська // Досягнення біології та медицини. — 2004. — №1 (3). — </w:t>
      </w:r>
      <w:proofErr w:type="gramStart"/>
      <w:r w:rsidRPr="00433261">
        <w:rPr>
          <w:rFonts w:ascii="Times New Roman" w:eastAsia="Times New Roman" w:hAnsi="Times New Roman" w:cs="Times New Roman"/>
          <w:bCs/>
          <w:sz w:val="28"/>
          <w:szCs w:val="28"/>
          <w:lang w:val="en-US"/>
        </w:rPr>
        <w:t>С. 20</w:t>
      </w:r>
      <w:proofErr w:type="gramEnd"/>
      <w:r w:rsidRPr="00433261">
        <w:rPr>
          <w:rFonts w:ascii="Times New Roman" w:eastAsia="Times New Roman" w:hAnsi="Times New Roman" w:cs="Times New Roman"/>
          <w:bCs/>
          <w:sz w:val="28"/>
          <w:szCs w:val="28"/>
          <w:lang w:val="en-US"/>
        </w:rPr>
        <w:t>–27.</w:t>
      </w:r>
      <w:r w:rsidRPr="00433261">
        <w:rPr>
          <w:rFonts w:ascii="Times New Roman" w:eastAsia="Times New Roman" w:hAnsi="Times New Roman" w:cs="Times New Roman"/>
          <w:sz w:val="28"/>
          <w:szCs w:val="28"/>
          <w:lang w:val="en-US"/>
        </w:rPr>
        <w:t xml:space="preserve"> </w:t>
      </w:r>
    </w:p>
    <w:p w:rsidR="00E33433" w:rsidRPr="00433261" w:rsidRDefault="00E33433" w:rsidP="00433261">
      <w:pPr>
        <w:spacing w:after="0" w:line="240" w:lineRule="auto"/>
        <w:jc w:val="both"/>
        <w:rPr>
          <w:rFonts w:ascii="Times New Roman" w:eastAsia="Times New Roman" w:hAnsi="Times New Roman" w:cs="Times New Roman"/>
          <w:sz w:val="28"/>
          <w:szCs w:val="28"/>
          <w:lang w:val="en-US"/>
        </w:rPr>
      </w:pPr>
      <w:r w:rsidRPr="00433261">
        <w:rPr>
          <w:rFonts w:ascii="Times New Roman" w:eastAsia="Times New Roman" w:hAnsi="Times New Roman" w:cs="Times New Roman"/>
          <w:sz w:val="28"/>
          <w:szCs w:val="28"/>
          <w:lang w:val="en-US"/>
        </w:rPr>
        <w:t xml:space="preserve">13. Чернышов В. А. Неалкогольная жировая болезнь печени и физическая активность: влияние физических тренировок на содержание внутрипеченочных липидов / В. А. Чернышов, Л. В. Богун // Сучасна гастроентерологія. — 2017. — №1 (93). — </w:t>
      </w:r>
      <w:proofErr w:type="gramStart"/>
      <w:r w:rsidRPr="00433261">
        <w:rPr>
          <w:rFonts w:ascii="Times New Roman" w:eastAsia="Times New Roman" w:hAnsi="Times New Roman" w:cs="Times New Roman"/>
          <w:sz w:val="28"/>
          <w:szCs w:val="28"/>
          <w:lang w:val="en-US"/>
        </w:rPr>
        <w:t>С. 98</w:t>
      </w:r>
      <w:proofErr w:type="gramEnd"/>
      <w:r w:rsidRPr="00433261">
        <w:rPr>
          <w:rFonts w:ascii="Times New Roman" w:eastAsia="Times New Roman" w:hAnsi="Times New Roman" w:cs="Times New Roman"/>
          <w:sz w:val="28"/>
          <w:szCs w:val="28"/>
          <w:lang w:val="en-US"/>
        </w:rPr>
        <w:t xml:space="preserve">–110. </w:t>
      </w:r>
    </w:p>
    <w:p w:rsidR="00E33433" w:rsidRPr="00433261" w:rsidRDefault="00E33433" w:rsidP="00433261">
      <w:pPr>
        <w:spacing w:after="0" w:line="240" w:lineRule="auto"/>
        <w:jc w:val="both"/>
        <w:rPr>
          <w:rFonts w:ascii="Times New Roman" w:eastAsia="Times New Roman" w:hAnsi="Times New Roman" w:cs="Times New Roman"/>
          <w:sz w:val="28"/>
          <w:szCs w:val="28"/>
          <w:lang w:val="en-US"/>
        </w:rPr>
      </w:pPr>
      <w:r w:rsidRPr="00433261">
        <w:rPr>
          <w:rFonts w:ascii="Times New Roman" w:eastAsia="Times New Roman" w:hAnsi="Times New Roman" w:cs="Times New Roman"/>
          <w:sz w:val="28"/>
          <w:szCs w:val="28"/>
          <w:lang w:val="en-US"/>
        </w:rPr>
        <w:t xml:space="preserve">14. Чернышов В. А. Постпищевая липемия и воспаление: взаимосвязь с образом жизни и метаболическим синдромом / В. А.Чернышов, Л. В. Богун // Сучасна гастроентерологія. — 2013. — №2 (70). — </w:t>
      </w:r>
      <w:proofErr w:type="gramStart"/>
      <w:r w:rsidRPr="00433261">
        <w:rPr>
          <w:rFonts w:ascii="Times New Roman" w:eastAsia="Times New Roman" w:hAnsi="Times New Roman" w:cs="Times New Roman"/>
          <w:sz w:val="28"/>
          <w:szCs w:val="28"/>
          <w:lang w:val="en-US"/>
        </w:rPr>
        <w:t>С. 130</w:t>
      </w:r>
      <w:proofErr w:type="gramEnd"/>
      <w:r w:rsidRPr="00433261">
        <w:rPr>
          <w:rFonts w:ascii="Times New Roman" w:eastAsia="Times New Roman" w:hAnsi="Times New Roman" w:cs="Times New Roman"/>
          <w:sz w:val="28"/>
          <w:szCs w:val="28"/>
          <w:lang w:val="en-US"/>
        </w:rPr>
        <w:t xml:space="preserve">–137. </w:t>
      </w:r>
    </w:p>
    <w:p w:rsidR="00E33433" w:rsidRPr="00433261" w:rsidRDefault="00E33433" w:rsidP="00433261">
      <w:pPr>
        <w:spacing w:after="0" w:line="240" w:lineRule="auto"/>
        <w:jc w:val="both"/>
        <w:rPr>
          <w:rFonts w:ascii="Times New Roman" w:eastAsia="Times New Roman" w:hAnsi="Times New Roman" w:cs="Times New Roman"/>
          <w:sz w:val="28"/>
          <w:szCs w:val="28"/>
          <w:lang w:val="en-US"/>
        </w:rPr>
      </w:pPr>
      <w:r w:rsidRPr="00433261">
        <w:rPr>
          <w:rFonts w:ascii="Times New Roman" w:eastAsia="Times New Roman" w:hAnsi="Times New Roman" w:cs="Times New Roman"/>
          <w:sz w:val="28"/>
          <w:szCs w:val="28"/>
          <w:lang w:val="en-US"/>
        </w:rPr>
        <w:t xml:space="preserve">15. Effects of addition of policosanol to omega-3 fatty acid therapy on the lipid profile of patients with type II hypercholesterolaemia / G. Castano, L. Fernandez, R. Mas [et al.] // Drugs. — 2005. — Vol. 6, №4. — P. 207–219. </w:t>
      </w:r>
    </w:p>
    <w:p w:rsidR="00E33433" w:rsidRPr="00433261" w:rsidRDefault="00E33433" w:rsidP="00433261">
      <w:pPr>
        <w:spacing w:after="0" w:line="240" w:lineRule="auto"/>
        <w:jc w:val="both"/>
        <w:rPr>
          <w:rFonts w:ascii="Times New Roman" w:eastAsia="Times New Roman" w:hAnsi="Times New Roman" w:cs="Times New Roman"/>
          <w:sz w:val="28"/>
          <w:szCs w:val="28"/>
          <w:lang w:val="en-US"/>
        </w:rPr>
      </w:pPr>
      <w:r w:rsidRPr="00433261">
        <w:rPr>
          <w:rFonts w:ascii="Times New Roman" w:eastAsia="Times New Roman" w:hAnsi="Times New Roman" w:cs="Times New Roman"/>
          <w:sz w:val="28"/>
          <w:szCs w:val="28"/>
          <w:lang w:val="en-US"/>
        </w:rPr>
        <w:t xml:space="preserve">16. </w:t>
      </w:r>
      <w:hyperlink r:id="rId7" w:history="1">
        <w:r w:rsidRPr="00433261">
          <w:rPr>
            <w:rFonts w:ascii="Times New Roman" w:eastAsia="Times New Roman" w:hAnsi="Times New Roman" w:cs="Times New Roman"/>
            <w:sz w:val="28"/>
            <w:szCs w:val="28"/>
            <w:lang w:val="en-US"/>
          </w:rPr>
          <w:t>Cholesterol Treatment Trialists’ (CTT) Collaborators</w:t>
        </w:r>
      </w:hyperlink>
      <w:r w:rsidRPr="00433261">
        <w:rPr>
          <w:rFonts w:ascii="Times New Roman" w:eastAsia="Times New Roman" w:hAnsi="Times New Roman" w:cs="Times New Roman"/>
          <w:sz w:val="28"/>
          <w:szCs w:val="28"/>
          <w:lang w:val="en-US"/>
        </w:rPr>
        <w:t xml:space="preserve">. The effects of lowering LDL cholesterol with statin therapy in people at low risk of vascular disease : meta-analysis of individual data from 27 randomised trials / B. </w:t>
      </w:r>
      <w:hyperlink r:id="rId8" w:history="1">
        <w:r w:rsidRPr="00433261">
          <w:rPr>
            <w:rFonts w:ascii="Times New Roman" w:eastAsia="Times New Roman" w:hAnsi="Times New Roman" w:cs="Times New Roman"/>
            <w:sz w:val="28"/>
            <w:szCs w:val="28"/>
            <w:lang w:val="en-US"/>
          </w:rPr>
          <w:t>Mihaylova</w:t>
        </w:r>
      </w:hyperlink>
      <w:r w:rsidRPr="00433261">
        <w:rPr>
          <w:rFonts w:ascii="Times New Roman" w:eastAsia="Times New Roman" w:hAnsi="Times New Roman" w:cs="Times New Roman"/>
          <w:sz w:val="28"/>
          <w:szCs w:val="28"/>
          <w:lang w:val="en-US"/>
        </w:rPr>
        <w:t xml:space="preserve">, J. </w:t>
      </w:r>
      <w:hyperlink r:id="rId9" w:history="1">
        <w:r w:rsidRPr="00433261">
          <w:rPr>
            <w:rFonts w:ascii="Times New Roman" w:eastAsia="Times New Roman" w:hAnsi="Times New Roman" w:cs="Times New Roman"/>
            <w:sz w:val="28"/>
            <w:szCs w:val="28"/>
            <w:lang w:val="en-US"/>
          </w:rPr>
          <w:t>Emberson</w:t>
        </w:r>
      </w:hyperlink>
      <w:r w:rsidRPr="00433261">
        <w:rPr>
          <w:rFonts w:ascii="Times New Roman" w:eastAsia="Times New Roman" w:hAnsi="Times New Roman" w:cs="Times New Roman"/>
          <w:sz w:val="28"/>
          <w:szCs w:val="28"/>
          <w:lang w:val="en-US"/>
        </w:rPr>
        <w:t xml:space="preserve">, L. </w:t>
      </w:r>
      <w:hyperlink r:id="rId10" w:history="1">
        <w:r w:rsidRPr="00433261">
          <w:rPr>
            <w:rFonts w:ascii="Times New Roman" w:eastAsia="Times New Roman" w:hAnsi="Times New Roman" w:cs="Times New Roman"/>
            <w:sz w:val="28"/>
            <w:szCs w:val="28"/>
            <w:lang w:val="en-US"/>
          </w:rPr>
          <w:t>Blackwell</w:t>
        </w:r>
      </w:hyperlink>
      <w:r w:rsidRPr="00433261">
        <w:rPr>
          <w:rFonts w:ascii="Times New Roman" w:eastAsia="Times New Roman" w:hAnsi="Times New Roman" w:cs="Times New Roman"/>
          <w:sz w:val="28"/>
          <w:szCs w:val="28"/>
          <w:lang w:val="en-US"/>
        </w:rPr>
        <w:t xml:space="preserve"> [et al.] // Lancet. — 2012. — Vol. 380, No 9841. — P. 581–590.</w:t>
      </w:r>
    </w:p>
    <w:p w:rsidR="00E33433" w:rsidRPr="00433261" w:rsidRDefault="00E33433" w:rsidP="00433261">
      <w:pPr>
        <w:widowControl w:val="0"/>
        <w:spacing w:after="0" w:line="240" w:lineRule="auto"/>
        <w:jc w:val="both"/>
        <w:rPr>
          <w:rFonts w:ascii="Times New Roman" w:eastAsia="Times New Roman" w:hAnsi="Times New Roman" w:cs="Times New Roman"/>
          <w:sz w:val="28"/>
          <w:szCs w:val="28"/>
          <w:lang w:val="en-US"/>
        </w:rPr>
      </w:pPr>
      <w:r w:rsidRPr="00433261">
        <w:rPr>
          <w:rFonts w:ascii="Times New Roman" w:eastAsia="Times New Roman" w:hAnsi="Times New Roman" w:cs="Times New Roman"/>
          <w:sz w:val="28"/>
          <w:szCs w:val="28"/>
          <w:lang w:val="en-US"/>
        </w:rPr>
        <w:t xml:space="preserve">17. Cromwell W. C. Low-density lipoprotein and apolipoprptein B: clinical use patients with coronary heart disease / W. C. Cromwell, T. A. Barringer // Curr. </w:t>
      </w:r>
      <w:proofErr w:type="gramStart"/>
      <w:r w:rsidRPr="00433261">
        <w:rPr>
          <w:rFonts w:ascii="Times New Roman" w:eastAsia="Times New Roman" w:hAnsi="Times New Roman" w:cs="Times New Roman"/>
          <w:sz w:val="28"/>
          <w:szCs w:val="28"/>
          <w:lang w:val="en-US"/>
        </w:rPr>
        <w:t>Cardiol.</w:t>
      </w:r>
      <w:proofErr w:type="gramEnd"/>
      <w:r w:rsidRPr="00433261">
        <w:rPr>
          <w:rFonts w:ascii="Times New Roman" w:eastAsia="Times New Roman" w:hAnsi="Times New Roman" w:cs="Times New Roman"/>
          <w:sz w:val="28"/>
          <w:szCs w:val="28"/>
          <w:lang w:val="en-US"/>
        </w:rPr>
        <w:t xml:space="preserve"> </w:t>
      </w:r>
      <w:proofErr w:type="gramStart"/>
      <w:r w:rsidRPr="00433261">
        <w:rPr>
          <w:rFonts w:ascii="Times New Roman" w:eastAsia="Times New Roman" w:hAnsi="Times New Roman" w:cs="Times New Roman"/>
          <w:sz w:val="28"/>
          <w:szCs w:val="28"/>
          <w:lang w:val="en-US"/>
        </w:rPr>
        <w:t>Resp. — 2009.</w:t>
      </w:r>
      <w:proofErr w:type="gramEnd"/>
      <w:r w:rsidRPr="00433261">
        <w:rPr>
          <w:rFonts w:ascii="Times New Roman" w:eastAsia="Times New Roman" w:hAnsi="Times New Roman" w:cs="Times New Roman"/>
          <w:sz w:val="28"/>
          <w:szCs w:val="28"/>
          <w:lang w:val="en-US"/>
        </w:rPr>
        <w:t xml:space="preserve"> — Vol. 5. — P. 338–367.</w:t>
      </w:r>
    </w:p>
    <w:p w:rsidR="00E33433" w:rsidRPr="00433261" w:rsidRDefault="00E33433" w:rsidP="00433261">
      <w:pPr>
        <w:widowControl w:val="0"/>
        <w:spacing w:after="0" w:line="240" w:lineRule="auto"/>
        <w:jc w:val="both"/>
        <w:rPr>
          <w:rFonts w:ascii="Times New Roman" w:eastAsia="Times New Roman" w:hAnsi="Times New Roman" w:cs="Times New Roman"/>
          <w:sz w:val="28"/>
          <w:szCs w:val="28"/>
          <w:lang w:val="en-US"/>
        </w:rPr>
      </w:pPr>
      <w:r w:rsidRPr="00433261">
        <w:rPr>
          <w:rFonts w:ascii="Times New Roman" w:eastAsia="Times New Roman" w:hAnsi="Times New Roman" w:cs="Times New Roman"/>
          <w:sz w:val="28"/>
          <w:szCs w:val="28"/>
          <w:lang w:val="en-US"/>
        </w:rPr>
        <w:t>18. Johansen</w:t>
      </w:r>
      <w:r w:rsidRPr="00433261">
        <w:rPr>
          <w:rFonts w:ascii="Times New Roman" w:eastAsia="Times New Roman" w:hAnsi="Times New Roman" w:cs="Times New Roman"/>
          <w:b/>
          <w:bCs/>
          <w:sz w:val="28"/>
          <w:szCs w:val="28"/>
          <w:lang w:val="en-US"/>
        </w:rPr>
        <w:t xml:space="preserve"> </w:t>
      </w:r>
      <w:r w:rsidRPr="00433261">
        <w:rPr>
          <w:rFonts w:ascii="Times New Roman" w:eastAsia="Times New Roman" w:hAnsi="Times New Roman" w:cs="Times New Roman"/>
          <w:bCs/>
          <w:sz w:val="28"/>
          <w:szCs w:val="28"/>
          <w:lang w:val="en-US"/>
        </w:rPr>
        <w:t xml:space="preserve">C. </w:t>
      </w:r>
      <w:r w:rsidRPr="00433261">
        <w:rPr>
          <w:rFonts w:ascii="Times New Roman" w:eastAsia="Times New Roman" w:hAnsi="Times New Roman" w:cs="Times New Roman"/>
          <w:sz w:val="28"/>
          <w:szCs w:val="28"/>
          <w:lang w:val="en-US"/>
        </w:rPr>
        <w:t xml:space="preserve">T. Genetic bases of hypertriglyceridemic phenotypes / C. T. Johansen, R. A. Hegele // Curr. </w:t>
      </w:r>
      <w:proofErr w:type="gramStart"/>
      <w:r w:rsidRPr="00433261">
        <w:rPr>
          <w:rFonts w:ascii="Times New Roman" w:eastAsia="Times New Roman" w:hAnsi="Times New Roman" w:cs="Times New Roman"/>
          <w:sz w:val="28"/>
          <w:szCs w:val="28"/>
          <w:lang w:val="en-US"/>
        </w:rPr>
        <w:t>Opin.</w:t>
      </w:r>
      <w:proofErr w:type="gramEnd"/>
      <w:r w:rsidRPr="00433261">
        <w:rPr>
          <w:rFonts w:ascii="Times New Roman" w:eastAsia="Times New Roman" w:hAnsi="Times New Roman" w:cs="Times New Roman"/>
          <w:sz w:val="28"/>
          <w:szCs w:val="28"/>
          <w:lang w:val="en-US"/>
        </w:rPr>
        <w:t xml:space="preserve"> </w:t>
      </w:r>
      <w:proofErr w:type="gramStart"/>
      <w:r w:rsidRPr="00433261">
        <w:rPr>
          <w:rFonts w:ascii="Times New Roman" w:eastAsia="Times New Roman" w:hAnsi="Times New Roman" w:cs="Times New Roman"/>
          <w:sz w:val="28"/>
          <w:szCs w:val="28"/>
          <w:lang w:val="en-US"/>
        </w:rPr>
        <w:t>Lipidol.</w:t>
      </w:r>
      <w:proofErr w:type="gramEnd"/>
      <w:r w:rsidRPr="00433261">
        <w:rPr>
          <w:rFonts w:ascii="Times New Roman" w:eastAsia="Times New Roman" w:hAnsi="Times New Roman" w:cs="Times New Roman"/>
          <w:sz w:val="28"/>
          <w:szCs w:val="28"/>
          <w:lang w:val="en-US"/>
        </w:rPr>
        <w:t xml:space="preserve"> — 2011. — Vol. 22. — P. 247–253.</w:t>
      </w:r>
    </w:p>
    <w:p w:rsidR="00E33433" w:rsidRPr="00433261" w:rsidRDefault="00E33433" w:rsidP="00433261">
      <w:pPr>
        <w:widowControl w:val="0"/>
        <w:spacing w:after="0" w:line="240" w:lineRule="auto"/>
        <w:jc w:val="both"/>
        <w:rPr>
          <w:rFonts w:ascii="Times New Roman" w:eastAsia="Times New Roman" w:hAnsi="Times New Roman" w:cs="Times New Roman"/>
          <w:sz w:val="28"/>
          <w:szCs w:val="28"/>
          <w:lang w:val="en-US"/>
        </w:rPr>
      </w:pPr>
      <w:r w:rsidRPr="00433261">
        <w:rPr>
          <w:rFonts w:ascii="Times New Roman" w:eastAsia="Times New Roman" w:hAnsi="Times New Roman" w:cs="Times New Roman"/>
          <w:sz w:val="28"/>
          <w:szCs w:val="28"/>
          <w:lang w:val="en-US"/>
        </w:rPr>
        <w:t xml:space="preserve">19. Koh K. Аторвастатин приводит к развитию инсулинорезистентности и увеличивает гликемию у пациентов с гиперхолестеринемией / K. Koh, M. Quon, S. Han // J. Am. Coll. Cardiol. — 2010. — Vol. 55. — P. 1209–1216. </w:t>
      </w:r>
    </w:p>
    <w:p w:rsidR="00E33433" w:rsidRPr="00433261" w:rsidRDefault="00E33433" w:rsidP="00433261">
      <w:pPr>
        <w:widowControl w:val="0"/>
        <w:spacing w:after="0" w:line="240" w:lineRule="auto"/>
        <w:jc w:val="both"/>
        <w:rPr>
          <w:rFonts w:ascii="Times New Roman" w:eastAsia="Times New Roman" w:hAnsi="Times New Roman" w:cs="Times New Roman"/>
          <w:sz w:val="28"/>
          <w:szCs w:val="28"/>
          <w:lang w:val="en-US"/>
        </w:rPr>
      </w:pPr>
      <w:r w:rsidRPr="00433261">
        <w:rPr>
          <w:rFonts w:ascii="Times New Roman" w:eastAsia="Times New Roman" w:hAnsi="Times New Roman" w:cs="Times New Roman"/>
          <w:sz w:val="28"/>
          <w:szCs w:val="28"/>
          <w:lang w:val="en-US"/>
        </w:rPr>
        <w:t xml:space="preserve">20. Policosanols as nutraceuticals: fact or fiction / C. P. Marinangeli, P. J. Jones, A. N. Kassis, M. N. Eskin // Crit. Rev. Food Sci. Nutr. — 2010. — Vol. 50, No 3. — P. 259–267. </w:t>
      </w:r>
    </w:p>
    <w:p w:rsidR="00E33433" w:rsidRPr="00433261" w:rsidRDefault="00E33433" w:rsidP="00433261">
      <w:pPr>
        <w:widowControl w:val="0"/>
        <w:spacing w:after="0" w:line="240" w:lineRule="auto"/>
        <w:jc w:val="both"/>
        <w:rPr>
          <w:rFonts w:ascii="Times New Roman" w:eastAsia="Times New Roman" w:hAnsi="Times New Roman" w:cs="Times New Roman"/>
          <w:sz w:val="28"/>
          <w:szCs w:val="28"/>
          <w:lang w:val="en-US"/>
        </w:rPr>
      </w:pPr>
      <w:r w:rsidRPr="00433261">
        <w:rPr>
          <w:rFonts w:ascii="Times New Roman" w:eastAsia="Times New Roman" w:hAnsi="Times New Roman" w:cs="Times New Roman"/>
          <w:sz w:val="28"/>
          <w:szCs w:val="28"/>
          <w:lang w:val="en-US"/>
        </w:rPr>
        <w:t>21. Mora S. Fasting compared with nonfasting lipids and apolipoproteins for predicting incident cardiovascular events / S. Mora, N. Rifai, J. E. Buring // Circulation. — 2008. — Vol. 118, No 10. — P. 993–1001.</w:t>
      </w:r>
    </w:p>
    <w:p w:rsidR="00037E6B" w:rsidRPr="00433261" w:rsidRDefault="00E33433" w:rsidP="00433261">
      <w:pPr>
        <w:spacing w:after="0" w:line="240" w:lineRule="auto"/>
        <w:jc w:val="both"/>
        <w:rPr>
          <w:rFonts w:ascii="Times New Roman" w:eastAsia="Times New Roman" w:hAnsi="Times New Roman" w:cs="Times New Roman"/>
          <w:color w:val="000000"/>
          <w:sz w:val="28"/>
          <w:szCs w:val="28"/>
          <w:lang w:val="en-US"/>
        </w:rPr>
      </w:pPr>
      <w:r w:rsidRPr="00433261">
        <w:rPr>
          <w:rFonts w:ascii="Times New Roman" w:eastAsia="Times New Roman" w:hAnsi="Times New Roman" w:cs="Times New Roman"/>
          <w:sz w:val="28"/>
          <w:szCs w:val="28"/>
          <w:lang w:val="en-US"/>
        </w:rPr>
        <w:lastRenderedPageBreak/>
        <w:t xml:space="preserve">22. Musa-Veloso K. Long-chain omega-3 fatty acids eicospantaenoic acid and docosaca-hexaenoic acid dose-dependently reduce fasting serum triglycerides / K. Musa-Veloso, M. A. Binns, A. C.Kocenas // Nutr. </w:t>
      </w:r>
      <w:proofErr w:type="gramStart"/>
      <w:r w:rsidRPr="00433261">
        <w:rPr>
          <w:rFonts w:ascii="Times New Roman" w:eastAsia="Times New Roman" w:hAnsi="Times New Roman" w:cs="Times New Roman"/>
          <w:sz w:val="28"/>
          <w:szCs w:val="28"/>
          <w:lang w:val="en-US"/>
        </w:rPr>
        <w:t>Rev. — 2010.</w:t>
      </w:r>
      <w:proofErr w:type="gramEnd"/>
      <w:r w:rsidRPr="00433261">
        <w:rPr>
          <w:rFonts w:ascii="Times New Roman" w:eastAsia="Times New Roman" w:hAnsi="Times New Roman" w:cs="Times New Roman"/>
          <w:sz w:val="28"/>
          <w:szCs w:val="28"/>
          <w:lang w:val="en-US"/>
        </w:rPr>
        <w:t xml:space="preserve"> — Vol. 68. — P. 155–167.</w:t>
      </w:r>
    </w:p>
    <w:p w:rsidR="00037E6B" w:rsidRPr="00433261" w:rsidRDefault="00A1558C" w:rsidP="00037E6B">
      <w:pPr>
        <w:spacing w:after="0" w:line="420" w:lineRule="atLeast"/>
        <w:jc w:val="both"/>
        <w:rPr>
          <w:rFonts w:ascii="Times New Roman" w:eastAsia="Times New Roman" w:hAnsi="Times New Roman" w:cs="Times New Roman"/>
          <w:color w:val="000000"/>
          <w:sz w:val="28"/>
          <w:szCs w:val="28"/>
          <w:lang w:val="en-US"/>
        </w:rPr>
      </w:pPr>
      <w:r w:rsidRPr="00433261">
        <w:rPr>
          <w:rFonts w:ascii="Times New Roman" w:eastAsia="Times New Roman" w:hAnsi="Times New Roman" w:cs="Times New Roman"/>
          <w:color w:val="000000"/>
          <w:sz w:val="28"/>
          <w:szCs w:val="28"/>
          <w:lang w:val="en-US"/>
        </w:rPr>
        <w:t xml:space="preserve"> </w:t>
      </w:r>
    </w:p>
    <w:p w:rsidR="00E33433" w:rsidRPr="00433261" w:rsidRDefault="00E33433" w:rsidP="00E33433">
      <w:pPr>
        <w:spacing w:after="0" w:line="240" w:lineRule="auto"/>
        <w:jc w:val="center"/>
        <w:rPr>
          <w:rFonts w:ascii="Times New Roman" w:eastAsia="Times New Roman" w:hAnsi="Times New Roman" w:cs="Times New Roman"/>
          <w:b/>
          <w:sz w:val="28"/>
          <w:szCs w:val="28"/>
          <w:lang w:val="en-US"/>
        </w:rPr>
      </w:pPr>
      <w:r w:rsidRPr="00433261">
        <w:rPr>
          <w:rFonts w:ascii="Times New Roman" w:eastAsia="Times New Roman" w:hAnsi="Times New Roman" w:cs="Times New Roman"/>
          <w:b/>
          <w:sz w:val="28"/>
          <w:szCs w:val="28"/>
          <w:lang w:val="en-US"/>
        </w:rPr>
        <w:t>Chronic pancreatitis in patients with coronary heart disease: a lipid spectrum of blood, a possibility of correction</w:t>
      </w:r>
    </w:p>
    <w:p w:rsidR="00E33433" w:rsidRPr="00433261" w:rsidRDefault="00E33433" w:rsidP="00E33433">
      <w:pPr>
        <w:spacing w:after="0" w:line="240" w:lineRule="auto"/>
        <w:jc w:val="center"/>
        <w:rPr>
          <w:rFonts w:ascii="Times New Roman" w:eastAsia="Times New Roman" w:hAnsi="Times New Roman" w:cs="Times New Roman"/>
          <w:sz w:val="28"/>
          <w:szCs w:val="28"/>
          <w:lang w:val="en-US"/>
        </w:rPr>
      </w:pPr>
      <w:r w:rsidRPr="00433261">
        <w:rPr>
          <w:rFonts w:ascii="Times New Roman" w:eastAsia="Times New Roman" w:hAnsi="Times New Roman" w:cs="Times New Roman"/>
          <w:sz w:val="28"/>
          <w:szCs w:val="28"/>
          <w:lang w:val="en-US"/>
        </w:rPr>
        <w:t>T. M. Hristich, D. O. Gontsariuk</w:t>
      </w:r>
    </w:p>
    <w:p w:rsidR="00E33433" w:rsidRPr="00433261" w:rsidRDefault="00E33433" w:rsidP="00E33433">
      <w:pPr>
        <w:spacing w:after="0" w:line="240" w:lineRule="auto"/>
        <w:jc w:val="center"/>
        <w:rPr>
          <w:rFonts w:ascii="Times New Roman" w:eastAsia="Times New Roman" w:hAnsi="Times New Roman" w:cs="Times New Roman"/>
          <w:sz w:val="28"/>
          <w:szCs w:val="28"/>
          <w:lang w:val="en-US"/>
        </w:rPr>
      </w:pPr>
      <w:r w:rsidRPr="00433261">
        <w:rPr>
          <w:rFonts w:ascii="Times New Roman" w:eastAsia="Times New Roman" w:hAnsi="Times New Roman" w:cs="Times New Roman"/>
          <w:sz w:val="28"/>
          <w:szCs w:val="28"/>
          <w:lang w:val="en-US"/>
        </w:rPr>
        <w:t>Bukovinian State Medical University, Chernivtsi, Ukraine</w:t>
      </w:r>
    </w:p>
    <w:p w:rsidR="00E33433" w:rsidRPr="00433261" w:rsidRDefault="00E33433" w:rsidP="00E33433">
      <w:pPr>
        <w:spacing w:after="0" w:line="240" w:lineRule="auto"/>
        <w:rPr>
          <w:rFonts w:ascii="Times New Roman" w:eastAsia="Times New Roman" w:hAnsi="Times New Roman" w:cs="Times New Roman"/>
          <w:sz w:val="28"/>
          <w:szCs w:val="28"/>
          <w:lang w:val="en-US"/>
        </w:rPr>
      </w:pPr>
    </w:p>
    <w:p w:rsidR="00E33433" w:rsidRPr="00433261" w:rsidRDefault="00E33433" w:rsidP="00E33433">
      <w:pPr>
        <w:spacing w:after="0" w:line="240" w:lineRule="auto"/>
        <w:ind w:firstLine="709"/>
        <w:jc w:val="both"/>
        <w:rPr>
          <w:rFonts w:ascii="Times New Roman" w:eastAsia="Times New Roman" w:hAnsi="Times New Roman" w:cs="Times New Roman"/>
          <w:sz w:val="28"/>
          <w:szCs w:val="28"/>
          <w:lang w:val="en-US"/>
        </w:rPr>
      </w:pPr>
      <w:r w:rsidRPr="00433261">
        <w:rPr>
          <w:rFonts w:ascii="Times New Roman" w:eastAsia="Times New Roman" w:hAnsi="Times New Roman" w:cs="Times New Roman"/>
          <w:b/>
          <w:sz w:val="28"/>
          <w:szCs w:val="28"/>
          <w:lang w:val="en-US"/>
        </w:rPr>
        <w:t>Key words</w:t>
      </w:r>
      <w:r w:rsidRPr="00433261">
        <w:rPr>
          <w:rFonts w:ascii="Times New Roman" w:eastAsia="Times New Roman" w:hAnsi="Times New Roman" w:cs="Times New Roman"/>
          <w:sz w:val="28"/>
          <w:szCs w:val="28"/>
          <w:lang w:val="en-US"/>
        </w:rPr>
        <w:t>: chronic pancreatitis, atherosclerosis, coronary heart disease, indicators lipidogram, statins, policosanol ("FitoStatin")</w:t>
      </w:r>
    </w:p>
    <w:p w:rsidR="00E33433" w:rsidRPr="00433261" w:rsidRDefault="00E33433" w:rsidP="00E33433">
      <w:pPr>
        <w:spacing w:after="0" w:line="240" w:lineRule="auto"/>
        <w:ind w:firstLine="709"/>
        <w:jc w:val="both"/>
        <w:rPr>
          <w:rFonts w:ascii="Times New Roman" w:eastAsia="Times New Roman" w:hAnsi="Times New Roman" w:cs="Times New Roman"/>
          <w:sz w:val="28"/>
          <w:szCs w:val="28"/>
          <w:lang w:val="en-US"/>
        </w:rPr>
      </w:pPr>
      <w:r w:rsidRPr="00433261">
        <w:rPr>
          <w:rFonts w:ascii="Times New Roman" w:eastAsia="Times New Roman" w:hAnsi="Times New Roman" w:cs="Times New Roman"/>
          <w:b/>
          <w:sz w:val="28"/>
          <w:szCs w:val="28"/>
          <w:lang w:val="en-US"/>
        </w:rPr>
        <w:t>Aim of research</w:t>
      </w:r>
      <w:r w:rsidRPr="00433261">
        <w:rPr>
          <w:rFonts w:ascii="Times New Roman" w:eastAsia="Times New Roman" w:hAnsi="Times New Roman" w:cs="Times New Roman"/>
          <w:sz w:val="28"/>
          <w:szCs w:val="28"/>
          <w:lang w:val="en-US"/>
        </w:rPr>
        <w:t xml:space="preserve"> is to evaluate significance of changes in the lipid spectrum of blood in patients with chronic pancreatitis with coronary heart disease in the pathogenesis of the comorbidity of these diseases and in the dynamics of treatment with polycosanol.</w:t>
      </w:r>
    </w:p>
    <w:p w:rsidR="00E33433" w:rsidRPr="00433261" w:rsidRDefault="00E33433" w:rsidP="00E33433">
      <w:pPr>
        <w:spacing w:after="0" w:line="240" w:lineRule="auto"/>
        <w:ind w:firstLine="709"/>
        <w:jc w:val="both"/>
        <w:rPr>
          <w:rFonts w:ascii="Times New Roman" w:eastAsia="Times New Roman" w:hAnsi="Times New Roman" w:cs="Times New Roman"/>
          <w:sz w:val="28"/>
          <w:szCs w:val="28"/>
          <w:lang w:val="en-US"/>
        </w:rPr>
      </w:pPr>
      <w:proofErr w:type="gramStart"/>
      <w:r w:rsidRPr="00433261">
        <w:rPr>
          <w:rFonts w:ascii="Times New Roman" w:eastAsia="Times New Roman" w:hAnsi="Times New Roman" w:cs="Times New Roman"/>
          <w:b/>
          <w:sz w:val="28"/>
          <w:szCs w:val="28"/>
          <w:lang w:val="en-US"/>
        </w:rPr>
        <w:t>Materials and methods.</w:t>
      </w:r>
      <w:proofErr w:type="gramEnd"/>
      <w:r w:rsidRPr="00433261">
        <w:rPr>
          <w:rFonts w:ascii="Times New Roman" w:eastAsia="Times New Roman" w:hAnsi="Times New Roman" w:cs="Times New Roman"/>
          <w:sz w:val="28"/>
          <w:szCs w:val="28"/>
          <w:lang w:val="en-US"/>
        </w:rPr>
        <w:t xml:space="preserve"> The study was conducted in 22 patients (10 patients with chronic pancreatitis and dyslipidemia, 12 patients with comorbidity of chronic pancreatitis and coronary heart disease in CHD II-II A-B syndrome of stage II-III functional class) and in 10 almost healthy individuals. There were 13 men, 9 women, </w:t>
      </w:r>
      <w:proofErr w:type="gramStart"/>
      <w:r w:rsidRPr="00433261">
        <w:rPr>
          <w:rFonts w:ascii="Times New Roman" w:eastAsia="Times New Roman" w:hAnsi="Times New Roman" w:cs="Times New Roman"/>
          <w:sz w:val="28"/>
          <w:szCs w:val="28"/>
          <w:lang w:val="en-US"/>
        </w:rPr>
        <w:t>31</w:t>
      </w:r>
      <w:proofErr w:type="gramEnd"/>
      <w:r w:rsidRPr="00433261">
        <w:rPr>
          <w:rFonts w:ascii="Times New Roman" w:eastAsia="Times New Roman" w:hAnsi="Times New Roman" w:cs="Times New Roman"/>
          <w:sz w:val="28"/>
          <w:szCs w:val="28"/>
          <w:lang w:val="en-US"/>
        </w:rPr>
        <w:t xml:space="preserve">–69 years old. Patients of two groups in addition to protocol treatment were prescribed polycosanol 10 mg 1 time in the evening during dinner, up to 3 months. To study the characteristics of the lipid spectrum of the blood, the level of total cholesterol, high-density lipoprotein cholesterol, </w:t>
      </w:r>
      <w:proofErr w:type="gramStart"/>
      <w:r w:rsidRPr="00433261">
        <w:rPr>
          <w:rFonts w:ascii="Times New Roman" w:eastAsia="Times New Roman" w:hAnsi="Times New Roman" w:cs="Times New Roman"/>
          <w:sz w:val="28"/>
          <w:szCs w:val="28"/>
          <w:lang w:val="en-US"/>
        </w:rPr>
        <w:t>triglycerols</w:t>
      </w:r>
      <w:proofErr w:type="gramEnd"/>
      <w:r w:rsidRPr="00433261">
        <w:rPr>
          <w:rFonts w:ascii="Times New Roman" w:eastAsia="Times New Roman" w:hAnsi="Times New Roman" w:cs="Times New Roman"/>
          <w:sz w:val="28"/>
          <w:szCs w:val="28"/>
          <w:lang w:val="en-US"/>
        </w:rPr>
        <w:t xml:space="preserve"> was determined (using the Zlatix-Zack-based Lachema reagents (Czech Republic)). The level of low-density lipoprotein cholesterol was determined using the Friedewald calculation method, taking into account that the triglycerol concentration did not exceed </w:t>
      </w:r>
      <w:proofErr w:type="gramStart"/>
      <w:r w:rsidRPr="00433261">
        <w:rPr>
          <w:rFonts w:ascii="Times New Roman" w:eastAsia="Times New Roman" w:hAnsi="Times New Roman" w:cs="Times New Roman"/>
          <w:sz w:val="28"/>
          <w:szCs w:val="28"/>
          <w:lang w:val="en-US"/>
        </w:rPr>
        <w:t>4.5 mmol/l</w:t>
      </w:r>
      <w:proofErr w:type="gramEnd"/>
      <w:r w:rsidRPr="00433261">
        <w:rPr>
          <w:rFonts w:ascii="Times New Roman" w:eastAsia="Times New Roman" w:hAnsi="Times New Roman" w:cs="Times New Roman"/>
          <w:sz w:val="28"/>
          <w:szCs w:val="28"/>
          <w:lang w:val="en-US"/>
        </w:rPr>
        <w:t>. In addition, very low density lipoprotein cholesterol and an atherogenicity index were determined using conventional calculation methods.</w:t>
      </w:r>
    </w:p>
    <w:p w:rsidR="00E33433" w:rsidRPr="00433261" w:rsidRDefault="00E33433" w:rsidP="00E33433">
      <w:pPr>
        <w:spacing w:after="0" w:line="240" w:lineRule="auto"/>
        <w:ind w:firstLine="709"/>
        <w:jc w:val="both"/>
        <w:rPr>
          <w:rFonts w:ascii="Times New Roman" w:eastAsia="Times New Roman" w:hAnsi="Times New Roman" w:cs="Times New Roman"/>
          <w:sz w:val="28"/>
          <w:szCs w:val="28"/>
          <w:lang w:val="en-US"/>
        </w:rPr>
      </w:pPr>
      <w:proofErr w:type="gramStart"/>
      <w:r w:rsidRPr="00433261">
        <w:rPr>
          <w:rFonts w:ascii="Times New Roman" w:eastAsia="Times New Roman" w:hAnsi="Times New Roman" w:cs="Times New Roman"/>
          <w:b/>
          <w:sz w:val="28"/>
          <w:szCs w:val="28"/>
          <w:lang w:val="en-US"/>
        </w:rPr>
        <w:t>Results</w:t>
      </w:r>
      <w:r w:rsidRPr="00433261">
        <w:rPr>
          <w:rFonts w:ascii="Times New Roman" w:eastAsia="Times New Roman" w:hAnsi="Times New Roman" w:cs="Times New Roman"/>
          <w:sz w:val="28"/>
          <w:szCs w:val="28"/>
          <w:lang w:val="en-US"/>
        </w:rPr>
        <w:t>.</w:t>
      </w:r>
      <w:proofErr w:type="gramEnd"/>
      <w:r w:rsidRPr="00433261">
        <w:rPr>
          <w:rFonts w:ascii="Times New Roman" w:eastAsia="Times New Roman" w:hAnsi="Times New Roman" w:cs="Times New Roman"/>
          <w:sz w:val="28"/>
          <w:szCs w:val="28"/>
          <w:lang w:val="en-US"/>
        </w:rPr>
        <w:t xml:space="preserve"> In patients with a combined course of chronic pancreatitis with coronary heart disease, in most cases there is a significant (p&lt;0.05) increase in total cholesterol, low and very low-density lipoproteins and triglycerols. When analyzing the types of dyslipidemia, it was found that ІІа and ІІв types were more common (22 і 25%, respectively), but with comorbidity ІІ and ІV type of dyslipidemia was more often detected. In the dynamics of a three-month treatment with polycosanol in patients with chronic pancreatitis, the cholesterol levels of high-density lipoproteins increased significantly and the triglycerol values </w:t>
      </w:r>
      <w:r w:rsidRPr="00433261">
        <w:rPr>
          <w:rFonts w:ascii="Cambria Math" w:eastAsia="Times New Roman" w:hAnsi="Cambria Math" w:cs="Cambria Math"/>
          <w:sz w:val="28"/>
          <w:szCs w:val="28"/>
          <w:lang w:val="en-US"/>
        </w:rPr>
        <w:t>​​</w:t>
      </w:r>
      <w:r w:rsidRPr="00433261">
        <w:rPr>
          <w:rFonts w:ascii="Times New Roman" w:eastAsia="Times New Roman" w:hAnsi="Times New Roman" w:cs="Times New Roman"/>
          <w:sz w:val="28"/>
          <w:szCs w:val="28"/>
          <w:lang w:val="en-US"/>
        </w:rPr>
        <w:t>significantly decreased, indicating a hypolipidemic effect of the drug and the possibility of using it in combination with statins in order to reduce the risk of cardiovascular events.</w:t>
      </w:r>
    </w:p>
    <w:p w:rsidR="00037E6B" w:rsidRPr="00433261" w:rsidRDefault="00E33433" w:rsidP="00E33433">
      <w:pPr>
        <w:spacing w:after="0" w:line="240" w:lineRule="auto"/>
        <w:ind w:firstLine="709"/>
        <w:jc w:val="both"/>
        <w:rPr>
          <w:rFonts w:ascii="Times New Roman" w:eastAsia="Times New Roman" w:hAnsi="Times New Roman" w:cs="Times New Roman"/>
          <w:color w:val="000000"/>
          <w:sz w:val="27"/>
          <w:szCs w:val="27"/>
          <w:lang w:val="en-US"/>
        </w:rPr>
      </w:pPr>
      <w:proofErr w:type="gramStart"/>
      <w:r w:rsidRPr="00433261">
        <w:rPr>
          <w:rFonts w:ascii="Times New Roman" w:eastAsia="Times New Roman" w:hAnsi="Times New Roman" w:cs="Times New Roman"/>
          <w:b/>
          <w:sz w:val="28"/>
          <w:szCs w:val="28"/>
          <w:lang w:val="en-US"/>
        </w:rPr>
        <w:t>Conclusion</w:t>
      </w:r>
      <w:r w:rsidRPr="00433261">
        <w:rPr>
          <w:rFonts w:ascii="Times New Roman" w:eastAsia="Times New Roman" w:hAnsi="Times New Roman" w:cs="Times New Roman"/>
          <w:sz w:val="28"/>
          <w:szCs w:val="28"/>
          <w:lang w:val="en-US"/>
        </w:rPr>
        <w:t>.</w:t>
      </w:r>
      <w:proofErr w:type="gramEnd"/>
      <w:r w:rsidRPr="00433261">
        <w:rPr>
          <w:rFonts w:ascii="Times New Roman" w:eastAsia="Times New Roman" w:hAnsi="Times New Roman" w:cs="Times New Roman"/>
          <w:sz w:val="28"/>
          <w:szCs w:val="28"/>
          <w:lang w:val="en-US"/>
        </w:rPr>
        <w:t xml:space="preserve"> The comorbidity of chronic pancreatitis with ischemic heart disease increases the risk of progression of dyslipidemia and atherosclerosis. This is confirmed by an increased atherogenic index in this group of patients, along with </w:t>
      </w:r>
      <w:r w:rsidRPr="00433261">
        <w:rPr>
          <w:rFonts w:ascii="Times New Roman" w:eastAsia="Times New Roman" w:hAnsi="Times New Roman" w:cs="Times New Roman"/>
          <w:sz w:val="28"/>
          <w:szCs w:val="28"/>
          <w:lang w:val="en-US"/>
        </w:rPr>
        <w:lastRenderedPageBreak/>
        <w:t>the severity of lipid spectrum disorders. The addition of polycosanol to patients with chronic pancreatitis and dyslipidemia, as well as in combination with coronary heart disease, contributes to the reduction and normalization of certain parameters of the lipid spectrum of the blood. This allows us to recommend a drug for long-term treatment of these groups of patients, including in combination with statin therapy.</w:t>
      </w:r>
    </w:p>
    <w:p w:rsidR="0090293F" w:rsidRPr="00433261" w:rsidRDefault="0090293F">
      <w:pPr>
        <w:rPr>
          <w:lang w:val="en-US"/>
        </w:rPr>
      </w:pPr>
    </w:p>
    <w:sectPr w:rsidR="0090293F" w:rsidRPr="00433261" w:rsidSect="00A157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 w:name="CompactC">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characterSpacingControl w:val="doNotCompress"/>
  <w:compat>
    <w:useFELayout/>
  </w:compat>
  <w:rsids>
    <w:rsidRoot w:val="00037E6B"/>
    <w:rsid w:val="00037E6B"/>
    <w:rsid w:val="000B22DF"/>
    <w:rsid w:val="00364CF3"/>
    <w:rsid w:val="004174AF"/>
    <w:rsid w:val="00433261"/>
    <w:rsid w:val="0090293F"/>
    <w:rsid w:val="00A1558C"/>
    <w:rsid w:val="00A15742"/>
    <w:rsid w:val="00CB5F33"/>
    <w:rsid w:val="00E33433"/>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742"/>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37E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a0"/>
    <w:rsid w:val="00037E6B"/>
  </w:style>
  <w:style w:type="character" w:styleId="a4">
    <w:name w:val="Hyperlink"/>
    <w:basedOn w:val="a0"/>
    <w:uiPriority w:val="99"/>
    <w:semiHidden/>
    <w:unhideWhenUsed/>
    <w:rsid w:val="00037E6B"/>
    <w:rPr>
      <w:color w:val="0000FF"/>
      <w:u w:val="single"/>
    </w:rPr>
  </w:style>
  <w:style w:type="character" w:styleId="a5">
    <w:name w:val="FollowedHyperlink"/>
    <w:basedOn w:val="a0"/>
    <w:uiPriority w:val="99"/>
    <w:semiHidden/>
    <w:unhideWhenUsed/>
    <w:rsid w:val="00037E6B"/>
    <w:rPr>
      <w:color w:val="800080"/>
      <w:u w:val="single"/>
    </w:rPr>
  </w:style>
  <w:style w:type="paragraph" w:styleId="a6">
    <w:name w:val="Balloon Text"/>
    <w:basedOn w:val="a"/>
    <w:link w:val="a7"/>
    <w:uiPriority w:val="99"/>
    <w:semiHidden/>
    <w:unhideWhenUsed/>
    <w:rsid w:val="00037E6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37E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3958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Mihaylova%20B%5BAuthor%5D&amp;cauthor=true&amp;cauthor_uid=22607822" TargetMode="External"/><Relationship Id="rId3" Type="http://schemas.openxmlformats.org/officeDocument/2006/relationships/webSettings" Target="webSettings.xml"/><Relationship Id="rId7" Type="http://schemas.openxmlformats.org/officeDocument/2006/relationships/hyperlink" Target="http://www.ncbi.nlm.nih.gov/pubmed?term=%22Cholesterol%20Treatment%20Trialists%27%20%28CTT%29%20Collaborators%22%5BCorporate%20Author%5D"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3.xml"/><Relationship Id="rId11" Type="http://schemas.openxmlformats.org/officeDocument/2006/relationships/fontTable" Target="fontTable.xml"/><Relationship Id="rId5" Type="http://schemas.openxmlformats.org/officeDocument/2006/relationships/chart" Target="charts/chart2.xml"/><Relationship Id="rId10" Type="http://schemas.openxmlformats.org/officeDocument/2006/relationships/hyperlink" Target="http://www.ncbi.nlm.nih.gov/pubmed?term=Blackwell%20L%5BAuthor%5D&amp;cauthor=true&amp;cauthor_uid=22607822" TargetMode="External"/><Relationship Id="rId4" Type="http://schemas.openxmlformats.org/officeDocument/2006/relationships/chart" Target="charts/chart1.xml"/><Relationship Id="rId9" Type="http://schemas.openxmlformats.org/officeDocument/2006/relationships/hyperlink" Target="http://www.ncbi.nlm.nih.gov/pubmed?term=Emberson%20J%5BAuthor%5D&amp;cauthor=true&amp;cauthor_uid=22607822"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9"/>
      <c:hPercent val="34"/>
      <c:rotY val="44"/>
      <c:depthPercent val="100"/>
      <c:rAngAx val="1"/>
    </c:view3D>
    <c:floor>
      <c:spPr>
        <a:solidFill>
          <a:srgbClr val="C0C0C0"/>
        </a:solidFill>
        <a:ln w="3175">
          <a:solidFill>
            <a:srgbClr val="000000"/>
          </a:solidFill>
          <a:prstDash val="solid"/>
        </a:ln>
      </c:spPr>
    </c:floor>
    <c:sideWall>
      <c:spPr>
        <a:noFill/>
        <a:ln w="12700">
          <a:solidFill>
            <a:srgbClr val="FFFFFF"/>
          </a:solidFill>
          <a:prstDash val="solid"/>
        </a:ln>
      </c:spPr>
    </c:sideWall>
    <c:backWall>
      <c:spPr>
        <a:noFill/>
        <a:ln w="12700">
          <a:solidFill>
            <a:srgbClr val="FFFFFF"/>
          </a:solidFill>
          <a:prstDash val="solid"/>
        </a:ln>
      </c:spPr>
    </c:backWall>
    <c:plotArea>
      <c:layout>
        <c:manualLayout>
          <c:layoutTarget val="inner"/>
          <c:xMode val="edge"/>
          <c:yMode val="edge"/>
          <c:x val="0.23577235772357719"/>
          <c:y val="4.1198501872659166E-2"/>
          <c:w val="0.74796747967479749"/>
          <c:h val="0.66666666666666663"/>
        </c:manualLayout>
      </c:layout>
      <c:bar3DChart>
        <c:barDir val="col"/>
        <c:grouping val="clustered"/>
        <c:ser>
          <c:idx val="0"/>
          <c:order val="0"/>
          <c:tx>
            <c:strRef>
              <c:f>Sheet1!$A$2</c:f>
              <c:strCache>
                <c:ptCount val="1"/>
                <c:pt idx="0">
                  <c:v>Загальний холестерин, ммоль/л</c:v>
                </c:pt>
              </c:strCache>
            </c:strRef>
          </c:tx>
          <c:spPr>
            <a:solidFill>
              <a:srgbClr val="9999FF"/>
            </a:solidFill>
            <a:ln w="12700">
              <a:solidFill>
                <a:srgbClr val="000000"/>
              </a:solidFill>
              <a:prstDash val="solid"/>
            </a:ln>
          </c:spPr>
          <c:dLbls>
            <c:dLbl>
              <c:idx val="0"/>
              <c:delete val="1"/>
            </c:dLbl>
            <c:dLbl>
              <c:idx val="2"/>
              <c:tx>
                <c:rich>
                  <a:bodyPr/>
                  <a:lstStyle/>
                  <a:p>
                    <a:r>
                      <a:rPr lang="ru-RU"/>
                      <a:t>*</a:t>
                    </a:r>
                  </a:p>
                </c:rich>
              </c:tx>
            </c:dLbl>
            <c:dLbl>
              <c:idx val="4"/>
              <c:tx>
                <c:rich>
                  <a:bodyPr/>
                  <a:lstStyle/>
                  <a:p>
                    <a:r>
                      <a:rPr lang="ru-RU"/>
                      <a:t>*</a:t>
                    </a:r>
                  </a:p>
                </c:rich>
              </c:tx>
            </c:dLbl>
            <c:spPr>
              <a:noFill/>
              <a:ln w="25401">
                <a:noFill/>
              </a:ln>
            </c:spPr>
            <c:txPr>
              <a:bodyPr/>
              <a:lstStyle/>
              <a:p>
                <a:pPr>
                  <a:defRPr sz="800" b="1" i="0" u="none" strike="noStrike" baseline="0">
                    <a:solidFill>
                      <a:srgbClr val="000000"/>
                    </a:solidFill>
                    <a:latin typeface="Calibri"/>
                    <a:ea typeface="Calibri"/>
                    <a:cs typeface="Calibri"/>
                  </a:defRPr>
                </a:pPr>
                <a:endParaRPr lang="ru-RU"/>
              </a:p>
            </c:txPr>
            <c:showVal val="1"/>
          </c:dLbls>
          <c:cat>
            <c:strRef>
              <c:f>Sheet1!$B$1:$F$1</c:f>
              <c:strCache>
                <c:ptCount val="5"/>
                <c:pt idx="0">
                  <c:v>ПЗО</c:v>
                </c:pt>
                <c:pt idx="2">
                  <c:v>ХП</c:v>
                </c:pt>
                <c:pt idx="4">
                  <c:v>ХП+ІХС</c:v>
                </c:pt>
              </c:strCache>
            </c:strRef>
          </c:cat>
          <c:val>
            <c:numRef>
              <c:f>Sheet1!$B$2:$F$2</c:f>
              <c:numCache>
                <c:formatCode>General</c:formatCode>
                <c:ptCount val="5"/>
                <c:pt idx="0">
                  <c:v>4.8</c:v>
                </c:pt>
                <c:pt idx="2">
                  <c:v>6.46</c:v>
                </c:pt>
                <c:pt idx="4">
                  <c:v>7.3199999999999985</c:v>
                </c:pt>
              </c:numCache>
            </c:numRef>
          </c:val>
        </c:ser>
        <c:ser>
          <c:idx val="1"/>
          <c:order val="1"/>
          <c:tx>
            <c:strRef>
              <c:f>Sheet1!$A$3</c:f>
              <c:strCache>
                <c:ptCount val="1"/>
                <c:pt idx="0">
                  <c:v>ЛПНГ, ммоль/л</c:v>
                </c:pt>
              </c:strCache>
            </c:strRef>
          </c:tx>
          <c:spPr>
            <a:solidFill>
              <a:srgbClr val="993366"/>
            </a:solidFill>
            <a:ln w="12700">
              <a:solidFill>
                <a:srgbClr val="000000"/>
              </a:solidFill>
              <a:prstDash val="solid"/>
            </a:ln>
          </c:spPr>
          <c:dLbls>
            <c:dLbl>
              <c:idx val="0"/>
              <c:delete val="1"/>
            </c:dLbl>
            <c:dLbl>
              <c:idx val="2"/>
              <c:tx>
                <c:rich>
                  <a:bodyPr/>
                  <a:lstStyle/>
                  <a:p>
                    <a:r>
                      <a:rPr lang="ru-RU"/>
                      <a:t>*</a:t>
                    </a:r>
                  </a:p>
                </c:rich>
              </c:tx>
            </c:dLbl>
            <c:dLbl>
              <c:idx val="4"/>
              <c:layout>
                <c:manualLayout>
                  <c:x val="2.5064241010102614E-2"/>
                  <c:y val="-3.5446853808320482E-4"/>
                </c:manualLayout>
              </c:layout>
              <c:tx>
                <c:rich>
                  <a:bodyPr/>
                  <a:lstStyle/>
                  <a:p>
                    <a:r>
                      <a:rPr lang="ru-RU"/>
                      <a:t>*</a:t>
                    </a:r>
                  </a:p>
                </c:rich>
              </c:tx>
            </c:dLbl>
            <c:spPr>
              <a:noFill/>
              <a:ln w="25401">
                <a:noFill/>
              </a:ln>
            </c:spPr>
            <c:txPr>
              <a:bodyPr/>
              <a:lstStyle/>
              <a:p>
                <a:pPr>
                  <a:defRPr sz="800" b="1" i="0" u="none" strike="noStrike" baseline="0">
                    <a:solidFill>
                      <a:srgbClr val="000000"/>
                    </a:solidFill>
                    <a:latin typeface="Calibri"/>
                    <a:ea typeface="Calibri"/>
                    <a:cs typeface="Calibri"/>
                  </a:defRPr>
                </a:pPr>
                <a:endParaRPr lang="ru-RU"/>
              </a:p>
            </c:txPr>
            <c:showVal val="1"/>
          </c:dLbls>
          <c:cat>
            <c:strRef>
              <c:f>Sheet1!$B$1:$F$1</c:f>
              <c:strCache>
                <c:ptCount val="5"/>
                <c:pt idx="0">
                  <c:v>ПЗО</c:v>
                </c:pt>
                <c:pt idx="2">
                  <c:v>ХП</c:v>
                </c:pt>
                <c:pt idx="4">
                  <c:v>ХП+ІХС</c:v>
                </c:pt>
              </c:strCache>
            </c:strRef>
          </c:cat>
          <c:val>
            <c:numRef>
              <c:f>Sheet1!$B$3:$F$3</c:f>
              <c:numCache>
                <c:formatCode>General</c:formatCode>
                <c:ptCount val="5"/>
                <c:pt idx="0">
                  <c:v>2.8099999999999987</c:v>
                </c:pt>
                <c:pt idx="2">
                  <c:v>4.3199999999999985</c:v>
                </c:pt>
                <c:pt idx="4">
                  <c:v>5.14</c:v>
                </c:pt>
              </c:numCache>
            </c:numRef>
          </c:val>
        </c:ser>
        <c:ser>
          <c:idx val="2"/>
          <c:order val="2"/>
          <c:tx>
            <c:strRef>
              <c:f>Sheet1!$A$4</c:f>
              <c:strCache>
                <c:ptCount val="1"/>
                <c:pt idx="0">
                  <c:v>Тригліцериди, ммоль/л</c:v>
                </c:pt>
              </c:strCache>
            </c:strRef>
          </c:tx>
          <c:spPr>
            <a:solidFill>
              <a:srgbClr val="FFFFCC"/>
            </a:solidFill>
            <a:ln w="12700">
              <a:solidFill>
                <a:srgbClr val="000000"/>
              </a:solidFill>
              <a:prstDash val="solid"/>
            </a:ln>
          </c:spPr>
          <c:dLbls>
            <c:dLbl>
              <c:idx val="0"/>
              <c:delete val="1"/>
            </c:dLbl>
            <c:dLbl>
              <c:idx val="2"/>
              <c:tx>
                <c:rich>
                  <a:bodyPr/>
                  <a:lstStyle/>
                  <a:p>
                    <a:r>
                      <a:rPr lang="ru-RU"/>
                      <a:t>*</a:t>
                    </a:r>
                  </a:p>
                </c:rich>
              </c:tx>
            </c:dLbl>
            <c:dLbl>
              <c:idx val="4"/>
              <c:tx>
                <c:rich>
                  <a:bodyPr/>
                  <a:lstStyle/>
                  <a:p>
                    <a:r>
                      <a:rPr lang="ru-RU"/>
                      <a:t>*</a:t>
                    </a:r>
                  </a:p>
                </c:rich>
              </c:tx>
            </c:dLbl>
            <c:spPr>
              <a:noFill/>
              <a:ln w="25401">
                <a:noFill/>
              </a:ln>
            </c:spPr>
            <c:txPr>
              <a:bodyPr/>
              <a:lstStyle/>
              <a:p>
                <a:pPr>
                  <a:defRPr sz="800" b="1" i="0" u="none" strike="noStrike" baseline="0">
                    <a:solidFill>
                      <a:srgbClr val="000000"/>
                    </a:solidFill>
                    <a:latin typeface="Calibri"/>
                    <a:ea typeface="Calibri"/>
                    <a:cs typeface="Calibri"/>
                  </a:defRPr>
                </a:pPr>
                <a:endParaRPr lang="ru-RU"/>
              </a:p>
            </c:txPr>
            <c:showVal val="1"/>
          </c:dLbls>
          <c:cat>
            <c:strRef>
              <c:f>Sheet1!$B$1:$F$1</c:f>
              <c:strCache>
                <c:ptCount val="5"/>
                <c:pt idx="0">
                  <c:v>ПЗО</c:v>
                </c:pt>
                <c:pt idx="2">
                  <c:v>ХП</c:v>
                </c:pt>
                <c:pt idx="4">
                  <c:v>ХП+ІХС</c:v>
                </c:pt>
              </c:strCache>
            </c:strRef>
          </c:cat>
          <c:val>
            <c:numRef>
              <c:f>Sheet1!$B$4:$F$4</c:f>
              <c:numCache>
                <c:formatCode>General</c:formatCode>
                <c:ptCount val="5"/>
                <c:pt idx="0">
                  <c:v>1.43</c:v>
                </c:pt>
                <c:pt idx="2">
                  <c:v>2.3699999999999997</c:v>
                </c:pt>
                <c:pt idx="4">
                  <c:v>2.5299999999999998</c:v>
                </c:pt>
              </c:numCache>
            </c:numRef>
          </c:val>
        </c:ser>
        <c:ser>
          <c:idx val="3"/>
          <c:order val="3"/>
          <c:tx>
            <c:strRef>
              <c:f>Sheet1!$A$5</c:f>
              <c:strCache>
                <c:ptCount val="1"/>
                <c:pt idx="0">
                  <c:v>ЛПДНГ, ммоль/л</c:v>
                </c:pt>
              </c:strCache>
            </c:strRef>
          </c:tx>
          <c:spPr>
            <a:solidFill>
              <a:srgbClr val="CCFFFF"/>
            </a:solidFill>
            <a:ln w="12700">
              <a:solidFill>
                <a:srgbClr val="000000"/>
              </a:solidFill>
              <a:prstDash val="solid"/>
            </a:ln>
          </c:spPr>
          <c:dLbls>
            <c:dLbl>
              <c:idx val="2"/>
              <c:tx>
                <c:rich>
                  <a:bodyPr/>
                  <a:lstStyle/>
                  <a:p>
                    <a:pPr>
                      <a:defRPr sz="800" b="1" i="0" u="none" strike="noStrike" baseline="0">
                        <a:solidFill>
                          <a:srgbClr val="000000"/>
                        </a:solidFill>
                        <a:latin typeface="Calibri"/>
                        <a:ea typeface="Calibri"/>
                        <a:cs typeface="Calibri"/>
                      </a:defRPr>
                    </a:pPr>
                    <a:r>
                      <a:rPr lang="ru-RU"/>
                      <a:t>*</a:t>
                    </a:r>
                  </a:p>
                </c:rich>
              </c:tx>
              <c:spPr>
                <a:noFill/>
                <a:ln w="25401">
                  <a:noFill/>
                </a:ln>
              </c:spPr>
            </c:dLbl>
            <c:dLbl>
              <c:idx val="4"/>
              <c:tx>
                <c:rich>
                  <a:bodyPr/>
                  <a:lstStyle/>
                  <a:p>
                    <a:pPr>
                      <a:defRPr sz="800" b="1" i="0" u="none" strike="noStrike" baseline="0">
                        <a:solidFill>
                          <a:srgbClr val="000000"/>
                        </a:solidFill>
                        <a:latin typeface="Calibri"/>
                        <a:ea typeface="Calibri"/>
                        <a:cs typeface="Calibri"/>
                      </a:defRPr>
                    </a:pPr>
                    <a:r>
                      <a:rPr lang="ru-RU"/>
                      <a:t>*</a:t>
                    </a:r>
                  </a:p>
                </c:rich>
              </c:tx>
              <c:spPr>
                <a:noFill/>
                <a:ln w="25401">
                  <a:noFill/>
                </a:ln>
              </c:spPr>
            </c:dLbl>
            <c:delete val="1"/>
          </c:dLbls>
          <c:cat>
            <c:strRef>
              <c:f>Sheet1!$B$1:$F$1</c:f>
              <c:strCache>
                <c:ptCount val="5"/>
                <c:pt idx="0">
                  <c:v>ПЗО</c:v>
                </c:pt>
                <c:pt idx="2">
                  <c:v>ХП</c:v>
                </c:pt>
                <c:pt idx="4">
                  <c:v>ХП+ІХС</c:v>
                </c:pt>
              </c:strCache>
            </c:strRef>
          </c:cat>
          <c:val>
            <c:numRef>
              <c:f>Sheet1!$B$5:$F$5</c:f>
              <c:numCache>
                <c:formatCode>General</c:formatCode>
                <c:ptCount val="5"/>
                <c:pt idx="0">
                  <c:v>0.65000000000000091</c:v>
                </c:pt>
                <c:pt idx="2">
                  <c:v>1.08</c:v>
                </c:pt>
                <c:pt idx="4">
                  <c:v>1.1499999999999986</c:v>
                </c:pt>
              </c:numCache>
            </c:numRef>
          </c:val>
        </c:ser>
        <c:ser>
          <c:idx val="4"/>
          <c:order val="4"/>
          <c:tx>
            <c:strRef>
              <c:f>Sheet1!$A$6</c:f>
              <c:strCache>
                <c:ptCount val="1"/>
                <c:pt idx="0">
                  <c:v>ЛПВГ, ммоль/л</c:v>
                </c:pt>
              </c:strCache>
            </c:strRef>
          </c:tx>
          <c:spPr>
            <a:solidFill>
              <a:srgbClr val="660066"/>
            </a:solidFill>
            <a:ln w="12700">
              <a:solidFill>
                <a:srgbClr val="000000"/>
              </a:solidFill>
              <a:prstDash val="solid"/>
            </a:ln>
          </c:spPr>
          <c:dLbls>
            <c:dLbl>
              <c:idx val="0"/>
              <c:delete val="1"/>
            </c:dLbl>
            <c:dLbl>
              <c:idx val="2"/>
              <c:layout>
                <c:manualLayout>
                  <c:x val="1.3036664077612791E-2"/>
                  <c:y val="1.3563595883656193E-2"/>
                </c:manualLayout>
              </c:layout>
              <c:tx>
                <c:rich>
                  <a:bodyPr/>
                  <a:lstStyle/>
                  <a:p>
                    <a:r>
                      <a:rPr lang="ru-RU"/>
                      <a:t>*</a:t>
                    </a:r>
                  </a:p>
                </c:rich>
              </c:tx>
            </c:dLbl>
            <c:dLbl>
              <c:idx val="4"/>
              <c:delete val="1"/>
            </c:dLbl>
            <c:spPr>
              <a:noFill/>
              <a:ln w="25401">
                <a:noFill/>
              </a:ln>
            </c:spPr>
            <c:txPr>
              <a:bodyPr/>
              <a:lstStyle/>
              <a:p>
                <a:pPr>
                  <a:defRPr sz="800" b="1" i="0" u="none" strike="noStrike" baseline="0">
                    <a:solidFill>
                      <a:srgbClr val="000000"/>
                    </a:solidFill>
                    <a:latin typeface="Calibri"/>
                    <a:ea typeface="Calibri"/>
                    <a:cs typeface="Calibri"/>
                  </a:defRPr>
                </a:pPr>
                <a:endParaRPr lang="ru-RU"/>
              </a:p>
            </c:txPr>
            <c:showVal val="1"/>
          </c:dLbls>
          <c:cat>
            <c:strRef>
              <c:f>Sheet1!$B$1:$F$1</c:f>
              <c:strCache>
                <c:ptCount val="5"/>
                <c:pt idx="0">
                  <c:v>ПЗО</c:v>
                </c:pt>
                <c:pt idx="2">
                  <c:v>ХП</c:v>
                </c:pt>
                <c:pt idx="4">
                  <c:v>ХП+ІХС</c:v>
                </c:pt>
              </c:strCache>
            </c:strRef>
          </c:cat>
          <c:val>
            <c:numRef>
              <c:f>Sheet1!$B$6:$F$6</c:f>
              <c:numCache>
                <c:formatCode>General</c:formatCode>
                <c:ptCount val="5"/>
                <c:pt idx="0">
                  <c:v>1.34</c:v>
                </c:pt>
                <c:pt idx="2">
                  <c:v>1.06</c:v>
                </c:pt>
                <c:pt idx="4">
                  <c:v>1.03</c:v>
                </c:pt>
              </c:numCache>
            </c:numRef>
          </c:val>
        </c:ser>
        <c:ser>
          <c:idx val="5"/>
          <c:order val="5"/>
          <c:tx>
            <c:strRef>
              <c:f>Sheet1!$A$7</c:f>
              <c:strCache>
                <c:ptCount val="1"/>
                <c:pt idx="0">
                  <c:v>Індекс атерогенності</c:v>
                </c:pt>
              </c:strCache>
            </c:strRef>
          </c:tx>
          <c:spPr>
            <a:solidFill>
              <a:srgbClr val="FF8080"/>
            </a:solidFill>
            <a:ln w="12700">
              <a:solidFill>
                <a:srgbClr val="000000"/>
              </a:solidFill>
              <a:prstDash val="solid"/>
            </a:ln>
          </c:spPr>
          <c:dLbls>
            <c:dLbl>
              <c:idx val="0"/>
              <c:delete val="1"/>
            </c:dLbl>
            <c:dLbl>
              <c:idx val="2"/>
              <c:tx>
                <c:rich>
                  <a:bodyPr/>
                  <a:lstStyle/>
                  <a:p>
                    <a:r>
                      <a:rPr lang="ru-RU"/>
                      <a:t>*</a:t>
                    </a:r>
                  </a:p>
                </c:rich>
              </c:tx>
            </c:dLbl>
            <c:dLbl>
              <c:idx val="4"/>
              <c:tx>
                <c:rich>
                  <a:bodyPr/>
                  <a:lstStyle/>
                  <a:p>
                    <a:r>
                      <a:rPr lang="ru-RU"/>
                      <a:t>*</a:t>
                    </a:r>
                  </a:p>
                </c:rich>
              </c:tx>
            </c:dLbl>
            <c:spPr>
              <a:noFill/>
              <a:ln w="25401">
                <a:noFill/>
              </a:ln>
            </c:spPr>
            <c:txPr>
              <a:bodyPr/>
              <a:lstStyle/>
              <a:p>
                <a:pPr>
                  <a:defRPr sz="800" b="1" i="0" u="none" strike="noStrike" baseline="0">
                    <a:solidFill>
                      <a:srgbClr val="000000"/>
                    </a:solidFill>
                    <a:latin typeface="Calibri"/>
                    <a:ea typeface="Calibri"/>
                    <a:cs typeface="Calibri"/>
                  </a:defRPr>
                </a:pPr>
                <a:endParaRPr lang="ru-RU"/>
              </a:p>
            </c:txPr>
            <c:showVal val="1"/>
          </c:dLbls>
          <c:cat>
            <c:strRef>
              <c:f>Sheet1!$B$1:$F$1</c:f>
              <c:strCache>
                <c:ptCount val="5"/>
                <c:pt idx="0">
                  <c:v>ПЗО</c:v>
                </c:pt>
                <c:pt idx="2">
                  <c:v>ХП</c:v>
                </c:pt>
                <c:pt idx="4">
                  <c:v>ХП+ІХС</c:v>
                </c:pt>
              </c:strCache>
            </c:strRef>
          </c:cat>
          <c:val>
            <c:numRef>
              <c:f>Sheet1!$B$7:$F$7</c:f>
              <c:numCache>
                <c:formatCode>General</c:formatCode>
                <c:ptCount val="5"/>
                <c:pt idx="0">
                  <c:v>2.58</c:v>
                </c:pt>
                <c:pt idx="2">
                  <c:v>5.09</c:v>
                </c:pt>
                <c:pt idx="4">
                  <c:v>6.1099999999999985</c:v>
                </c:pt>
              </c:numCache>
            </c:numRef>
          </c:val>
        </c:ser>
        <c:gapDepth val="0"/>
        <c:shape val="cylinder"/>
        <c:axId val="124636544"/>
        <c:axId val="124703872"/>
        <c:axId val="0"/>
      </c:bar3DChart>
      <c:catAx>
        <c:axId val="124636544"/>
        <c:scaling>
          <c:orientation val="minMax"/>
        </c:scaling>
        <c:axPos val="b"/>
        <c:numFmt formatCode="General" sourceLinked="1"/>
        <c:tickLblPos val="low"/>
        <c:spPr>
          <a:ln w="9525">
            <a:noFill/>
          </a:ln>
        </c:spPr>
        <c:txPr>
          <a:bodyPr rot="0" vert="horz"/>
          <a:lstStyle/>
          <a:p>
            <a:pPr>
              <a:defRPr sz="800" b="1" i="0" u="none" strike="noStrike" baseline="0">
                <a:solidFill>
                  <a:srgbClr val="000000"/>
                </a:solidFill>
                <a:latin typeface="Calibri"/>
                <a:ea typeface="Calibri"/>
                <a:cs typeface="Calibri"/>
              </a:defRPr>
            </a:pPr>
            <a:endParaRPr lang="ru-RU"/>
          </a:p>
        </c:txPr>
        <c:crossAx val="124703872"/>
        <c:crosses val="autoZero"/>
        <c:auto val="1"/>
        <c:lblAlgn val="ctr"/>
        <c:lblOffset val="100"/>
        <c:tickLblSkip val="1"/>
        <c:tickMarkSkip val="1"/>
      </c:catAx>
      <c:valAx>
        <c:axId val="124703872"/>
        <c:scaling>
          <c:orientation val="minMax"/>
        </c:scaling>
        <c:axPos val="l"/>
        <c:majorGridlines>
          <c:spPr>
            <a:ln w="3175">
              <a:solidFill>
                <a:srgbClr val="000000"/>
              </a:solidFill>
              <a:prstDash val="solid"/>
            </a:ln>
          </c:spPr>
        </c:majorGridlines>
        <c:title>
          <c:tx>
            <c:rich>
              <a:bodyPr rot="0" vert="horz"/>
              <a:lstStyle/>
              <a:p>
                <a:pPr algn="ctr">
                  <a:defRPr sz="800" b="1" i="0" u="none" strike="noStrike" baseline="0">
                    <a:solidFill>
                      <a:srgbClr val="000000"/>
                    </a:solidFill>
                    <a:latin typeface="Calibri"/>
                    <a:ea typeface="Calibri"/>
                    <a:cs typeface="Calibri"/>
                  </a:defRPr>
                </a:pPr>
                <a:r>
                  <a:rPr lang="ru-RU"/>
                  <a:t> * - вірогідність відмінності (р&lt;0,05) порівняно з показниками  практично здорових осіб</a:t>
                </a:r>
              </a:p>
            </c:rich>
          </c:tx>
          <c:layout>
            <c:manualLayout>
              <c:xMode val="edge"/>
              <c:yMode val="edge"/>
              <c:x val="1.1382113821138221E-2"/>
              <c:y val="0.6816479400749067"/>
            </c:manualLayout>
          </c:layout>
          <c:spPr>
            <a:noFill/>
            <a:ln w="25401">
              <a:noFill/>
            </a:ln>
          </c:spPr>
        </c:title>
        <c:numFmt formatCode="General" sourceLinked="1"/>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24636544"/>
        <c:crosses val="autoZero"/>
        <c:crossBetween val="between"/>
      </c:valAx>
      <c:spPr>
        <a:noFill/>
        <a:ln w="25401">
          <a:noFill/>
        </a:ln>
      </c:spPr>
    </c:plotArea>
    <c:legend>
      <c:legendPos val="b"/>
      <c:layout>
        <c:manualLayout>
          <c:xMode val="edge"/>
          <c:yMode val="edge"/>
          <c:x val="0.250406504065041"/>
          <c:y val="0.83520599250936411"/>
          <c:w val="0.66504065040650584"/>
          <c:h val="0.15355805243445694"/>
        </c:manualLayout>
      </c:layout>
      <c:spPr>
        <a:no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9"/>
      <c:hPercent val="34"/>
      <c:rotY val="44"/>
      <c:depthPercent val="100"/>
      <c:rAngAx val="1"/>
    </c:view3D>
    <c:floor>
      <c:spPr>
        <a:solidFill>
          <a:srgbClr val="C0C0C0"/>
        </a:solidFill>
        <a:ln w="3175">
          <a:solidFill>
            <a:srgbClr val="000000"/>
          </a:solidFill>
          <a:prstDash val="solid"/>
        </a:ln>
      </c:spPr>
    </c:floor>
    <c:sideWall>
      <c:spPr>
        <a:noFill/>
        <a:ln w="12700">
          <a:solidFill>
            <a:srgbClr val="FFFFFF"/>
          </a:solidFill>
          <a:prstDash val="solid"/>
        </a:ln>
      </c:spPr>
    </c:sideWall>
    <c:backWall>
      <c:spPr>
        <a:noFill/>
        <a:ln w="12700">
          <a:solidFill>
            <a:srgbClr val="FFFFFF"/>
          </a:solidFill>
          <a:prstDash val="solid"/>
        </a:ln>
      </c:spPr>
    </c:backWall>
    <c:plotArea>
      <c:layout>
        <c:manualLayout>
          <c:layoutTarget val="inner"/>
          <c:xMode val="edge"/>
          <c:yMode val="edge"/>
          <c:x val="0.20975609756097588"/>
          <c:y val="3.3707865168539367E-2"/>
          <c:w val="0.77398373983739832"/>
          <c:h val="0.67415730337078739"/>
        </c:manualLayout>
      </c:layout>
      <c:bar3DChart>
        <c:barDir val="col"/>
        <c:grouping val="clustered"/>
        <c:ser>
          <c:idx val="0"/>
          <c:order val="0"/>
          <c:tx>
            <c:strRef>
              <c:f>Sheet1!$A$2</c:f>
              <c:strCache>
                <c:ptCount val="1"/>
                <c:pt idx="0">
                  <c:v>Загальний холестерин, ммоль/л</c:v>
                </c:pt>
              </c:strCache>
            </c:strRef>
          </c:tx>
          <c:spPr>
            <a:solidFill>
              <a:srgbClr val="9999FF"/>
            </a:solidFill>
            <a:ln w="12664">
              <a:solidFill>
                <a:srgbClr val="000000"/>
              </a:solidFill>
              <a:prstDash val="solid"/>
            </a:ln>
          </c:spPr>
          <c:cat>
            <c:strRef>
              <c:f>Sheet1!$B$1:$E$1</c:f>
              <c:strCache>
                <c:ptCount val="3"/>
                <c:pt idx="0">
                  <c:v>До лікування</c:v>
                </c:pt>
                <c:pt idx="2">
                  <c:v>Після лікування</c:v>
                </c:pt>
              </c:strCache>
            </c:strRef>
          </c:cat>
          <c:val>
            <c:numRef>
              <c:f>Sheet1!$B$2:$E$2</c:f>
              <c:numCache>
                <c:formatCode>General</c:formatCode>
                <c:ptCount val="4"/>
                <c:pt idx="0">
                  <c:v>6.46</c:v>
                </c:pt>
                <c:pt idx="2">
                  <c:v>5.3199999999999985</c:v>
                </c:pt>
              </c:numCache>
            </c:numRef>
          </c:val>
        </c:ser>
        <c:ser>
          <c:idx val="1"/>
          <c:order val="1"/>
          <c:tx>
            <c:strRef>
              <c:f>Sheet1!$A$3</c:f>
              <c:strCache>
                <c:ptCount val="1"/>
                <c:pt idx="0">
                  <c:v>ЛПНГ, ммоль/л</c:v>
                </c:pt>
              </c:strCache>
            </c:strRef>
          </c:tx>
          <c:spPr>
            <a:solidFill>
              <a:srgbClr val="993366"/>
            </a:solidFill>
            <a:ln w="12664">
              <a:solidFill>
                <a:srgbClr val="000000"/>
              </a:solidFill>
              <a:prstDash val="solid"/>
            </a:ln>
          </c:spPr>
          <c:cat>
            <c:strRef>
              <c:f>Sheet1!$B$1:$E$1</c:f>
              <c:strCache>
                <c:ptCount val="3"/>
                <c:pt idx="0">
                  <c:v>До лікування</c:v>
                </c:pt>
                <c:pt idx="2">
                  <c:v>Після лікування</c:v>
                </c:pt>
              </c:strCache>
            </c:strRef>
          </c:cat>
          <c:val>
            <c:numRef>
              <c:f>Sheet1!$B$3:$E$3</c:f>
              <c:numCache>
                <c:formatCode>General</c:formatCode>
                <c:ptCount val="4"/>
                <c:pt idx="0">
                  <c:v>4.3199999999999985</c:v>
                </c:pt>
                <c:pt idx="2">
                  <c:v>3.18</c:v>
                </c:pt>
              </c:numCache>
            </c:numRef>
          </c:val>
        </c:ser>
        <c:ser>
          <c:idx val="2"/>
          <c:order val="2"/>
          <c:tx>
            <c:strRef>
              <c:f>Sheet1!$A$4</c:f>
              <c:strCache>
                <c:ptCount val="1"/>
                <c:pt idx="0">
                  <c:v>Тригліцериди, ммоль/л</c:v>
                </c:pt>
              </c:strCache>
            </c:strRef>
          </c:tx>
          <c:spPr>
            <a:solidFill>
              <a:srgbClr val="FFFFCC"/>
            </a:solidFill>
            <a:ln w="12664">
              <a:solidFill>
                <a:srgbClr val="000000"/>
              </a:solidFill>
              <a:prstDash val="solid"/>
            </a:ln>
          </c:spPr>
          <c:dLbls>
            <c:dLbl>
              <c:idx val="0"/>
              <c:delete val="1"/>
            </c:dLbl>
            <c:dLbl>
              <c:idx val="2"/>
              <c:tx>
                <c:rich>
                  <a:bodyPr/>
                  <a:lstStyle/>
                  <a:p>
                    <a:r>
                      <a:rPr lang="ru-RU"/>
                      <a:t>**</a:t>
                    </a:r>
                  </a:p>
                </c:rich>
              </c:tx>
            </c:dLbl>
            <c:spPr>
              <a:noFill/>
              <a:ln w="25327">
                <a:noFill/>
              </a:ln>
            </c:spPr>
            <c:txPr>
              <a:bodyPr/>
              <a:lstStyle/>
              <a:p>
                <a:pPr>
                  <a:defRPr sz="798" b="1" i="0" u="none" strike="noStrike" baseline="0">
                    <a:solidFill>
                      <a:srgbClr val="000000"/>
                    </a:solidFill>
                    <a:latin typeface="Calibri"/>
                    <a:ea typeface="Calibri"/>
                    <a:cs typeface="Calibri"/>
                  </a:defRPr>
                </a:pPr>
                <a:endParaRPr lang="ru-RU"/>
              </a:p>
            </c:txPr>
            <c:showVal val="1"/>
          </c:dLbls>
          <c:cat>
            <c:strRef>
              <c:f>Sheet1!$B$1:$E$1</c:f>
              <c:strCache>
                <c:ptCount val="3"/>
                <c:pt idx="0">
                  <c:v>До лікування</c:v>
                </c:pt>
                <c:pt idx="2">
                  <c:v>Після лікування</c:v>
                </c:pt>
              </c:strCache>
            </c:strRef>
          </c:cat>
          <c:val>
            <c:numRef>
              <c:f>Sheet1!$B$4:$E$4</c:f>
              <c:numCache>
                <c:formatCode>General</c:formatCode>
                <c:ptCount val="4"/>
                <c:pt idx="0">
                  <c:v>2.3699999999999997</c:v>
                </c:pt>
                <c:pt idx="2">
                  <c:v>2.09</c:v>
                </c:pt>
              </c:numCache>
            </c:numRef>
          </c:val>
        </c:ser>
        <c:ser>
          <c:idx val="3"/>
          <c:order val="3"/>
          <c:tx>
            <c:strRef>
              <c:f>Sheet1!$A$5</c:f>
              <c:strCache>
                <c:ptCount val="1"/>
                <c:pt idx="0">
                  <c:v>ЛПДНГ, ммоль/л</c:v>
                </c:pt>
              </c:strCache>
            </c:strRef>
          </c:tx>
          <c:spPr>
            <a:solidFill>
              <a:srgbClr val="CCFFFF"/>
            </a:solidFill>
            <a:ln w="12664">
              <a:solidFill>
                <a:srgbClr val="000000"/>
              </a:solidFill>
              <a:prstDash val="solid"/>
            </a:ln>
          </c:spPr>
          <c:cat>
            <c:strRef>
              <c:f>Sheet1!$B$1:$E$1</c:f>
              <c:strCache>
                <c:ptCount val="3"/>
                <c:pt idx="0">
                  <c:v>До лікування</c:v>
                </c:pt>
                <c:pt idx="2">
                  <c:v>Після лікування</c:v>
                </c:pt>
              </c:strCache>
            </c:strRef>
          </c:cat>
          <c:val>
            <c:numRef>
              <c:f>Sheet1!$B$5:$E$5</c:f>
              <c:numCache>
                <c:formatCode>General</c:formatCode>
                <c:ptCount val="4"/>
                <c:pt idx="0">
                  <c:v>1.08</c:v>
                </c:pt>
                <c:pt idx="2">
                  <c:v>0.95000000000000062</c:v>
                </c:pt>
              </c:numCache>
            </c:numRef>
          </c:val>
        </c:ser>
        <c:ser>
          <c:idx val="4"/>
          <c:order val="4"/>
          <c:tx>
            <c:strRef>
              <c:f>Sheet1!$A$6</c:f>
              <c:strCache>
                <c:ptCount val="1"/>
                <c:pt idx="0">
                  <c:v>ЛПВГ, ммоль/л</c:v>
                </c:pt>
              </c:strCache>
            </c:strRef>
          </c:tx>
          <c:spPr>
            <a:solidFill>
              <a:srgbClr val="660066"/>
            </a:solidFill>
            <a:ln w="12664">
              <a:solidFill>
                <a:srgbClr val="000000"/>
              </a:solidFill>
              <a:prstDash val="solid"/>
            </a:ln>
          </c:spPr>
          <c:dLbls>
            <c:dLbl>
              <c:idx val="0"/>
              <c:delete val="1"/>
            </c:dLbl>
            <c:dLbl>
              <c:idx val="2"/>
              <c:tx>
                <c:rich>
                  <a:bodyPr/>
                  <a:lstStyle/>
                  <a:p>
                    <a:r>
                      <a:rPr lang="ru-RU"/>
                      <a:t>**</a:t>
                    </a:r>
                  </a:p>
                </c:rich>
              </c:tx>
            </c:dLbl>
            <c:spPr>
              <a:noFill/>
              <a:ln w="25327">
                <a:noFill/>
              </a:ln>
            </c:spPr>
            <c:txPr>
              <a:bodyPr/>
              <a:lstStyle/>
              <a:p>
                <a:pPr>
                  <a:defRPr sz="798" b="1" i="0" u="none" strike="noStrike" baseline="0">
                    <a:solidFill>
                      <a:srgbClr val="000000"/>
                    </a:solidFill>
                    <a:latin typeface="Calibri"/>
                    <a:ea typeface="Calibri"/>
                    <a:cs typeface="Calibri"/>
                  </a:defRPr>
                </a:pPr>
                <a:endParaRPr lang="ru-RU"/>
              </a:p>
            </c:txPr>
            <c:showVal val="1"/>
          </c:dLbls>
          <c:cat>
            <c:strRef>
              <c:f>Sheet1!$B$1:$E$1</c:f>
              <c:strCache>
                <c:ptCount val="3"/>
                <c:pt idx="0">
                  <c:v>До лікування</c:v>
                </c:pt>
                <c:pt idx="2">
                  <c:v>Після лікування</c:v>
                </c:pt>
              </c:strCache>
            </c:strRef>
          </c:cat>
          <c:val>
            <c:numRef>
              <c:f>Sheet1!$B$6:$E$6</c:f>
              <c:numCache>
                <c:formatCode>General</c:formatCode>
                <c:ptCount val="4"/>
                <c:pt idx="0">
                  <c:v>1.06</c:v>
                </c:pt>
                <c:pt idx="2">
                  <c:v>1.1900000000000013</c:v>
                </c:pt>
              </c:numCache>
            </c:numRef>
          </c:val>
        </c:ser>
        <c:ser>
          <c:idx val="5"/>
          <c:order val="5"/>
          <c:tx>
            <c:strRef>
              <c:f>Sheet1!$A$7</c:f>
              <c:strCache>
                <c:ptCount val="1"/>
                <c:pt idx="0">
                  <c:v>Індекс атерогенності</c:v>
                </c:pt>
              </c:strCache>
            </c:strRef>
          </c:tx>
          <c:spPr>
            <a:solidFill>
              <a:srgbClr val="FF8080"/>
            </a:solidFill>
            <a:ln w="12664">
              <a:solidFill>
                <a:srgbClr val="000000"/>
              </a:solidFill>
              <a:prstDash val="solid"/>
            </a:ln>
          </c:spPr>
          <c:cat>
            <c:strRef>
              <c:f>Sheet1!$B$1:$E$1</c:f>
              <c:strCache>
                <c:ptCount val="3"/>
                <c:pt idx="0">
                  <c:v>До лікування</c:v>
                </c:pt>
                <c:pt idx="2">
                  <c:v>Після лікування</c:v>
                </c:pt>
              </c:strCache>
            </c:strRef>
          </c:cat>
          <c:val>
            <c:numRef>
              <c:f>Sheet1!$B$7:$E$7</c:f>
              <c:numCache>
                <c:formatCode>General</c:formatCode>
                <c:ptCount val="4"/>
                <c:pt idx="0">
                  <c:v>5.09</c:v>
                </c:pt>
                <c:pt idx="2">
                  <c:v>3.4699999999999998</c:v>
                </c:pt>
              </c:numCache>
            </c:numRef>
          </c:val>
        </c:ser>
        <c:gapDepth val="0"/>
        <c:shape val="cylinder"/>
        <c:axId val="205515392"/>
        <c:axId val="241332608"/>
        <c:axId val="0"/>
      </c:bar3DChart>
      <c:catAx>
        <c:axId val="205515392"/>
        <c:scaling>
          <c:orientation val="minMax"/>
        </c:scaling>
        <c:axPos val="b"/>
        <c:numFmt formatCode="General" sourceLinked="1"/>
        <c:tickLblPos val="low"/>
        <c:spPr>
          <a:ln w="9498">
            <a:noFill/>
          </a:ln>
        </c:spPr>
        <c:txPr>
          <a:bodyPr rot="0" vert="horz"/>
          <a:lstStyle/>
          <a:p>
            <a:pPr>
              <a:defRPr sz="798" b="1" i="0" u="none" strike="noStrike" baseline="0">
                <a:solidFill>
                  <a:srgbClr val="000000"/>
                </a:solidFill>
                <a:latin typeface="Calibri"/>
                <a:ea typeface="Calibri"/>
                <a:cs typeface="Calibri"/>
              </a:defRPr>
            </a:pPr>
            <a:endParaRPr lang="ru-RU"/>
          </a:p>
        </c:txPr>
        <c:crossAx val="241332608"/>
        <c:crosses val="autoZero"/>
        <c:auto val="1"/>
        <c:lblAlgn val="ctr"/>
        <c:lblOffset val="100"/>
        <c:tickLblSkip val="1"/>
        <c:tickMarkSkip val="1"/>
      </c:catAx>
      <c:valAx>
        <c:axId val="241332608"/>
        <c:scaling>
          <c:orientation val="minMax"/>
        </c:scaling>
        <c:axPos val="l"/>
        <c:majorGridlines>
          <c:spPr>
            <a:ln w="3166">
              <a:solidFill>
                <a:srgbClr val="000000"/>
              </a:solidFill>
              <a:prstDash val="solid"/>
            </a:ln>
          </c:spPr>
        </c:majorGridlines>
        <c:title>
          <c:tx>
            <c:rich>
              <a:bodyPr rot="0" vert="horz"/>
              <a:lstStyle/>
              <a:p>
                <a:pPr algn="ctr">
                  <a:defRPr sz="798" b="1" i="0" u="none" strike="noStrike" baseline="0">
                    <a:solidFill>
                      <a:srgbClr val="000000"/>
                    </a:solidFill>
                    <a:latin typeface="Calibri"/>
                    <a:ea typeface="Calibri"/>
                    <a:cs typeface="Calibri"/>
                  </a:defRPr>
                </a:pPr>
                <a:r>
                  <a:rPr lang="ru-RU"/>
                  <a:t> ** - вірогідність відмінності (р&lt;0,05) порівняно з показниками  хворих  після лікування </a:t>
                </a:r>
              </a:p>
            </c:rich>
          </c:tx>
          <c:layout>
            <c:manualLayout>
              <c:xMode val="edge"/>
              <c:yMode val="edge"/>
              <c:x val="1.1382113821138221E-2"/>
              <c:y val="0.6816479400749067"/>
            </c:manualLayout>
          </c:layout>
          <c:spPr>
            <a:noFill/>
            <a:ln w="25327">
              <a:noFill/>
            </a:ln>
          </c:spPr>
        </c:title>
        <c:numFmt formatCode="General" sourceLinked="1"/>
        <c:tickLblPos val="nextTo"/>
        <c:spPr>
          <a:ln w="3166">
            <a:solidFill>
              <a:srgbClr val="000000"/>
            </a:solidFill>
            <a:prstDash val="solid"/>
          </a:ln>
        </c:spPr>
        <c:txPr>
          <a:bodyPr rot="0" vert="horz"/>
          <a:lstStyle/>
          <a:p>
            <a:pPr>
              <a:defRPr sz="798" b="1" i="0" u="none" strike="noStrike" baseline="0">
                <a:solidFill>
                  <a:srgbClr val="000000"/>
                </a:solidFill>
                <a:latin typeface="Calibri"/>
                <a:ea typeface="Calibri"/>
                <a:cs typeface="Calibri"/>
              </a:defRPr>
            </a:pPr>
            <a:endParaRPr lang="ru-RU"/>
          </a:p>
        </c:txPr>
        <c:crossAx val="205515392"/>
        <c:crosses val="autoZero"/>
        <c:crossBetween val="between"/>
      </c:valAx>
      <c:spPr>
        <a:noFill/>
        <a:ln w="25327">
          <a:noFill/>
        </a:ln>
      </c:spPr>
    </c:plotArea>
    <c:legend>
      <c:legendPos val="b"/>
      <c:layout>
        <c:manualLayout>
          <c:xMode val="edge"/>
          <c:yMode val="edge"/>
          <c:x val="0.250406504065041"/>
          <c:y val="0.8389513108614236"/>
          <c:w val="0.66504065040650584"/>
          <c:h val="0.15355805243445694"/>
        </c:manualLayout>
      </c:layout>
      <c:spPr>
        <a:noFill/>
        <a:ln w="3166">
          <a:solidFill>
            <a:srgbClr val="000000"/>
          </a:solidFill>
          <a:prstDash val="solid"/>
        </a:ln>
      </c:spPr>
      <c:txPr>
        <a:bodyPr/>
        <a:lstStyle/>
        <a:p>
          <a:pPr>
            <a:defRPr sz="733"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798" b="1" i="0" u="none" strike="noStrike" baseline="0">
          <a:solidFill>
            <a:srgbClr val="000000"/>
          </a:solidFill>
          <a:latin typeface="Calibri"/>
          <a:ea typeface="Calibri"/>
          <a:cs typeface="Calibri"/>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9"/>
      <c:hPercent val="34"/>
      <c:rotY val="44"/>
      <c:depthPercent val="100"/>
      <c:rAngAx val="1"/>
    </c:view3D>
    <c:floor>
      <c:spPr>
        <a:solidFill>
          <a:srgbClr val="C0C0C0"/>
        </a:solidFill>
        <a:ln w="3175">
          <a:solidFill>
            <a:srgbClr val="000000"/>
          </a:solidFill>
          <a:prstDash val="solid"/>
        </a:ln>
      </c:spPr>
    </c:floor>
    <c:sideWall>
      <c:spPr>
        <a:noFill/>
        <a:ln w="12700">
          <a:solidFill>
            <a:srgbClr val="FFFFFF"/>
          </a:solidFill>
          <a:prstDash val="solid"/>
        </a:ln>
      </c:spPr>
    </c:sideWall>
    <c:backWall>
      <c:spPr>
        <a:noFill/>
        <a:ln w="12700">
          <a:solidFill>
            <a:srgbClr val="FFFFFF"/>
          </a:solidFill>
          <a:prstDash val="solid"/>
        </a:ln>
      </c:spPr>
    </c:backWall>
    <c:plotArea>
      <c:layout>
        <c:manualLayout>
          <c:layoutTarget val="inner"/>
          <c:xMode val="edge"/>
          <c:yMode val="edge"/>
          <c:x val="0.20975609756097588"/>
          <c:y val="3.3707865168539367E-2"/>
          <c:w val="0.77398373983739832"/>
          <c:h val="0.67415730337078739"/>
        </c:manualLayout>
      </c:layout>
      <c:bar3DChart>
        <c:barDir val="col"/>
        <c:grouping val="clustered"/>
        <c:ser>
          <c:idx val="0"/>
          <c:order val="0"/>
          <c:tx>
            <c:strRef>
              <c:f>Sheet1!$A$2</c:f>
              <c:strCache>
                <c:ptCount val="1"/>
                <c:pt idx="0">
                  <c:v>Загальний холестерин, ммоль/л</c:v>
                </c:pt>
              </c:strCache>
            </c:strRef>
          </c:tx>
          <c:spPr>
            <a:solidFill>
              <a:srgbClr val="9999FF"/>
            </a:solidFill>
            <a:ln w="12706">
              <a:solidFill>
                <a:srgbClr val="000000"/>
              </a:solidFill>
              <a:prstDash val="solid"/>
            </a:ln>
          </c:spPr>
          <c:dLbls>
            <c:dLbl>
              <c:idx val="0"/>
              <c:delete val="1"/>
            </c:dLbl>
            <c:dLbl>
              <c:idx val="2"/>
              <c:tx>
                <c:rich>
                  <a:bodyPr/>
                  <a:lstStyle/>
                  <a:p>
                    <a:r>
                      <a:rPr lang="ru-RU"/>
                      <a:t>**</a:t>
                    </a:r>
                  </a:p>
                </c:rich>
              </c:tx>
            </c:dLbl>
            <c:spPr>
              <a:noFill/>
              <a:ln w="25413">
                <a:noFill/>
              </a:ln>
            </c:spPr>
            <c:txPr>
              <a:bodyPr/>
              <a:lstStyle/>
              <a:p>
                <a:pPr>
                  <a:defRPr sz="800" b="1" i="0" u="none" strike="noStrike" baseline="0">
                    <a:solidFill>
                      <a:srgbClr val="000000"/>
                    </a:solidFill>
                    <a:latin typeface="Calibri"/>
                    <a:ea typeface="Calibri"/>
                    <a:cs typeface="Calibri"/>
                  </a:defRPr>
                </a:pPr>
                <a:endParaRPr lang="ru-RU"/>
              </a:p>
            </c:txPr>
            <c:showVal val="1"/>
          </c:dLbls>
          <c:cat>
            <c:strRef>
              <c:f>Sheet1!$B$1:$E$1</c:f>
              <c:strCache>
                <c:ptCount val="3"/>
                <c:pt idx="0">
                  <c:v>До лікування</c:v>
                </c:pt>
                <c:pt idx="2">
                  <c:v>Після лікування</c:v>
                </c:pt>
              </c:strCache>
            </c:strRef>
          </c:cat>
          <c:val>
            <c:numRef>
              <c:f>Sheet1!$B$2:$E$2</c:f>
              <c:numCache>
                <c:formatCode>General</c:formatCode>
                <c:ptCount val="4"/>
                <c:pt idx="0">
                  <c:v>7.3199999999999985</c:v>
                </c:pt>
                <c:pt idx="2">
                  <c:v>5.8</c:v>
                </c:pt>
              </c:numCache>
            </c:numRef>
          </c:val>
        </c:ser>
        <c:ser>
          <c:idx val="1"/>
          <c:order val="1"/>
          <c:tx>
            <c:strRef>
              <c:f>Sheet1!$A$3</c:f>
              <c:strCache>
                <c:ptCount val="1"/>
                <c:pt idx="0">
                  <c:v>ЛПНГ, ммоль/л</c:v>
                </c:pt>
              </c:strCache>
            </c:strRef>
          </c:tx>
          <c:spPr>
            <a:solidFill>
              <a:srgbClr val="993366"/>
            </a:solidFill>
            <a:ln w="12706">
              <a:solidFill>
                <a:srgbClr val="000000"/>
              </a:solidFill>
              <a:prstDash val="solid"/>
            </a:ln>
          </c:spPr>
          <c:dLbls>
            <c:dLbl>
              <c:idx val="0"/>
              <c:delete val="1"/>
            </c:dLbl>
            <c:dLbl>
              <c:idx val="2"/>
              <c:tx>
                <c:rich>
                  <a:bodyPr/>
                  <a:lstStyle/>
                  <a:p>
                    <a:r>
                      <a:rPr lang="ru-RU"/>
                      <a:t>**</a:t>
                    </a:r>
                  </a:p>
                </c:rich>
              </c:tx>
            </c:dLbl>
            <c:spPr>
              <a:noFill/>
              <a:ln w="25413">
                <a:noFill/>
              </a:ln>
            </c:spPr>
            <c:txPr>
              <a:bodyPr/>
              <a:lstStyle/>
              <a:p>
                <a:pPr>
                  <a:defRPr sz="800" b="1" i="0" u="none" strike="noStrike" baseline="0">
                    <a:solidFill>
                      <a:srgbClr val="000000"/>
                    </a:solidFill>
                    <a:latin typeface="Calibri"/>
                    <a:ea typeface="Calibri"/>
                    <a:cs typeface="Calibri"/>
                  </a:defRPr>
                </a:pPr>
                <a:endParaRPr lang="ru-RU"/>
              </a:p>
            </c:txPr>
            <c:showVal val="1"/>
          </c:dLbls>
          <c:cat>
            <c:strRef>
              <c:f>Sheet1!$B$1:$E$1</c:f>
              <c:strCache>
                <c:ptCount val="3"/>
                <c:pt idx="0">
                  <c:v>До лікування</c:v>
                </c:pt>
                <c:pt idx="2">
                  <c:v>Після лікування</c:v>
                </c:pt>
              </c:strCache>
            </c:strRef>
          </c:cat>
          <c:val>
            <c:numRef>
              <c:f>Sheet1!$B$3:$E$3</c:f>
              <c:numCache>
                <c:formatCode>General</c:formatCode>
                <c:ptCount val="4"/>
                <c:pt idx="0">
                  <c:v>5.14</c:v>
                </c:pt>
                <c:pt idx="2">
                  <c:v>3.68</c:v>
                </c:pt>
              </c:numCache>
            </c:numRef>
          </c:val>
        </c:ser>
        <c:ser>
          <c:idx val="2"/>
          <c:order val="2"/>
          <c:tx>
            <c:strRef>
              <c:f>Sheet1!$A$4</c:f>
              <c:strCache>
                <c:ptCount val="1"/>
                <c:pt idx="0">
                  <c:v>Тригліцериди, ммоль/л</c:v>
                </c:pt>
              </c:strCache>
            </c:strRef>
          </c:tx>
          <c:spPr>
            <a:solidFill>
              <a:srgbClr val="FFFFCC"/>
            </a:solidFill>
            <a:ln w="12706">
              <a:solidFill>
                <a:srgbClr val="000000"/>
              </a:solidFill>
              <a:prstDash val="solid"/>
            </a:ln>
          </c:spPr>
          <c:dLbls>
            <c:dLbl>
              <c:idx val="0"/>
              <c:delete val="1"/>
            </c:dLbl>
            <c:dLbl>
              <c:idx val="2"/>
              <c:tx>
                <c:rich>
                  <a:bodyPr/>
                  <a:lstStyle/>
                  <a:p>
                    <a:r>
                      <a:rPr lang="ru-RU"/>
                      <a:t>**</a:t>
                    </a:r>
                  </a:p>
                </c:rich>
              </c:tx>
            </c:dLbl>
            <c:spPr>
              <a:noFill/>
              <a:ln w="25413">
                <a:noFill/>
              </a:ln>
            </c:spPr>
            <c:txPr>
              <a:bodyPr/>
              <a:lstStyle/>
              <a:p>
                <a:pPr>
                  <a:defRPr sz="800" b="1" i="0" u="none" strike="noStrike" baseline="0">
                    <a:solidFill>
                      <a:srgbClr val="000000"/>
                    </a:solidFill>
                    <a:latin typeface="Calibri"/>
                    <a:ea typeface="Calibri"/>
                    <a:cs typeface="Calibri"/>
                  </a:defRPr>
                </a:pPr>
                <a:endParaRPr lang="ru-RU"/>
              </a:p>
            </c:txPr>
            <c:showVal val="1"/>
          </c:dLbls>
          <c:cat>
            <c:strRef>
              <c:f>Sheet1!$B$1:$E$1</c:f>
              <c:strCache>
                <c:ptCount val="3"/>
                <c:pt idx="0">
                  <c:v>До лікування</c:v>
                </c:pt>
                <c:pt idx="2">
                  <c:v>Після лікування</c:v>
                </c:pt>
              </c:strCache>
            </c:strRef>
          </c:cat>
          <c:val>
            <c:numRef>
              <c:f>Sheet1!$B$4:$E$4</c:f>
              <c:numCache>
                <c:formatCode>General</c:formatCode>
                <c:ptCount val="4"/>
                <c:pt idx="0">
                  <c:v>2.5299999999999998</c:v>
                </c:pt>
                <c:pt idx="2">
                  <c:v>2.06</c:v>
                </c:pt>
              </c:numCache>
            </c:numRef>
          </c:val>
        </c:ser>
        <c:ser>
          <c:idx val="3"/>
          <c:order val="3"/>
          <c:tx>
            <c:strRef>
              <c:f>Sheet1!$A$5</c:f>
              <c:strCache>
                <c:ptCount val="1"/>
                <c:pt idx="0">
                  <c:v>ЛПДНГ, ммоль/л</c:v>
                </c:pt>
              </c:strCache>
            </c:strRef>
          </c:tx>
          <c:spPr>
            <a:solidFill>
              <a:srgbClr val="CCFFFF"/>
            </a:solidFill>
            <a:ln w="12706">
              <a:solidFill>
                <a:srgbClr val="000000"/>
              </a:solidFill>
              <a:prstDash val="solid"/>
            </a:ln>
          </c:spPr>
          <c:cat>
            <c:strRef>
              <c:f>Sheet1!$B$1:$E$1</c:f>
              <c:strCache>
                <c:ptCount val="3"/>
                <c:pt idx="0">
                  <c:v>До лікування</c:v>
                </c:pt>
                <c:pt idx="2">
                  <c:v>Після лікування</c:v>
                </c:pt>
              </c:strCache>
            </c:strRef>
          </c:cat>
          <c:val>
            <c:numRef>
              <c:f>Sheet1!$B$5:$E$5</c:f>
              <c:numCache>
                <c:formatCode>General</c:formatCode>
                <c:ptCount val="4"/>
                <c:pt idx="0">
                  <c:v>1.1499999999999986</c:v>
                </c:pt>
                <c:pt idx="2">
                  <c:v>0.94000000000000061</c:v>
                </c:pt>
              </c:numCache>
            </c:numRef>
          </c:val>
        </c:ser>
        <c:ser>
          <c:idx val="4"/>
          <c:order val="4"/>
          <c:tx>
            <c:strRef>
              <c:f>Sheet1!$A$6</c:f>
              <c:strCache>
                <c:ptCount val="1"/>
                <c:pt idx="0">
                  <c:v>ЛПВГ, ммоль/л</c:v>
                </c:pt>
              </c:strCache>
            </c:strRef>
          </c:tx>
          <c:spPr>
            <a:solidFill>
              <a:srgbClr val="660066"/>
            </a:solidFill>
            <a:ln w="12706">
              <a:solidFill>
                <a:srgbClr val="000000"/>
              </a:solidFill>
              <a:prstDash val="solid"/>
            </a:ln>
          </c:spPr>
          <c:dLbls>
            <c:dLbl>
              <c:idx val="0"/>
              <c:delete val="1"/>
            </c:dLbl>
            <c:dLbl>
              <c:idx val="2"/>
              <c:tx>
                <c:rich>
                  <a:bodyPr/>
                  <a:lstStyle/>
                  <a:p>
                    <a:r>
                      <a:rPr lang="ru-RU"/>
                      <a:t>**</a:t>
                    </a:r>
                  </a:p>
                </c:rich>
              </c:tx>
            </c:dLbl>
            <c:spPr>
              <a:noFill/>
              <a:ln w="25413">
                <a:noFill/>
              </a:ln>
            </c:spPr>
            <c:txPr>
              <a:bodyPr/>
              <a:lstStyle/>
              <a:p>
                <a:pPr>
                  <a:defRPr sz="800" b="1" i="0" u="none" strike="noStrike" baseline="0">
                    <a:solidFill>
                      <a:srgbClr val="000000"/>
                    </a:solidFill>
                    <a:latin typeface="Calibri"/>
                    <a:ea typeface="Calibri"/>
                    <a:cs typeface="Calibri"/>
                  </a:defRPr>
                </a:pPr>
                <a:endParaRPr lang="ru-RU"/>
              </a:p>
            </c:txPr>
            <c:showVal val="1"/>
          </c:dLbls>
          <c:cat>
            <c:strRef>
              <c:f>Sheet1!$B$1:$E$1</c:f>
              <c:strCache>
                <c:ptCount val="3"/>
                <c:pt idx="0">
                  <c:v>До лікування</c:v>
                </c:pt>
                <c:pt idx="2">
                  <c:v>Після лікування</c:v>
                </c:pt>
              </c:strCache>
            </c:strRef>
          </c:cat>
          <c:val>
            <c:numRef>
              <c:f>Sheet1!$B$6:$E$6</c:f>
              <c:numCache>
                <c:formatCode>General</c:formatCode>
                <c:ptCount val="4"/>
                <c:pt idx="0">
                  <c:v>1.03</c:v>
                </c:pt>
                <c:pt idx="2">
                  <c:v>1.1800000000000013</c:v>
                </c:pt>
              </c:numCache>
            </c:numRef>
          </c:val>
        </c:ser>
        <c:ser>
          <c:idx val="5"/>
          <c:order val="5"/>
          <c:tx>
            <c:strRef>
              <c:f>Sheet1!$A$7</c:f>
              <c:strCache>
                <c:ptCount val="1"/>
                <c:pt idx="0">
                  <c:v>Індекс атерогенності</c:v>
                </c:pt>
              </c:strCache>
            </c:strRef>
          </c:tx>
          <c:spPr>
            <a:solidFill>
              <a:srgbClr val="FF8080"/>
            </a:solidFill>
            <a:ln w="12706">
              <a:solidFill>
                <a:srgbClr val="000000"/>
              </a:solidFill>
              <a:prstDash val="solid"/>
            </a:ln>
          </c:spPr>
          <c:dLbls>
            <c:dLbl>
              <c:idx val="0"/>
              <c:delete val="1"/>
            </c:dLbl>
            <c:dLbl>
              <c:idx val="2"/>
              <c:tx>
                <c:rich>
                  <a:bodyPr/>
                  <a:lstStyle/>
                  <a:p>
                    <a:r>
                      <a:rPr lang="ru-RU"/>
                      <a:t>**</a:t>
                    </a:r>
                  </a:p>
                </c:rich>
              </c:tx>
            </c:dLbl>
            <c:spPr>
              <a:noFill/>
              <a:ln w="25413">
                <a:noFill/>
              </a:ln>
            </c:spPr>
            <c:txPr>
              <a:bodyPr/>
              <a:lstStyle/>
              <a:p>
                <a:pPr>
                  <a:defRPr sz="800" b="1" i="0" u="none" strike="noStrike" baseline="0">
                    <a:solidFill>
                      <a:srgbClr val="000000"/>
                    </a:solidFill>
                    <a:latin typeface="Calibri"/>
                    <a:ea typeface="Calibri"/>
                    <a:cs typeface="Calibri"/>
                  </a:defRPr>
                </a:pPr>
                <a:endParaRPr lang="ru-RU"/>
              </a:p>
            </c:txPr>
            <c:showVal val="1"/>
          </c:dLbls>
          <c:cat>
            <c:strRef>
              <c:f>Sheet1!$B$1:$E$1</c:f>
              <c:strCache>
                <c:ptCount val="3"/>
                <c:pt idx="0">
                  <c:v>До лікування</c:v>
                </c:pt>
                <c:pt idx="2">
                  <c:v>Після лікування</c:v>
                </c:pt>
              </c:strCache>
            </c:strRef>
          </c:cat>
          <c:val>
            <c:numRef>
              <c:f>Sheet1!$B$7:$E$7</c:f>
              <c:numCache>
                <c:formatCode>General</c:formatCode>
                <c:ptCount val="4"/>
                <c:pt idx="0">
                  <c:v>6.1099999999999985</c:v>
                </c:pt>
                <c:pt idx="2">
                  <c:v>3.92</c:v>
                </c:pt>
              </c:numCache>
            </c:numRef>
          </c:val>
        </c:ser>
        <c:gapDepth val="0"/>
        <c:shape val="cylinder"/>
        <c:axId val="205021952"/>
        <c:axId val="205023488"/>
        <c:axId val="0"/>
      </c:bar3DChart>
      <c:catAx>
        <c:axId val="205021952"/>
        <c:scaling>
          <c:orientation val="minMax"/>
        </c:scaling>
        <c:axPos val="b"/>
        <c:numFmt formatCode="General" sourceLinked="1"/>
        <c:tickLblPos val="low"/>
        <c:spPr>
          <a:ln w="9530">
            <a:noFill/>
          </a:ln>
        </c:spPr>
        <c:txPr>
          <a:bodyPr rot="0" vert="horz"/>
          <a:lstStyle/>
          <a:p>
            <a:pPr>
              <a:defRPr sz="800" b="1" i="0" u="none" strike="noStrike" baseline="0">
                <a:solidFill>
                  <a:srgbClr val="000000"/>
                </a:solidFill>
                <a:latin typeface="Calibri"/>
                <a:ea typeface="Calibri"/>
                <a:cs typeface="Calibri"/>
              </a:defRPr>
            </a:pPr>
            <a:endParaRPr lang="ru-RU"/>
          </a:p>
        </c:txPr>
        <c:crossAx val="205023488"/>
        <c:crosses val="autoZero"/>
        <c:auto val="1"/>
        <c:lblAlgn val="ctr"/>
        <c:lblOffset val="100"/>
        <c:tickLblSkip val="1"/>
        <c:tickMarkSkip val="1"/>
      </c:catAx>
      <c:valAx>
        <c:axId val="205023488"/>
        <c:scaling>
          <c:orientation val="minMax"/>
        </c:scaling>
        <c:axPos val="l"/>
        <c:majorGridlines>
          <c:spPr>
            <a:ln w="3177">
              <a:solidFill>
                <a:srgbClr val="000000"/>
              </a:solidFill>
              <a:prstDash val="solid"/>
            </a:ln>
          </c:spPr>
        </c:majorGridlines>
        <c:title>
          <c:tx>
            <c:rich>
              <a:bodyPr rot="0" vert="horz"/>
              <a:lstStyle/>
              <a:p>
                <a:pPr algn="ctr">
                  <a:defRPr sz="800" b="1" i="0" u="none" strike="noStrike" baseline="0">
                    <a:solidFill>
                      <a:srgbClr val="000000"/>
                    </a:solidFill>
                    <a:latin typeface="Calibri"/>
                    <a:ea typeface="Calibri"/>
                    <a:cs typeface="Calibri"/>
                  </a:defRPr>
                </a:pPr>
                <a:r>
                  <a:rPr lang="ru-RU"/>
                  <a:t> ** - вірогідність відмінності (р&lt;0,05) порівняно з показниками  хворих  після лікування </a:t>
                </a:r>
              </a:p>
            </c:rich>
          </c:tx>
          <c:layout>
            <c:manualLayout>
              <c:xMode val="edge"/>
              <c:yMode val="edge"/>
              <c:x val="1.1382113821138221E-2"/>
              <c:y val="0.6816479400749067"/>
            </c:manualLayout>
          </c:layout>
          <c:spPr>
            <a:noFill/>
            <a:ln w="25413">
              <a:noFill/>
            </a:ln>
          </c:spPr>
        </c:title>
        <c:numFmt formatCode="General" sourceLinked="1"/>
        <c:tickLblPos val="nextTo"/>
        <c:spPr>
          <a:ln w="3177">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205021952"/>
        <c:crosses val="autoZero"/>
        <c:crossBetween val="between"/>
      </c:valAx>
      <c:spPr>
        <a:noFill/>
        <a:ln w="25413">
          <a:noFill/>
        </a:ln>
      </c:spPr>
    </c:plotArea>
    <c:legend>
      <c:legendPos val="b"/>
      <c:layout>
        <c:manualLayout>
          <c:xMode val="edge"/>
          <c:yMode val="edge"/>
          <c:x val="0.250406504065041"/>
          <c:y val="0.8389513108614236"/>
          <c:w val="0.66504065040650584"/>
          <c:h val="0.15355805243445694"/>
        </c:manualLayout>
      </c:layout>
      <c:spPr>
        <a:noFill/>
        <a:ln w="3177">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17</Pages>
  <Words>5889</Words>
  <Characters>33568</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Spartan-B312</dc:creator>
  <cp:keywords/>
  <dc:description/>
  <cp:lastModifiedBy>Eka</cp:lastModifiedBy>
  <cp:revision>4</cp:revision>
  <dcterms:created xsi:type="dcterms:W3CDTF">2018-05-13T15:31:00Z</dcterms:created>
  <dcterms:modified xsi:type="dcterms:W3CDTF">2018-06-01T02:44:00Z</dcterms:modified>
</cp:coreProperties>
</file>