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D8" w:rsidRPr="009728FA" w:rsidRDefault="005220D8" w:rsidP="005220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20D8" w:rsidRPr="00B50665" w:rsidRDefault="005220D8" w:rsidP="005220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50665">
        <w:rPr>
          <w:rFonts w:ascii="Times New Roman" w:hAnsi="Times New Roman"/>
          <w:b/>
          <w:bCs/>
          <w:sz w:val="28"/>
          <w:szCs w:val="28"/>
          <w:lang w:val="en-US"/>
        </w:rPr>
        <w:t>About the influence of the way of restoration of the gastrointestinal continuity on function of the pancreas</w:t>
      </w:r>
    </w:p>
    <w:p w:rsidR="005220D8" w:rsidRPr="00B50665" w:rsidRDefault="005220D8" w:rsidP="005220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B50665">
        <w:rPr>
          <w:rFonts w:ascii="Times New Roman" w:hAnsi="Times New Roman"/>
          <w:iCs/>
          <w:sz w:val="28"/>
          <w:szCs w:val="28"/>
          <w:lang w:val="en-US"/>
        </w:rPr>
        <w:t>A. P. Koshel</w:t>
      </w: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1</w:t>
      </w:r>
      <w:proofErr w:type="gramStart"/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,2,3</w:t>
      </w:r>
      <w:proofErr w:type="gramEnd"/>
      <w:r w:rsidRPr="00B50665">
        <w:rPr>
          <w:rFonts w:ascii="Times New Roman" w:hAnsi="Times New Roman"/>
          <w:iCs/>
          <w:sz w:val="28"/>
          <w:szCs w:val="28"/>
          <w:lang w:val="en-US"/>
        </w:rPr>
        <w:t>, N. E. Kurtseitov</w:t>
      </w: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3</w:t>
      </w:r>
      <w:r w:rsidRPr="00B50665">
        <w:rPr>
          <w:rFonts w:ascii="Times New Roman" w:hAnsi="Times New Roman"/>
          <w:bCs/>
          <w:sz w:val="28"/>
          <w:szCs w:val="28"/>
          <w:lang w:val="en-US"/>
        </w:rPr>
        <w:t>, Y. Y. Rakina</w:t>
      </w: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4</w:t>
      </w:r>
    </w:p>
    <w:p w:rsidR="005220D8" w:rsidRPr="00B50665" w:rsidRDefault="005220D8" w:rsidP="005220D8">
      <w:pPr>
        <w:pStyle w:val="a7"/>
        <w:ind w:left="-36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1</w:t>
      </w:r>
      <w:r w:rsidRPr="00B50665">
        <w:rPr>
          <w:rFonts w:ascii="Times New Roman" w:hAnsi="Times New Roman"/>
          <w:bCs/>
          <w:sz w:val="28"/>
          <w:szCs w:val="28"/>
          <w:lang w:val="en-US"/>
        </w:rPr>
        <w:t>City Clinical Hospital No 3 n.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B50665">
        <w:rPr>
          <w:rFonts w:ascii="Times New Roman" w:hAnsi="Times New Roman"/>
          <w:bCs/>
          <w:sz w:val="28"/>
          <w:szCs w:val="28"/>
          <w:lang w:val="en-US"/>
        </w:rPr>
        <w:t>a.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B50665">
        <w:rPr>
          <w:rFonts w:ascii="Times New Roman" w:hAnsi="Times New Roman"/>
          <w:bCs/>
          <w:sz w:val="28"/>
          <w:szCs w:val="28"/>
          <w:lang w:val="en-US"/>
        </w:rPr>
        <w:t>B.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B50665">
        <w:rPr>
          <w:rFonts w:ascii="Times New Roman" w:hAnsi="Times New Roman"/>
          <w:bCs/>
          <w:sz w:val="28"/>
          <w:szCs w:val="28"/>
          <w:lang w:val="en-US"/>
        </w:rPr>
        <w:t>I.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B50665">
        <w:rPr>
          <w:rFonts w:ascii="Times New Roman" w:hAnsi="Times New Roman"/>
          <w:bCs/>
          <w:sz w:val="28"/>
          <w:szCs w:val="28"/>
          <w:lang w:val="en-US"/>
        </w:rPr>
        <w:t>Alperovich</w:t>
      </w:r>
      <w:proofErr w:type="spellEnd"/>
      <w:r w:rsidRPr="00B50665">
        <w:rPr>
          <w:rFonts w:ascii="Times New Roman" w:hAnsi="Times New Roman"/>
          <w:bCs/>
          <w:sz w:val="28"/>
          <w:szCs w:val="28"/>
          <w:lang w:val="en-US"/>
        </w:rPr>
        <w:t>, Tomsk;</w:t>
      </w:r>
    </w:p>
    <w:p w:rsidR="005220D8" w:rsidRPr="00B50665" w:rsidRDefault="005220D8" w:rsidP="005220D8">
      <w:pPr>
        <w:pStyle w:val="a7"/>
        <w:suppressAutoHyphens w:val="0"/>
        <w:spacing w:after="0" w:line="360" w:lineRule="auto"/>
        <w:ind w:left="-36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2</w:t>
      </w:r>
      <w:r w:rsidRPr="00B50665">
        <w:rPr>
          <w:lang w:val="en-US"/>
        </w:rPr>
        <w:t xml:space="preserve"> </w:t>
      </w:r>
      <w:r w:rsidRPr="00B506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Medical Center n. a. G. K. </w:t>
      </w:r>
      <w:proofErr w:type="spellStart"/>
      <w:r w:rsidRPr="00B50665">
        <w:rPr>
          <w:rFonts w:ascii="Times New Roman" w:hAnsi="Times New Roman" w:cs="Times New Roman"/>
          <w:bCs/>
          <w:sz w:val="28"/>
          <w:szCs w:val="28"/>
          <w:lang w:val="en-US"/>
        </w:rPr>
        <w:t>Zherlov</w:t>
      </w:r>
      <w:proofErr w:type="spellEnd"/>
      <w:r w:rsidRPr="00B506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B50665">
        <w:rPr>
          <w:rFonts w:ascii="Times New Roman" w:hAnsi="Times New Roman" w:cs="Times New Roman"/>
          <w:bCs/>
          <w:sz w:val="28"/>
          <w:szCs w:val="28"/>
          <w:lang w:val="en-US"/>
        </w:rPr>
        <w:t>Seversk</w:t>
      </w:r>
      <w:proofErr w:type="spellEnd"/>
      <w:r w:rsidRPr="00B50665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5220D8" w:rsidRPr="00B50665" w:rsidRDefault="005220D8" w:rsidP="005220D8">
      <w:pPr>
        <w:pStyle w:val="a7"/>
        <w:suppressAutoHyphens w:val="0"/>
        <w:spacing w:after="0" w:line="360" w:lineRule="auto"/>
        <w:ind w:left="-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3</w:t>
      </w:r>
      <w:r w:rsidRPr="00B50665">
        <w:rPr>
          <w:rFonts w:ascii="Times New Roman" w:hAnsi="Times New Roman" w:cs="Times New Roman"/>
          <w:sz w:val="28"/>
          <w:szCs w:val="28"/>
          <w:lang w:val="en-US"/>
        </w:rPr>
        <w:t>Siberian State Medical University, Tomsk;</w:t>
      </w:r>
    </w:p>
    <w:p w:rsidR="00315B00" w:rsidRPr="00315B00" w:rsidRDefault="005220D8" w:rsidP="005220D8">
      <w:pPr>
        <w:shd w:val="clear" w:color="auto" w:fill="FFFFFF"/>
        <w:spacing w:after="0" w:line="38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4</w:t>
      </w:r>
      <w:r w:rsidRPr="00B50665">
        <w:rPr>
          <w:rFonts w:ascii="Times New Roman" w:hAnsi="Times New Roman" w:cs="Times New Roman"/>
          <w:sz w:val="28"/>
          <w:szCs w:val="28"/>
          <w:lang w:val="en-US"/>
        </w:rPr>
        <w:t xml:space="preserve">Siberian Federal Scientific Clinical Center, </w:t>
      </w:r>
      <w:proofErr w:type="spellStart"/>
      <w:r w:rsidRPr="00B50665">
        <w:rPr>
          <w:rFonts w:ascii="Times New Roman" w:hAnsi="Times New Roman" w:cs="Times New Roman"/>
          <w:sz w:val="28"/>
          <w:szCs w:val="28"/>
          <w:lang w:val="en-US"/>
        </w:rPr>
        <w:t>Seversk</w:t>
      </w:r>
      <w:proofErr w:type="spellEnd"/>
      <w:r w:rsidRPr="00B50665">
        <w:rPr>
          <w:rFonts w:ascii="Times New Roman" w:hAnsi="Times New Roman" w:cs="Times New Roman"/>
          <w:sz w:val="28"/>
          <w:szCs w:val="28"/>
          <w:lang w:val="en-US"/>
        </w:rPr>
        <w:t>, Russia</w:t>
      </w:r>
    </w:p>
    <w:p w:rsidR="00315B00" w:rsidRPr="00315B00" w:rsidRDefault="005220D8" w:rsidP="00315B00">
      <w:pPr>
        <w:shd w:val="clear" w:color="auto" w:fill="FFFFFF"/>
        <w:spacing w:after="0" w:line="38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 xml:space="preserve">"... </w:t>
      </w:r>
      <w:proofErr w:type="gramStart"/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many</w:t>
      </w:r>
      <w:proofErr w:type="gramEnd"/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 xml:space="preserve"> clinical observations suggest that people </w:t>
      </w:r>
      <w:proofErr w:type="spellStart"/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rad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chennye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price</w:t>
      </w:r>
      <w:r w:rsidR="005220D8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stomach</w:t>
      </w:r>
      <w:r w:rsidR="005220D8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removal of the organ</w:t>
      </w:r>
      <w:r w:rsidR="005220D8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disease,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do not feel healthy.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Disorders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that develop in the body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in connection with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gastrectomy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reduce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vitality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 xml:space="preserve"> ability to work, and sometimes lead to death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in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>operated patients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Pr="00315B00">
        <w:rPr>
          <w:rFonts w:ascii="Times New Roman" w:eastAsia="Times New Roman" w:hAnsi="Times New Roman" w:cs="Times New Roman"/>
          <w:i/>
          <w:iCs/>
          <w:color w:val="000000"/>
          <w:sz w:val="28"/>
          <w:lang w:val="en-US"/>
        </w:rPr>
        <w:t xml:space="preserve"> "</w:t>
      </w:r>
    </w:p>
    <w:p w:rsidR="00315B00" w:rsidRPr="00315B00" w:rsidRDefault="005220D8" w:rsidP="00315B00">
      <w:pPr>
        <w:shd w:val="clear" w:color="auto" w:fill="FFFFFF"/>
        <w:spacing w:after="0" w:line="38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(</w:t>
      </w:r>
      <w:r w:rsidR="00315B00"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="00315B00"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r w:rsidR="00315B00"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Tsekhanovich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="00315B00"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1976)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[</w:t>
      </w:r>
      <w:r w:rsidR="00315B00"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])</w:t>
      </w:r>
    </w:p>
    <w:p w:rsidR="00315B00" w:rsidRPr="00315B00" w:rsidRDefault="005220D8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315B00" w:rsidRPr="00315B00" w:rsidRDefault="005220D8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50665">
        <w:rPr>
          <w:rFonts w:ascii="Times New Roman" w:hAnsi="Times New Roman"/>
          <w:b/>
          <w:bCs/>
          <w:sz w:val="28"/>
          <w:szCs w:val="28"/>
          <w:lang w:val="en-US"/>
        </w:rPr>
        <w:t xml:space="preserve">Key words: </w:t>
      </w:r>
      <w:proofErr w:type="spellStart"/>
      <w:r w:rsidRPr="00B50665">
        <w:rPr>
          <w:rFonts w:ascii="Times New Roman" w:hAnsi="Times New Roman"/>
          <w:sz w:val="28"/>
          <w:szCs w:val="28"/>
          <w:lang w:val="en-US"/>
        </w:rPr>
        <w:t>postgastrectomy</w:t>
      </w:r>
      <w:proofErr w:type="spellEnd"/>
      <w:r w:rsidRPr="00B50665">
        <w:rPr>
          <w:rFonts w:ascii="Times New Roman" w:hAnsi="Times New Roman"/>
          <w:sz w:val="28"/>
          <w:szCs w:val="28"/>
          <w:lang w:val="en-US"/>
        </w:rPr>
        <w:t xml:space="preserve"> syndrome, chronic pancreatitis, esophageal-</w:t>
      </w:r>
      <w:proofErr w:type="gramStart"/>
      <w:r w:rsidRPr="00B50665">
        <w:rPr>
          <w:rFonts w:ascii="Times New Roman" w:hAnsi="Times New Roman"/>
          <w:sz w:val="28"/>
          <w:szCs w:val="28"/>
          <w:lang w:val="en-US"/>
        </w:rPr>
        <w:t>intestinal</w:t>
      </w:r>
      <w:proofErr w:type="gramEnd"/>
      <w:r w:rsidRPr="00B5066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50665">
        <w:rPr>
          <w:rFonts w:ascii="Times New Roman" w:hAnsi="Times New Roman"/>
          <w:sz w:val="28"/>
          <w:szCs w:val="28"/>
          <w:lang w:val="en-US"/>
        </w:rPr>
        <w:t>anastomosis</w:t>
      </w:r>
      <w:proofErr w:type="spellEnd"/>
      <w:r w:rsidRPr="00B50665">
        <w:rPr>
          <w:rFonts w:ascii="Times New Roman" w:hAnsi="Times New Roman"/>
          <w:sz w:val="28"/>
          <w:szCs w:val="28"/>
          <w:lang w:val="en-US"/>
        </w:rPr>
        <w:t xml:space="preserve"> reconstruction, pancreas, chronic pancreatitis</w:t>
      </w:r>
    </w:p>
    <w:p w:rsidR="00315B00" w:rsidRPr="005220D8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220D8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Introduction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Much of operations on the stomach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assumes</w:t>
      </w:r>
      <w:proofErr w:type="gram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duodenum (duodenal) passage of food.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In this case, the role of 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>duodenum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 the digestive pipeline is important and multifunctional.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addition to tons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>duodenum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is "conductor" of food from the stomach into the small intestine, having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but intake of food in the duodenum organize coordinated work of the pancreas,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hepatobiliary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complex, stomach and small intestine, as well as other physiological systems.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addition, in the upper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of the 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>duodenum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produ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withwalks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alkalization of the acidic contents of the stomach and the preparation for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action of pancreatic and intestinal enzymes, and at the bottom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mixing with pancreatic juice and bile, continued cleavage of food particles, onset of action of enzymes performing membrane digestion, sun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hydrolysis products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syvanie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[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12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According to the theory of A.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M.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Ugoleva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digestive-transport conveyor consists of three interrelated consecutive stages: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1) 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cavitary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schevarenie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comprising the formation and hydrolysis of food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chyme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assembles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comrade to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oligo</w:t>
      </w:r>
      <w:proofErr w:type="spellEnd"/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-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and monomers in which enzymes play a key role 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>of the pancreas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2) digestion of the membrane, including the final hydrolysis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nutrients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occurring in the outer membrane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of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enterocytes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with 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power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intestinal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hydrolases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with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pancreatic enzymes 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nutrients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dsorbed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on,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continue to play an active role;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3) Suction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[3].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Thus, the leading role in this theory is given recessed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digestion, which occupy</w:t>
      </w:r>
      <w:proofErr w:type="gram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 important position pancreatic enzymes des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However, violation of the recessed digestion may not only be sleds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viem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various diseases of the pancreas, but also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nym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due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to other causes, including operational shutdown PDK passage of food.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this regard, we should again emphasize the great role of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>duodenum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 which all the main digestive tracts are combined: gastric, liver, pancreatic and intestinal.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All this allows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for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adjustableVat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not only secretion, but also the motor-evacuation activities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zling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des-intestinal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tract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[9].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Dysfunction of the pancreas after the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deenergizing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of the duodenum from the passage of food after the operation on the stomach was studied in sufficient detail.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S.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Mayat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I.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Ryabov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(1969).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Among the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pathogenetic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factors of the occurrence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onset and development of chronic pancreatitis after removal of the stomach (part or whole), the authors distinguished: 1) acute pancreatitis in the postoperative period;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2) the congestion in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duodenum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 throw its content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pancreatic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prot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Ki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3)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dyskinesia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of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biliary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tract, inflammatory and degenerative processes in the liver and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biliary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tract;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4) infecting content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>duodenum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resulting lack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cholic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sour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Nogo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barrier,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dysbacteriosis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5) violation of protein metabolism due to reduced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Nogo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power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dysbacteriosis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resulting in reduced formation of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trypsin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inhibitor and dystrophic changes of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pancreas,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these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type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Ninovepancreatitis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6) the inadequacy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secretive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pacing stimulation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mammary gland, leading to a "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thickening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" of the secret, a violation of its outflow, the formation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retentioncysts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7) violation of blood supply to the gland.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T.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 xml:space="preserve">A.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Goldin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 xml:space="preserve"> (1990) believes that the function of the pancreas and liver in patients undergoing resection of the stomach undergoes substantial amendment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neniya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Firstly, in varying degrees, their function is disturbed before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opera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tion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 xml:space="preserve"> due to the main process.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Secondly, during the operation, to some extent, there is a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trauma to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pancreas.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 xml:space="preserve">When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mobil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tion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 xml:space="preserve">gastric perfusion system suffers total pancreatic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innervation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, due to which the short and long periods in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tissue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ee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fuss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cabins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inflammatory processes with appropriate functional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sheniyami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bunks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in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pacing w:val="-2"/>
          <w:sz w:val="28"/>
          <w:lang w:val="en-US"/>
        </w:rPr>
        <w:t>[4].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questions of the etiology of post-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gastrectomy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pancreatitis remain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focus of "gastric" Surgeons and subjected to study in detail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</w:t>
      </w:r>
      <w:proofErr w:type="spellEnd"/>
      <w:proofErr w:type="gram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NIJ.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At the same time, most researchers point to the role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exclusion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DPC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from the food passage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as the main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pathogenetic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factor of pancreatitis development.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If there are other reasons for the development of pancreatitis after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gastrectomy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, you can still argue that switching the DPC off from the food passage is not in question.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According to the literature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chronic pancreatitis occurs from 25 to 50% of cases in patients with the disease of the operated stomach 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[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4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6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8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10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However, the diagnosis and treatment of it is one of the most complicated and,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unfortunately, unresolved problems of gastroenterology.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complexity of the problem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conclude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etsya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that the clinical picture of pancreatitis in these patients takes place against the backdrop of the manifestation of other, more severe pathological syndromes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postgastrorezektsionnyh.One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radical methods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correlator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tion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to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this condition can be an operation aimed at restoring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transduodenal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passage of food.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To this end,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prof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K.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vent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bit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nerdy and introduced to the clinic method of surgical treatment of the disease operates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vannogo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stomach, comprising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reresection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gastrojejunostomy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zone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 restoring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transduodenal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passage of food to the formation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AER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£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lyuksnogo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gastroduoden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ejinoduodenoanastomoza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[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5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6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The aim of the study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was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to evaluate the effect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reduodenization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according to the methods of G.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K.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vent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on pancreatic function in patients with chronic pa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kreatitom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 the background diseases of operated stomach.</w:t>
      </w:r>
    </w:p>
    <w:p w:rsidR="00315B00" w:rsidRPr="00315B00" w:rsidRDefault="005220D8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Materials</w:t>
      </w:r>
      <w:r w:rsidR="00315B00" w:rsidRPr="00315B00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and Methods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 analysis of the results and treatment of 62 patients after a stomach operation with signs of a disease of the operated stomach was performed.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Indications for reconstructive surgery were, as a rule, combined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postgastreures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syndromes.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Thus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29 (46.8%) patients the signs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dumping syndrome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as the only disease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prevailed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(14) or in combination with other pathological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syndromes</w:t>
      </w:r>
      <w:proofErr w:type="gramEnd"/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peptic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ulcer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ofgastroenteroanastomosis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(8) and the syndrome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nasal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esophagus (7).</w:t>
      </w:r>
      <w:proofErr w:type="gramEnd"/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Isolated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peptic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ulcer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gastroenteroanastomosis</w:t>
      </w:r>
      <w:proofErr w:type="spellEnd"/>
      <w:r w:rsidRPr="00315B00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was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detected in 7 (11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,3</w:t>
      </w:r>
      <w:proofErr w:type="gram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%) patients, in 8 (12,9%), it was combined with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dumping syndrome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and in 4 (6,5%)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with the syndrome of the resulting loop.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this case, all patients had complications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peptic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ulcer.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14 (73.7%) cases of complicated ulcers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netratsiey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including: in the mesentery of the transverse colon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4 (28.6%)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5 (35.7%) patients in the mesentery of the jejunum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pancreas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4 (28.6%) in the transverse colon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one (7.1%).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4 (21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,1</w:t>
      </w:r>
      <w:proofErr w:type="gram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%) cases bleeding was observed, in two (10,5%)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ulcer perforation was revealed.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Afferent loop syndrome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complicated during the main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process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 pathological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Skog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(dumping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syndrome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peptic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ulcers) 14 (22.6%)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patsie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comrade.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11 (78.6%) cases, it was combined with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dumping syndrome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(7) or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peptic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ulcer of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anastomosis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(4).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 xml:space="preserve">In 32 (51.6%) patients had various related diseases which require special preparation before surgical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vmeshatels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vom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or simultaneous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operations.</w:t>
      </w:r>
      <w:proofErr w:type="gramEnd"/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Signs of chronic pancreatitis before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reduodenization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were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detected in 24 (38.7%) patients.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Recurrent form was observed in 19 (79.2%) patients, painful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5 (20.8%).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main complaints in patients were constant noisy pains in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epigastric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region, more in the left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hypochondrium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irradi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rushing in the back and left shoulder, intensifying after eating.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Special HV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manie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was given copies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 o-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 endocrine functions of the pancreas.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order to identify the degree of violation of endocrine function of the pancreas, and the study of the regulation of disorders of the nature of its de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telnosti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conducted a study with a double load of 50% solution of a glitch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on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Staub-Traugott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test).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double load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glucose is from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bout more specific and informative test for functional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untill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with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tatochnost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</w:rPr>
        <w:t>β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-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cells compared to a single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[2].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Examine the appearance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Mykh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pathological types of curves indicates a different degree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accuracy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insufficient.Evaluation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of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glycemic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curves was carried out using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Baudouin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coefficient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Scatological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qualitative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study was carried out before and after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pe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design.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study of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coprogram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was carried out according to standard methods 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[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11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]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Determining the level of quality of life of operated patients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assessing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whether through a specialized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questionnaire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Gastrointestinal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Quality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Life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Index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(E.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Eypasch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1995).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Actual data was processed using mathematical statistics in an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Excel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spreadsheet environment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For each series of variations is determined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whether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arithmetic mean value (M),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arithmetic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average error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cal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medium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(m).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significance of different average arithmetic values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opred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Lyali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absolute accuracy indicator (P) in the table percentage points Student distribution coefficient as a function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statistical receptacle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chimosti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(t)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 the number of degrees of freedom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(n).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Based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on that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ratio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face t-determined probability differences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(p).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difference was considered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receptacle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chimymi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&lt;0.05, i.e.,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proofErr w:type="gram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those cases where the probability of difference was more than 95%.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Results and discussion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results of the investigation of the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intrasecretory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function of the pancreas before and after the operation are shown in Fig.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1. As can be seen from the diagram, for the majority of patients with diseases of operated stomach to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reduodenizatsii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was characterized by abnormal curve (bimodal with equal height beneath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ma and bimodal with a predominance of the second "peak"), which is evidence of violation of carbohydrate metabolism.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4080510" cy="2423795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Fig.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1.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G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lycemic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curves in patients before and after surgery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tions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315B00" w:rsidRPr="00315B00" w:rsidRDefault="005220D8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hyperglycemic coefficient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Baudouin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this group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was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167.6 ± 57.2%, which exceeds the upper limit of the norm (the norm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35-80%).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Baudouin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largest coefficient indices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marked in patients op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ingly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about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severe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dumping syndrome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(214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,1</w:t>
      </w:r>
      <w:proofErr w:type="gram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±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13,3%),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 lowest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patients operated on for an isolated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peptich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tion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ulcers and afferent loop syndrome (114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12 ± 22.9%).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One of the most severe clinical manifestations and visual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Blem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digestion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after stomach operations connected with the violation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assimilable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Nia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food is diarrhea.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 analyzed group of patients before surgery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di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yard varying severity occurred in 28 (45.2%) patients.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this case in 15 (53.6%) patients stool for one day was observed 3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4 times, 8 (28.6%), liquid stools was 5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6 times a day, and, finally, 5 (17.8 %) patients the frequency of the stool reached 8 or more times.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It should be noted that the main point about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redelyayuschim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stool frequency and consistency, was the nature of food.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Most often diarrhea in patients with postprandial sweet, dairy, rude, irritation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zhayuschey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food.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However, in 6 (9.7%) patients received the character of the food is not ok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binding effect on the bowel movement frequency.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27 (43.5%) patients, the stool was more often formed (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kashitseobrazny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), 1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2 times a day.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tendency to constipation was noted by 6 (9.7%) patients.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 course, the frequency of the stool demonstrates problems in the digestive system, however, the most reliable and objective criterion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malabsorption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is a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coprogram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vast majority of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obsledova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GOVERNMENTAL had different disorders of digestion processes.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The presence of neutral fat in 50 (80.6%) patients allocated in the stool indicates violations in the first phase splitting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Well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moat.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Received with food neutral fat, if it is taken in a moderate amount (not more than 100 g), is absorbed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almost completely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by 95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96%.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At the same time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 xml:space="preserve">neutral fat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incoprograms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almost or completely absent.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Fatty food residues found in the form of soaps (alkali and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schelochnoz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e-earth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salts of fatty acids).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Since the fat-splitting enzyme lipase is secreted mainly by the pancreatic juice, the diseases of this organ lead to a violation of fat absorption 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 significant amount of its drops appears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coprogram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presence of significant amounts in the excrement of fiber and starch in 46 (74.2%) patients indicates a violation of the utilization of carbohydrates.</w:t>
      </w:r>
    </w:p>
    <w:p w:rsidR="00315B00" w:rsidRPr="005220D8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Results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coprological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study patients before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tion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are shown in Table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1.</w:t>
      </w:r>
    </w:p>
    <w:p w:rsidR="00315B00" w:rsidRPr="005220D8" w:rsidRDefault="005220D8" w:rsidP="00315B00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</w:rPr>
        <w:t>Table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</w:rPr>
        <w:t>1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</w:rPr>
        <w:t>Coprogram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</w:rPr>
        <w:t>of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</w:rPr>
        <w:t>patients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</w:rPr>
        <w:t>before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</w:rPr>
        <w:t>reduodenization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7"/>
        <w:gridCol w:w="662"/>
        <w:gridCol w:w="828"/>
        <w:gridCol w:w="828"/>
        <w:gridCol w:w="828"/>
      </w:tblGrid>
      <w:tr w:rsidR="00315B00" w:rsidRPr="00315B00" w:rsidTr="00315B00">
        <w:trPr>
          <w:trHeight w:val="104"/>
        </w:trPr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5220D8" w:rsidP="00315B00">
            <w:pPr>
              <w:spacing w:after="0" w:line="10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5B00">
              <w:rPr>
                <w:rFonts w:ascii="Times New Roman" w:eastAsia="Times New Roman" w:hAnsi="Times New Roman" w:cs="Times New Roman"/>
                <w:sz w:val="28"/>
              </w:rPr>
              <w:t>/</w:t>
            </w:r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5B00">
              <w:rPr>
                <w:rFonts w:ascii="Times New Roman" w:eastAsia="Times New Roman" w:hAnsi="Times New Roman" w:cs="Times New Roman"/>
                <w:sz w:val="28"/>
              </w:rPr>
              <w:t>+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+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++</w:t>
            </w:r>
          </w:p>
        </w:tc>
      </w:tr>
      <w:tr w:rsidR="00315B00" w:rsidRPr="00315B00" w:rsidTr="00315B00">
        <w:trPr>
          <w:trHeight w:val="107"/>
        </w:trPr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Vegetable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fiber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indigestible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315B00" w:rsidRPr="00315B00" w:rsidTr="00315B00">
        <w:trPr>
          <w:trHeight w:val="98"/>
        </w:trPr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Vegetable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fiber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is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digestible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17th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315B00" w:rsidRPr="00315B00" w:rsidTr="00315B00">
        <w:trPr>
          <w:trHeight w:val="102"/>
        </w:trPr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Muscle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fibers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without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striation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11</w:t>
            </w:r>
          </w:p>
        </w:tc>
      </w:tr>
      <w:tr w:rsidR="00315B00" w:rsidRPr="00315B00" w:rsidTr="00315B00">
        <w:trPr>
          <w:trHeight w:val="92"/>
        </w:trPr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Muscle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fibers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striation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315B00" w:rsidRPr="00315B00" w:rsidTr="00315B00">
        <w:trPr>
          <w:trHeight w:val="96"/>
        </w:trPr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Fat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neutral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7th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27th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315B00" w:rsidRPr="00315B00" w:rsidTr="00315B00">
        <w:trPr>
          <w:trHeight w:val="100"/>
        </w:trPr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Starch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6th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</w:tbl>
    <w:p w:rsidR="00315B00" w:rsidRPr="00315B00" w:rsidRDefault="005220D8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 study of the quality of life of patients with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opercular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gastric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disease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before surgery showed the following.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Average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gastroint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stinalny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index to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reduodenizatsii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was 97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,5</w:t>
      </w:r>
      <w:proofErr w:type="gram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± 3,4 points.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this case, with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low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mymi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were parameters in patients after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gastrectomy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(92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,5</w:t>
      </w:r>
      <w:proofErr w:type="gram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± 5,3) and in the group of patients operated on for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dumping syndrome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(89,2 ± 5,1).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Higher quality of life was assessed by patients, operated on for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peptic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ulcer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100.5 ± 4.8 points.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Reduodenizatsii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operation was performed for all patients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with approx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neniem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jejunogastroplasty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formation or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direct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gastroduodenoan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stamosis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according to the methods of G.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K.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Zherlova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(2009).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 early postoperative period, complications occurred in 9 (14.5%) patients.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One of the major complications of early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Postoperati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Mr.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Foot period after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reduodenizatsiiwere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motor-evacuation disorders, which occurred in 6 (9.7%) patients.</w:t>
      </w:r>
      <w:proofErr w:type="gramEnd"/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 early postoperative period (10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-.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14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days)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there is a slight decrease in the level of quality of life, especially on the scale of the mental state and physical state.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total score was 96.8 ± 6.1.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Such a picture, in our opinion, was associated with an operating trauma accompanied by pain, mobility restriction, etc.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Postoperatively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Staub-Traugott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sample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53 held 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patient's at different times after surgery.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Its results are shown in Fig.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1. The diagram shows the above that the majority of patients are examined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for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bathrooms late after surgery, have the correct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glikemich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ical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curve.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However, it should be noted that the hyperglycemic coefficient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Baudouin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remained elevated throughout the year after the operation.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So, in 3 months.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after</w:t>
      </w:r>
      <w:proofErr w:type="gram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surgery, he was 98.1 ± 18.5%, after 1 year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89.1 ± 21.2% (at a rate of 35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80%).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7 (13.2%) patients in terms persisted up to one year of pathological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Skye curve with a predominance of the second peak.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After 3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5 years after surgery Pat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logical types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glycemic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curve were observed, 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Baudouin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coefficient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these terms equal 77.6 ± 6.4%, which corresponds to normal controls.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These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coprograms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did not differ much from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pre-operational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data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After 3 months.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after</w:t>
      </w:r>
      <w:proofErr w:type="gram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surgery in 35 (66%) of the 53 patients was chair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Ofori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lenny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(less mushy), 1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2 times a day.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8 (15.1%)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remained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Lenia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 have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diarrhea, which is well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stoped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restrictions in diet and for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IOM enzymes.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tendency to constipation was traced in 8 (15.1%) patients.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Two patients (3.8%) remained the phenomenon of diarrhea up to 3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4 times a day, succumb to bad treatment.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It is noted that in these patients before the op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walkie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stool frequency reached 8 or more times a day.</w:t>
      </w:r>
    </w:p>
    <w:p w:rsidR="00315B00" w:rsidRPr="005220D8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Results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coprologic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examination of patients three months after the operation are given in Table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2.</w:t>
      </w:r>
    </w:p>
    <w:p w:rsidR="00315B00" w:rsidRPr="005220D8" w:rsidRDefault="005220D8" w:rsidP="00315B00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15B00" w:rsidRPr="00315B00" w:rsidRDefault="005220D8" w:rsidP="00315B00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>T</w:t>
      </w:r>
      <w:proofErr w:type="spellStart"/>
      <w:r w:rsidR="00315B00" w:rsidRPr="00315B00">
        <w:rPr>
          <w:rFonts w:ascii="Times New Roman" w:eastAsia="Times New Roman" w:hAnsi="Times New Roman" w:cs="Times New Roman"/>
          <w:color w:val="000000"/>
          <w:sz w:val="28"/>
        </w:rPr>
        <w:t>able</w:t>
      </w:r>
      <w:proofErr w:type="spellEnd"/>
      <w:r w:rsidR="00315B00" w:rsidRPr="00315B00">
        <w:rPr>
          <w:rFonts w:ascii="Times New Roman" w:eastAsia="Times New Roman" w:hAnsi="Times New Roman" w:cs="Times New Roman"/>
          <w:color w:val="000000"/>
          <w:sz w:val="28"/>
        </w:rPr>
        <w:t xml:space="preserve"> 2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Coprogram</w:t>
      </w:r>
      <w:proofErr w:type="spellEnd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of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patients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in 3 months.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after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reduodenization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8"/>
        <w:gridCol w:w="672"/>
        <w:gridCol w:w="841"/>
        <w:gridCol w:w="841"/>
        <w:gridCol w:w="841"/>
      </w:tblGrid>
      <w:tr w:rsidR="00315B00" w:rsidRPr="00315B00" w:rsidTr="00315B00">
        <w:trPr>
          <w:trHeight w:val="281"/>
        </w:trPr>
        <w:tc>
          <w:tcPr>
            <w:tcW w:w="6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5220D8" w:rsidP="00315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- /</w:t>
            </w:r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15B00">
              <w:rPr>
                <w:rFonts w:ascii="Times New Roman" w:eastAsia="Times New Roman" w:hAnsi="Times New Roman" w:cs="Times New Roman"/>
                <w:sz w:val="28"/>
              </w:rPr>
              <w:t>+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+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++</w:t>
            </w:r>
          </w:p>
        </w:tc>
      </w:tr>
      <w:tr w:rsidR="00315B00" w:rsidRPr="00315B00" w:rsidTr="00315B00">
        <w:trPr>
          <w:trHeight w:val="281"/>
        </w:trPr>
        <w:tc>
          <w:tcPr>
            <w:tcW w:w="6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Vegetable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fiber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indigestible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15B00" w:rsidRPr="00315B00" w:rsidTr="00315B00">
        <w:trPr>
          <w:trHeight w:val="281"/>
        </w:trPr>
        <w:tc>
          <w:tcPr>
            <w:tcW w:w="6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Vegetable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fiber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is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digestible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315B00" w:rsidRPr="00315B00" w:rsidTr="00315B00">
        <w:trPr>
          <w:trHeight w:val="270"/>
        </w:trPr>
        <w:tc>
          <w:tcPr>
            <w:tcW w:w="6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Muscle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fibers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without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striation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315B00" w:rsidRPr="00315B00" w:rsidTr="00315B00">
        <w:trPr>
          <w:trHeight w:val="281"/>
        </w:trPr>
        <w:tc>
          <w:tcPr>
            <w:tcW w:w="6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Muscle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fibers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striation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315B00" w:rsidRPr="00315B00" w:rsidTr="00315B00">
        <w:trPr>
          <w:trHeight w:val="281"/>
        </w:trPr>
        <w:tc>
          <w:tcPr>
            <w:tcW w:w="6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Fat</w:t>
            </w:r>
            <w:proofErr w:type="spellEnd"/>
            <w:r w:rsidRPr="00315B0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neutral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315B00" w:rsidRPr="00315B00" w:rsidTr="00315B00">
        <w:trPr>
          <w:trHeight w:val="293"/>
        </w:trPr>
        <w:tc>
          <w:tcPr>
            <w:tcW w:w="6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5B00">
              <w:rPr>
                <w:rFonts w:ascii="Times New Roman" w:eastAsia="Times New Roman" w:hAnsi="Times New Roman" w:cs="Times New Roman"/>
                <w:sz w:val="28"/>
              </w:rPr>
              <w:t>Starch</w:t>
            </w:r>
            <w:proofErr w:type="spellEnd"/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071ED1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11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00" w:rsidRPr="00315B00" w:rsidRDefault="00315B00" w:rsidP="0031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5B00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</w:tbl>
    <w:p w:rsidR="00315B00" w:rsidRPr="00315B00" w:rsidRDefault="005220D8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As can be seen from Table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2,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already after 3 months.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after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reduodenizatsii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etsya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noting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positive trend in terms of improving the digestion of fats and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ang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vodov</w:t>
      </w:r>
      <w:proofErr w:type="spell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Thus, as soon as possible after surgery with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goes gradual normalization of intestinal digestion: significantly decreases the amount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of undigested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carbohydrates and fat, improves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Playback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process of digestion of protein products </w:t>
      </w:r>
      <w:proofErr w:type="gram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proofErr w:type="gramEnd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fiber, reduce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m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Xia number of patients with diarrhea due to normalization of digestion, regeneration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consistency of the stool is set.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One year after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reduodenisation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,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44 (84.6%) of 52 patients had a physiological norm: 1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2 times a day, decorated (less often mushy);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(2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3 times a day)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—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in one patient (1.9%) with severe diarrhea before surgery.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patient himself marked a significant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improvement in his condition.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The propensity to constipation took place in 7 (13.5%) patients.</w:t>
      </w:r>
    </w:p>
    <w:p w:rsidR="00315B00" w:rsidRPr="00315B00" w:rsidRDefault="00315B00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One year after the recovery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transduodenal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passage, disorders of digestion the main ingredients of the food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and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were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significantly</w:t>
      </w:r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lang w:val="en-US"/>
        </w:rPr>
        <w:t>reduce.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наглядно свидетельствует об этом «нормальное» переваривание жиров и углеводов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в</w:t>
      </w:r>
      <w:r w:rsidR="005220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15B00">
        <w:rPr>
          <w:rFonts w:ascii="Times New Roman" w:eastAsia="Times New Roman" w:hAnsi="Times New Roman" w:cs="Times New Roman"/>
          <w:color w:val="000000"/>
          <w:sz w:val="28"/>
          <w:szCs w:val="28"/>
        </w:rPr>
        <w:t>копрограммах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5B00">
        <w:rPr>
          <w:rFonts w:ascii="Times New Roman" w:eastAsia="Times New Roman" w:hAnsi="Times New Roman" w:cs="Times New Roman"/>
          <w:color w:val="000000"/>
          <w:sz w:val="28"/>
          <w:szCs w:val="28"/>
        </w:rPr>
        <w:t>крахмала и незначительное присутствие нейтрального жира (табл. 3).</w:t>
      </w:r>
    </w:p>
    <w:p w:rsidR="00315B00" w:rsidRPr="00315B00" w:rsidRDefault="005220D8" w:rsidP="00315B00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1ED1" w:rsidRPr="00071ED1" w:rsidRDefault="00071ED1" w:rsidP="00071ED1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</w:rPr>
        <w:t>Table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</w:rPr>
        <w:t>3</w:t>
      </w:r>
    </w:p>
    <w:p w:rsidR="00071ED1" w:rsidRPr="005220D8" w:rsidRDefault="00071ED1" w:rsidP="00071ED1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Coprogramme</w:t>
      </w:r>
      <w:proofErr w:type="spellEnd"/>
      <w:r w:rsidR="005220D8" w:rsidRP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patients</w:t>
      </w:r>
      <w:proofErr w:type="gramEnd"/>
      <w:r w:rsidR="005220D8" w:rsidRP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1 year after</w:t>
      </w:r>
      <w:r w:rsidR="005220D8" w:rsidRP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reduodenization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70"/>
        <w:gridCol w:w="682"/>
        <w:gridCol w:w="853"/>
        <w:gridCol w:w="853"/>
        <w:gridCol w:w="853"/>
      </w:tblGrid>
      <w:tr w:rsidR="00071ED1" w:rsidRPr="00071ED1" w:rsidTr="00071ED1">
        <w:trPr>
          <w:trHeight w:val="289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5220D8" w:rsidRDefault="005220D8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- / +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+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++</w:t>
            </w:r>
          </w:p>
        </w:tc>
      </w:tr>
      <w:tr w:rsidR="00071ED1" w:rsidRPr="00071ED1" w:rsidTr="00071ED1">
        <w:trPr>
          <w:trHeight w:val="289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Vegetable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fiber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indigestible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071ED1" w:rsidRPr="00071ED1" w:rsidTr="00071ED1">
        <w:trPr>
          <w:trHeight w:val="289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Vegetable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fiber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is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digestible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17th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071ED1" w:rsidRPr="00071ED1" w:rsidTr="00071ED1">
        <w:trPr>
          <w:trHeight w:val="289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Muscle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fibers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without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striations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071ED1" w:rsidRPr="00071ED1" w:rsidTr="00071ED1">
        <w:trPr>
          <w:trHeight w:val="277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Muscle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fibers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striated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071ED1" w:rsidRPr="00071ED1" w:rsidTr="00071ED1">
        <w:trPr>
          <w:trHeight w:val="289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Fat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neutral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7th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071ED1" w:rsidRPr="00071ED1" w:rsidTr="00071ED1">
        <w:trPr>
          <w:trHeight w:val="301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Starch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</w:tbl>
    <w:p w:rsidR="00071ED1" w:rsidRPr="00071ED1" w:rsidRDefault="005220D8" w:rsidP="00071ED1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1ED1" w:rsidRPr="00071ED1" w:rsidRDefault="00071ED1" w:rsidP="00071ED1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Body weight (up to 3 kg) increased in 19 (36.5%)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patients,</w:t>
      </w:r>
      <w:proofErr w:type="gramEnd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and in 10 (19.2%) patients the body weight increased by more than 7 kg.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None of the patients had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elevation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til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after surgery weight loss.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Number of meals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was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I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lo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4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="000936E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— 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5 times a day.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Restricted intake of sweet food 3 (8.3%) of the patient, a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cat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about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rye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were operated on for severe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dumping syndrome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.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It should be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taken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away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tit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that a moderate intake of carbohydrates does not cause them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the expression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pathological symptoms.</w:t>
      </w:r>
      <w:proofErr w:type="gramEnd"/>
    </w:p>
    <w:p w:rsidR="00071ED1" w:rsidRPr="00071ED1" w:rsidRDefault="00071ED1" w:rsidP="00071ED1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The overall quality of life in patients increased by an average of 7.5% and amounted to 112.6 ± 5.1 points.</w:t>
      </w:r>
    </w:p>
    <w:p w:rsidR="00071ED1" w:rsidRPr="00071ED1" w:rsidRDefault="00071ED1" w:rsidP="00071ED1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In terms of more than 5 years after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surgery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reduodenization</w:t>
      </w:r>
      <w:proofErr w:type="spellEnd"/>
      <w:proofErr w:type="gramEnd"/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in 39 (88.6%) out of the 44 patients examined, the chair was decorated, 1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="000936E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— 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2 times a day.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In 5 (11.4%) patients there was a mushy stool,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1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="000936E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—</w:t>
      </w:r>
      <w:proofErr w:type="gramEnd"/>
      <w:r w:rsidR="000936E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2, less often up to 3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="000936E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— 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4 times a day.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Against the background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of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e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ma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enzyme stool in these patients was normalized and did not exceed 1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="000936E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— 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2 times a day.</w:t>
      </w:r>
    </w:p>
    <w:p w:rsidR="00071ED1" w:rsidRPr="00071ED1" w:rsidRDefault="00071ED1" w:rsidP="00071ED1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 xml:space="preserve">Characteristic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for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coprograms</w:t>
      </w:r>
      <w:proofErr w:type="spellEnd"/>
      <w:proofErr w:type="gramEnd"/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This period is the relative decrease in defecation of plant fiber and muscle fibers, which indicates the normalization of pancreatic digestion (Table 4).</w:t>
      </w:r>
    </w:p>
    <w:p w:rsidR="00071ED1" w:rsidRPr="00071ED1" w:rsidRDefault="00071ED1" w:rsidP="00071ED1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Gastrointestinal index in these terms was 119.9 ± 3.2 points.</w:t>
      </w:r>
    </w:p>
    <w:p w:rsidR="00071ED1" w:rsidRPr="00071ED1" w:rsidRDefault="005220D8" w:rsidP="00071ED1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071ED1" w:rsidRPr="00071ED1" w:rsidRDefault="00071ED1" w:rsidP="00071ED1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Table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4</w:t>
      </w:r>
    </w:p>
    <w:p w:rsidR="00071ED1" w:rsidRPr="00071ED1" w:rsidRDefault="00071ED1" w:rsidP="00071ED1">
      <w:pPr>
        <w:shd w:val="clear" w:color="auto" w:fill="FFFFFF"/>
        <w:spacing w:after="0" w:line="38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Coprogramme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patients</w:t>
      </w:r>
      <w:proofErr w:type="gramEnd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1 year after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reduodenization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270"/>
        <w:gridCol w:w="682"/>
        <w:gridCol w:w="853"/>
        <w:gridCol w:w="853"/>
        <w:gridCol w:w="853"/>
      </w:tblGrid>
      <w:tr w:rsidR="00071ED1" w:rsidRPr="00071ED1" w:rsidTr="00071ED1">
        <w:trPr>
          <w:trHeight w:val="274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5220D8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- / +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+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++</w:t>
            </w:r>
          </w:p>
        </w:tc>
      </w:tr>
      <w:tr w:rsidR="00071ED1" w:rsidRPr="00071ED1" w:rsidTr="00071ED1">
        <w:trPr>
          <w:trHeight w:val="274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Vegetable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fiber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indigestible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071ED1" w:rsidRPr="00071ED1" w:rsidTr="00071ED1">
        <w:trPr>
          <w:trHeight w:val="263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Vegetable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fiber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is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digestible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071ED1" w:rsidRPr="00071ED1" w:rsidTr="00071ED1">
        <w:trPr>
          <w:trHeight w:val="274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Muscle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fibers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without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striations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071ED1" w:rsidRPr="00071ED1" w:rsidTr="00071ED1">
        <w:trPr>
          <w:trHeight w:val="274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Muscle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fibers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with</w:t>
            </w:r>
            <w:proofErr w:type="spellEnd"/>
            <w:r w:rsidR="0052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striated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071ED1" w:rsidRPr="00071ED1" w:rsidTr="00071ED1">
        <w:trPr>
          <w:trHeight w:val="274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Fat</w:t>
            </w:r>
            <w:proofErr w:type="spellEnd"/>
            <w:r w:rsidRPr="00071ED1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neutral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  <w:tr w:rsidR="00071ED1" w:rsidRPr="00071ED1" w:rsidTr="00071ED1">
        <w:trPr>
          <w:trHeight w:val="286"/>
        </w:trPr>
        <w:tc>
          <w:tcPr>
            <w:tcW w:w="6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1ED1">
              <w:rPr>
                <w:rFonts w:ascii="Times New Roman" w:eastAsia="Times New Roman" w:hAnsi="Times New Roman" w:cs="Times New Roman"/>
                <w:sz w:val="28"/>
              </w:rPr>
              <w:t>Starch</w:t>
            </w:r>
            <w:proofErr w:type="spellEnd"/>
          </w:p>
        </w:tc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ED1" w:rsidRPr="00071ED1" w:rsidRDefault="00071ED1" w:rsidP="00071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ED1"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</w:tc>
      </w:tr>
    </w:tbl>
    <w:p w:rsidR="00071ED1" w:rsidRPr="00071ED1" w:rsidRDefault="005220D8" w:rsidP="00071ED1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71ED1" w:rsidRPr="00071ED1" w:rsidRDefault="00071ED1" w:rsidP="00071ED1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071ED1">
        <w:rPr>
          <w:rFonts w:ascii="Times New Roman" w:eastAsia="Times New Roman" w:hAnsi="Times New Roman" w:cs="Times New Roman"/>
          <w:b/>
          <w:bCs/>
          <w:color w:val="000000"/>
          <w:sz w:val="28"/>
        </w:rPr>
        <w:t>Conclusion</w:t>
      </w:r>
      <w:proofErr w:type="spellEnd"/>
    </w:p>
    <w:p w:rsidR="00071ED1" w:rsidRPr="00071ED1" w:rsidRDefault="00071ED1" w:rsidP="00071ED1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Thus, the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operation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reduodenization</w:t>
      </w:r>
      <w:proofErr w:type="spellEnd"/>
      <w:proofErr w:type="gramEnd"/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with the formation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areflyuk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meat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gastroduodenoanastomoza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,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providing for the restoration of a natural passage of food through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="000936E8">
        <w:rPr>
          <w:rFonts w:ascii="Times New Roman" w:eastAsia="Times New Roman" w:hAnsi="Times New Roman" w:cs="Times New Roman"/>
          <w:color w:val="000000"/>
          <w:sz w:val="28"/>
          <w:lang w:val="en-US"/>
        </w:rPr>
        <w:t>duodenum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,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contributes to the recovery of indicators from the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possession of carbohydrates of blood, the face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seeing the basis of a number of post-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gastrectomy</w:t>
      </w:r>
      <w:proofErr w:type="spellEnd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disorders, including chronic pancreatitis.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Five years after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surgery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reduodenization</w:t>
      </w:r>
      <w:proofErr w:type="spellEnd"/>
      <w:proofErr w:type="gramEnd"/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the level of quality of life remains stable in the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high and practically does not differ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from the indices reached by the end of the first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year after the operation.</w:t>
      </w:r>
      <w:r w:rsidR="005220D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SRO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ki</w:t>
      </w:r>
      <w:proofErr w:type="spellEnd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more than 5 years in 6 (25%)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of chronic signs n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proofErr w:type="gram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a</w:t>
      </w:r>
      <w:proofErr w:type="gramEnd"/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n-preserving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were</w:t>
      </w:r>
      <w:r w:rsidR="005220D8">
        <w:rPr>
          <w:rFonts w:ascii="Times New Roman" w:eastAsia="Times New Roman" w:hAnsi="Times New Roman" w:cs="Times New Roman"/>
          <w:color w:val="000000"/>
          <w:sz w:val="27"/>
          <w:lang w:val="en-US"/>
        </w:rPr>
        <w:t xml:space="preserve"> </w:t>
      </w:r>
      <w:proofErr w:type="spellStart"/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kreatita</w:t>
      </w:r>
      <w:proofErr w:type="spellEnd"/>
      <w:r w:rsidR="005220D8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071ED1">
        <w:rPr>
          <w:rFonts w:ascii="Times New Roman" w:eastAsia="Times New Roman" w:hAnsi="Times New Roman" w:cs="Times New Roman"/>
          <w:color w:val="000000"/>
          <w:sz w:val="28"/>
          <w:lang w:val="en-US"/>
        </w:rPr>
        <w:t>patients.</w:t>
      </w:r>
    </w:p>
    <w:p w:rsidR="00315B00" w:rsidRPr="00315B00" w:rsidRDefault="005220D8" w:rsidP="005220D8">
      <w:pPr>
        <w:spacing w:line="229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lang w:val="en-US"/>
        </w:rPr>
        <w:t xml:space="preserve"> </w:t>
      </w:r>
      <w:r w:rsidR="00315B00" w:rsidRPr="005220D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References</w:t>
      </w:r>
      <w:r w:rsidR="00315B00" w:rsidRPr="00315B00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5220D8" w:rsidRPr="00B50665" w:rsidRDefault="005220D8" w:rsidP="005220D8">
      <w:pPr>
        <w:numPr>
          <w:ilvl w:val="0"/>
          <w:numId w:val="1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Ref499842418"/>
      <w:proofErr w:type="spellStart"/>
      <w:r w:rsidRPr="00B50665">
        <w:rPr>
          <w:rFonts w:ascii="Times New Roman" w:hAnsi="Times New Roman"/>
          <w:iCs/>
          <w:sz w:val="28"/>
          <w:szCs w:val="28"/>
        </w:rPr>
        <w:t>Аскерханов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 xml:space="preserve"> Г. Р. </w:t>
      </w:r>
      <w:r w:rsidRPr="00B50665">
        <w:rPr>
          <w:rFonts w:ascii="Times New Roman" w:hAnsi="Times New Roman"/>
          <w:sz w:val="28"/>
          <w:szCs w:val="28"/>
        </w:rPr>
        <w:t xml:space="preserve">Болезни оперированного желудка / </w:t>
      </w:r>
      <w:r w:rsidRPr="00B50665">
        <w:rPr>
          <w:rFonts w:ascii="Times New Roman" w:hAnsi="Times New Roman"/>
          <w:iCs/>
          <w:sz w:val="28"/>
          <w:szCs w:val="28"/>
        </w:rPr>
        <w:t xml:space="preserve">Г. Р. </w:t>
      </w:r>
      <w:proofErr w:type="spellStart"/>
      <w:r w:rsidRPr="00B50665">
        <w:rPr>
          <w:rFonts w:ascii="Times New Roman" w:hAnsi="Times New Roman"/>
          <w:iCs/>
          <w:sz w:val="28"/>
          <w:szCs w:val="28"/>
        </w:rPr>
        <w:t>Аскерханов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 xml:space="preserve">, У. З. </w:t>
      </w:r>
      <w:proofErr w:type="spellStart"/>
      <w:r w:rsidRPr="00B50665">
        <w:rPr>
          <w:rFonts w:ascii="Times New Roman" w:hAnsi="Times New Roman"/>
          <w:iCs/>
          <w:sz w:val="28"/>
          <w:szCs w:val="28"/>
        </w:rPr>
        <w:t>Загиров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>, А. С. Гаджиев</w:t>
      </w:r>
      <w:r w:rsidRPr="00B50665">
        <w:rPr>
          <w:rFonts w:ascii="Times New Roman" w:hAnsi="Times New Roman"/>
          <w:sz w:val="28"/>
          <w:szCs w:val="28"/>
        </w:rPr>
        <w:t>. — М.</w:t>
      </w:r>
      <w:proofErr w:type="gramStart"/>
      <w:r w:rsidRPr="00B506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506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665">
        <w:rPr>
          <w:rFonts w:ascii="Times New Roman" w:hAnsi="Times New Roman"/>
          <w:sz w:val="28"/>
          <w:szCs w:val="28"/>
        </w:rPr>
        <w:t>Медпрактика</w:t>
      </w:r>
      <w:proofErr w:type="spellEnd"/>
      <w:r w:rsidRPr="00B50665">
        <w:rPr>
          <w:rFonts w:ascii="Times New Roman" w:hAnsi="Times New Roman"/>
          <w:sz w:val="28"/>
          <w:szCs w:val="28"/>
        </w:rPr>
        <w:t>, 1999. — 152 с.</w:t>
      </w:r>
      <w:bookmarkEnd w:id="0"/>
    </w:p>
    <w:p w:rsidR="005220D8" w:rsidRPr="00B50665" w:rsidRDefault="005220D8" w:rsidP="005220D8">
      <w:pPr>
        <w:numPr>
          <w:ilvl w:val="0"/>
          <w:numId w:val="1"/>
        </w:numPr>
        <w:tabs>
          <w:tab w:val="left" w:pos="540"/>
          <w:tab w:val="left" w:pos="75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Ref499842449"/>
      <w:proofErr w:type="spellStart"/>
      <w:r w:rsidRPr="00B50665">
        <w:rPr>
          <w:rFonts w:ascii="Times New Roman" w:hAnsi="Times New Roman"/>
          <w:iCs/>
          <w:sz w:val="28"/>
          <w:szCs w:val="28"/>
        </w:rPr>
        <w:t>Вусик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 xml:space="preserve"> А. Н. </w:t>
      </w:r>
      <w:r w:rsidRPr="00B50665">
        <w:rPr>
          <w:rFonts w:ascii="Times New Roman" w:hAnsi="Times New Roman"/>
          <w:sz w:val="28"/>
          <w:szCs w:val="28"/>
        </w:rPr>
        <w:t xml:space="preserve">Восстановительное лечение больных после резекции желудка по поводу язвенной болезни : </w:t>
      </w:r>
      <w:proofErr w:type="spellStart"/>
      <w:r w:rsidRPr="00B50665">
        <w:rPr>
          <w:rFonts w:ascii="Times New Roman" w:hAnsi="Times New Roman"/>
          <w:sz w:val="28"/>
          <w:szCs w:val="28"/>
        </w:rPr>
        <w:t>автореф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50665">
        <w:rPr>
          <w:rFonts w:ascii="Times New Roman" w:hAnsi="Times New Roman"/>
          <w:sz w:val="28"/>
          <w:szCs w:val="28"/>
        </w:rPr>
        <w:t>дис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. … </w:t>
      </w:r>
      <w:proofErr w:type="spellStart"/>
      <w:proofErr w:type="gramStart"/>
      <w:r w:rsidRPr="00B50665">
        <w:rPr>
          <w:rFonts w:ascii="Times New Roman" w:hAnsi="Times New Roman"/>
          <w:sz w:val="28"/>
          <w:szCs w:val="28"/>
        </w:rPr>
        <w:t>канд</w:t>
      </w:r>
      <w:proofErr w:type="spellEnd"/>
      <w:proofErr w:type="gramEnd"/>
      <w:r w:rsidRPr="00B50665">
        <w:rPr>
          <w:rFonts w:ascii="Times New Roman" w:hAnsi="Times New Roman"/>
          <w:sz w:val="28"/>
          <w:szCs w:val="28"/>
        </w:rPr>
        <w:t xml:space="preserve"> мед. наук /</w:t>
      </w:r>
      <w:r w:rsidRPr="00B50665">
        <w:rPr>
          <w:rFonts w:ascii="Times New Roman" w:hAnsi="Times New Roman"/>
          <w:iCs/>
          <w:sz w:val="28"/>
          <w:szCs w:val="28"/>
        </w:rPr>
        <w:t xml:space="preserve"> А. Н. </w:t>
      </w:r>
      <w:proofErr w:type="spellStart"/>
      <w:r w:rsidRPr="00B50665">
        <w:rPr>
          <w:rFonts w:ascii="Times New Roman" w:hAnsi="Times New Roman"/>
          <w:iCs/>
          <w:sz w:val="28"/>
          <w:szCs w:val="28"/>
        </w:rPr>
        <w:t>Вусик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. — Томск, 1986. — 14 </w:t>
      </w:r>
      <w:proofErr w:type="gramStart"/>
      <w:r w:rsidRPr="00B50665">
        <w:rPr>
          <w:rFonts w:ascii="Times New Roman" w:hAnsi="Times New Roman"/>
          <w:sz w:val="28"/>
          <w:szCs w:val="28"/>
        </w:rPr>
        <w:t>с</w:t>
      </w:r>
      <w:proofErr w:type="gramEnd"/>
      <w:r w:rsidRPr="00B50665">
        <w:rPr>
          <w:rFonts w:ascii="Times New Roman" w:hAnsi="Times New Roman"/>
          <w:sz w:val="28"/>
          <w:szCs w:val="28"/>
        </w:rPr>
        <w:t>.</w:t>
      </w:r>
      <w:bookmarkEnd w:id="1"/>
    </w:p>
    <w:p w:rsidR="005220D8" w:rsidRPr="00B50665" w:rsidRDefault="005220D8" w:rsidP="005220D8">
      <w:pPr>
        <w:numPr>
          <w:ilvl w:val="0"/>
          <w:numId w:val="1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Ref499842394"/>
      <w:r w:rsidRPr="00B50665">
        <w:rPr>
          <w:rFonts w:ascii="Times New Roman" w:hAnsi="Times New Roman"/>
          <w:sz w:val="28"/>
          <w:szCs w:val="28"/>
        </w:rPr>
        <w:t xml:space="preserve">Гастроэнтерология и </w:t>
      </w:r>
      <w:proofErr w:type="spellStart"/>
      <w:r w:rsidRPr="00B50665">
        <w:rPr>
          <w:rFonts w:ascii="Times New Roman" w:hAnsi="Times New Roman"/>
          <w:sz w:val="28"/>
          <w:szCs w:val="28"/>
        </w:rPr>
        <w:t>гепатология</w:t>
      </w:r>
      <w:proofErr w:type="spellEnd"/>
      <w:r w:rsidRPr="00B50665">
        <w:rPr>
          <w:rFonts w:ascii="Times New Roman" w:hAnsi="Times New Roman"/>
          <w:sz w:val="28"/>
          <w:szCs w:val="28"/>
        </w:rPr>
        <w:t>, диагностика и лечение</w:t>
      </w:r>
      <w:proofErr w:type="gramStart"/>
      <w:r w:rsidRPr="00B50665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B50665">
        <w:rPr>
          <w:rFonts w:ascii="Times New Roman" w:hAnsi="Times New Roman"/>
          <w:sz w:val="28"/>
          <w:szCs w:val="28"/>
        </w:rPr>
        <w:t>од ред. А. В. Калинина, А. И. Хазанова. — М., 2007. — С. 325–335.</w:t>
      </w:r>
      <w:bookmarkEnd w:id="2"/>
    </w:p>
    <w:p w:rsidR="005220D8" w:rsidRPr="00B50665" w:rsidRDefault="005220D8" w:rsidP="005220D8">
      <w:pPr>
        <w:numPr>
          <w:ilvl w:val="0"/>
          <w:numId w:val="1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3" w:name="_Ref499842410"/>
      <w:r w:rsidRPr="00B50665">
        <w:rPr>
          <w:rFonts w:ascii="Times New Roman" w:hAnsi="Times New Roman"/>
          <w:iCs/>
          <w:sz w:val="28"/>
          <w:szCs w:val="28"/>
        </w:rPr>
        <w:t xml:space="preserve">Голдин В. А. </w:t>
      </w:r>
      <w:r w:rsidRPr="00B50665">
        <w:rPr>
          <w:rFonts w:ascii="Times New Roman" w:hAnsi="Times New Roman"/>
          <w:sz w:val="28"/>
          <w:szCs w:val="28"/>
        </w:rPr>
        <w:t>Первичная и реконструктивная резекция желудка</w:t>
      </w:r>
      <w:proofErr w:type="gramStart"/>
      <w:r w:rsidRPr="00B506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50665">
        <w:rPr>
          <w:rFonts w:ascii="Times New Roman" w:hAnsi="Times New Roman"/>
          <w:sz w:val="28"/>
          <w:szCs w:val="28"/>
        </w:rPr>
        <w:t xml:space="preserve"> монография / В. А. </w:t>
      </w:r>
      <w:r w:rsidRPr="00B50665">
        <w:rPr>
          <w:rFonts w:ascii="Times New Roman" w:hAnsi="Times New Roman"/>
          <w:iCs/>
          <w:sz w:val="28"/>
          <w:szCs w:val="28"/>
        </w:rPr>
        <w:t>Голдин</w:t>
      </w:r>
      <w:r w:rsidRPr="00B50665">
        <w:rPr>
          <w:rFonts w:ascii="Times New Roman" w:hAnsi="Times New Roman"/>
          <w:sz w:val="28"/>
          <w:szCs w:val="28"/>
        </w:rPr>
        <w:t>. — М.</w:t>
      </w:r>
      <w:proofErr w:type="gramStart"/>
      <w:r w:rsidRPr="00B506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50665">
        <w:rPr>
          <w:rFonts w:ascii="Times New Roman" w:hAnsi="Times New Roman"/>
          <w:sz w:val="28"/>
          <w:szCs w:val="28"/>
        </w:rPr>
        <w:t xml:space="preserve"> Изд-во УДН, 1990. — 172 с.</w:t>
      </w:r>
      <w:bookmarkEnd w:id="3"/>
    </w:p>
    <w:p w:rsidR="005220D8" w:rsidRPr="00B50665" w:rsidRDefault="005220D8" w:rsidP="005220D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4" w:name="_Ref499842549"/>
      <w:proofErr w:type="spellStart"/>
      <w:r w:rsidRPr="00B50665">
        <w:rPr>
          <w:rFonts w:ascii="Times New Roman" w:hAnsi="Times New Roman"/>
          <w:sz w:val="28"/>
          <w:szCs w:val="28"/>
        </w:rPr>
        <w:lastRenderedPageBreak/>
        <w:t>Жерлов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 Г. К. Основы функциональной хирургической гастроэнтерологии</w:t>
      </w:r>
      <w:proofErr w:type="gramStart"/>
      <w:r w:rsidRPr="00B506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50665">
        <w:rPr>
          <w:rFonts w:ascii="Times New Roman" w:hAnsi="Times New Roman"/>
          <w:sz w:val="28"/>
          <w:szCs w:val="28"/>
        </w:rPr>
        <w:t xml:space="preserve"> практическое руководство для врачей / Г. К. </w:t>
      </w:r>
      <w:proofErr w:type="spellStart"/>
      <w:r w:rsidRPr="00B50665">
        <w:rPr>
          <w:rFonts w:ascii="Times New Roman" w:hAnsi="Times New Roman"/>
          <w:sz w:val="28"/>
          <w:szCs w:val="28"/>
        </w:rPr>
        <w:t>Жерлов</w:t>
      </w:r>
      <w:proofErr w:type="spellEnd"/>
      <w:r w:rsidRPr="00B50665">
        <w:rPr>
          <w:rFonts w:ascii="Times New Roman" w:hAnsi="Times New Roman"/>
          <w:sz w:val="28"/>
          <w:szCs w:val="28"/>
        </w:rPr>
        <w:t>. — Томск</w:t>
      </w:r>
      <w:proofErr w:type="gramStart"/>
      <w:r w:rsidRPr="00B506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B50665">
        <w:rPr>
          <w:rFonts w:ascii="Times New Roman" w:hAnsi="Times New Roman"/>
          <w:sz w:val="28"/>
          <w:szCs w:val="28"/>
        </w:rPr>
        <w:t xml:space="preserve"> Изд-во Том</w:t>
      </w:r>
      <w:proofErr w:type="gramStart"/>
      <w:r w:rsidRPr="00B50665">
        <w:rPr>
          <w:rFonts w:ascii="Times New Roman" w:hAnsi="Times New Roman"/>
          <w:sz w:val="28"/>
          <w:szCs w:val="28"/>
        </w:rPr>
        <w:t>.</w:t>
      </w:r>
      <w:proofErr w:type="gramEnd"/>
      <w:r w:rsidRPr="00B506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0665">
        <w:rPr>
          <w:rFonts w:ascii="Times New Roman" w:hAnsi="Times New Roman"/>
          <w:sz w:val="28"/>
          <w:szCs w:val="28"/>
        </w:rPr>
        <w:t>у</w:t>
      </w:r>
      <w:proofErr w:type="gramEnd"/>
      <w:r w:rsidRPr="00B50665">
        <w:rPr>
          <w:rFonts w:ascii="Times New Roman" w:hAnsi="Times New Roman"/>
          <w:sz w:val="28"/>
          <w:szCs w:val="28"/>
        </w:rPr>
        <w:t>н-та, 2009. — 274 с.</w:t>
      </w:r>
      <w:bookmarkEnd w:id="4"/>
    </w:p>
    <w:p w:rsidR="005220D8" w:rsidRPr="00B50665" w:rsidRDefault="005220D8" w:rsidP="005220D8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5" w:name="_Ref499842425"/>
      <w:proofErr w:type="spellStart"/>
      <w:r w:rsidRPr="00B50665">
        <w:rPr>
          <w:rFonts w:ascii="Times New Roman" w:hAnsi="Times New Roman"/>
          <w:iCs/>
          <w:sz w:val="28"/>
          <w:szCs w:val="28"/>
        </w:rPr>
        <w:t>Жерлов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 xml:space="preserve"> Г. К. </w:t>
      </w:r>
      <w:r w:rsidRPr="00B50665">
        <w:rPr>
          <w:rFonts w:ascii="Times New Roman" w:hAnsi="Times New Roman"/>
          <w:sz w:val="28"/>
          <w:szCs w:val="28"/>
        </w:rPr>
        <w:t xml:space="preserve">Способ лечения болезни оперированного желудка / </w:t>
      </w:r>
      <w:r w:rsidRPr="00B50665">
        <w:rPr>
          <w:rFonts w:ascii="Times New Roman" w:hAnsi="Times New Roman"/>
          <w:iCs/>
          <w:sz w:val="28"/>
          <w:szCs w:val="28"/>
        </w:rPr>
        <w:t xml:space="preserve">Г. К. </w:t>
      </w:r>
      <w:proofErr w:type="spellStart"/>
      <w:r w:rsidRPr="00B50665">
        <w:rPr>
          <w:rFonts w:ascii="Times New Roman" w:hAnsi="Times New Roman"/>
          <w:iCs/>
          <w:sz w:val="28"/>
          <w:szCs w:val="28"/>
        </w:rPr>
        <w:t>Жерлов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 xml:space="preserve">, Н. Э. </w:t>
      </w:r>
      <w:proofErr w:type="spellStart"/>
      <w:r w:rsidRPr="00B50665">
        <w:rPr>
          <w:rFonts w:ascii="Times New Roman" w:hAnsi="Times New Roman"/>
          <w:iCs/>
          <w:sz w:val="28"/>
          <w:szCs w:val="28"/>
        </w:rPr>
        <w:t>Куртсеитов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 xml:space="preserve">, В. С. </w:t>
      </w:r>
      <w:proofErr w:type="spellStart"/>
      <w:r w:rsidRPr="00B50665">
        <w:rPr>
          <w:rFonts w:ascii="Times New Roman" w:hAnsi="Times New Roman"/>
          <w:iCs/>
          <w:sz w:val="28"/>
          <w:szCs w:val="28"/>
        </w:rPr>
        <w:t>Агаджанов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. Патент РФ №2173094, 2003. </w:t>
      </w:r>
      <w:proofErr w:type="spellStart"/>
      <w:r w:rsidRPr="00B50665">
        <w:rPr>
          <w:rFonts w:ascii="Times New Roman" w:hAnsi="Times New Roman"/>
          <w:sz w:val="28"/>
          <w:szCs w:val="28"/>
        </w:rPr>
        <w:t>бюл</w:t>
      </w:r>
      <w:proofErr w:type="spellEnd"/>
      <w:r w:rsidRPr="00B50665">
        <w:rPr>
          <w:rFonts w:ascii="Times New Roman" w:hAnsi="Times New Roman"/>
          <w:sz w:val="28"/>
          <w:szCs w:val="28"/>
        </w:rPr>
        <w:t>. № 32. — С. 18–21.</w:t>
      </w:r>
      <w:bookmarkEnd w:id="5"/>
      <w:r w:rsidRPr="00B50665">
        <w:rPr>
          <w:rFonts w:ascii="Times New Roman" w:hAnsi="Times New Roman"/>
          <w:sz w:val="28"/>
          <w:szCs w:val="28"/>
        </w:rPr>
        <w:t xml:space="preserve"> </w:t>
      </w:r>
    </w:p>
    <w:p w:rsidR="005220D8" w:rsidRPr="00B50665" w:rsidRDefault="005220D8" w:rsidP="005220D8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50665">
        <w:rPr>
          <w:rFonts w:ascii="Times New Roman" w:hAnsi="Times New Roman"/>
          <w:iCs/>
          <w:sz w:val="28"/>
          <w:szCs w:val="28"/>
        </w:rPr>
        <w:t>Зурнаджьянц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 xml:space="preserve"> В. А. </w:t>
      </w:r>
      <w:r w:rsidRPr="00B50665">
        <w:rPr>
          <w:rFonts w:ascii="Times New Roman" w:hAnsi="Times New Roman"/>
          <w:sz w:val="28"/>
          <w:szCs w:val="28"/>
        </w:rPr>
        <w:t xml:space="preserve">Некоторые изменения углеводного обмена у больных с </w:t>
      </w:r>
      <w:proofErr w:type="spellStart"/>
      <w:proofErr w:type="gramStart"/>
      <w:r w:rsidRPr="00B50665">
        <w:rPr>
          <w:rFonts w:ascii="Times New Roman" w:hAnsi="Times New Roman"/>
          <w:sz w:val="28"/>
          <w:szCs w:val="28"/>
        </w:rPr>
        <w:t>демпинг-синдромом</w:t>
      </w:r>
      <w:proofErr w:type="spellEnd"/>
      <w:proofErr w:type="gramEnd"/>
      <w:r w:rsidRPr="00B50665">
        <w:rPr>
          <w:rFonts w:ascii="Times New Roman" w:hAnsi="Times New Roman"/>
          <w:sz w:val="28"/>
          <w:szCs w:val="28"/>
        </w:rPr>
        <w:t xml:space="preserve"> и у лиц, предрасположенных к нему / </w:t>
      </w:r>
      <w:r w:rsidRPr="00B50665">
        <w:rPr>
          <w:rFonts w:ascii="Times New Roman" w:hAnsi="Times New Roman"/>
          <w:iCs/>
          <w:sz w:val="28"/>
          <w:szCs w:val="28"/>
        </w:rPr>
        <w:t xml:space="preserve">В. А. </w:t>
      </w:r>
      <w:proofErr w:type="spellStart"/>
      <w:r w:rsidRPr="00B50665">
        <w:rPr>
          <w:rFonts w:ascii="Times New Roman" w:hAnsi="Times New Roman"/>
          <w:iCs/>
          <w:sz w:val="28"/>
          <w:szCs w:val="28"/>
        </w:rPr>
        <w:t>Зурнаджьянц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 xml:space="preserve">, В. В. </w:t>
      </w:r>
      <w:proofErr w:type="spellStart"/>
      <w:r w:rsidRPr="00B50665">
        <w:rPr>
          <w:rFonts w:ascii="Times New Roman" w:hAnsi="Times New Roman"/>
          <w:iCs/>
          <w:sz w:val="28"/>
          <w:szCs w:val="28"/>
        </w:rPr>
        <w:t>Антонян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 xml:space="preserve">, С. В. </w:t>
      </w:r>
      <w:proofErr w:type="spellStart"/>
      <w:r w:rsidRPr="00B50665">
        <w:rPr>
          <w:rFonts w:ascii="Times New Roman" w:hAnsi="Times New Roman"/>
          <w:iCs/>
          <w:sz w:val="28"/>
          <w:szCs w:val="28"/>
        </w:rPr>
        <w:t>Антонян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 xml:space="preserve"> </w:t>
      </w:r>
      <w:r w:rsidRPr="00B50665">
        <w:rPr>
          <w:rFonts w:ascii="Times New Roman" w:hAnsi="Times New Roman"/>
          <w:sz w:val="28"/>
          <w:szCs w:val="28"/>
        </w:rPr>
        <w:t xml:space="preserve">// Вестник </w:t>
      </w:r>
      <w:proofErr w:type="spellStart"/>
      <w:r w:rsidRPr="00B50665">
        <w:rPr>
          <w:rFonts w:ascii="Times New Roman" w:hAnsi="Times New Roman"/>
          <w:sz w:val="28"/>
          <w:szCs w:val="28"/>
        </w:rPr>
        <w:t>ВолГМУ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. — 2006. — Т. 2 (14). — С. 77–79. </w:t>
      </w:r>
    </w:p>
    <w:p w:rsidR="005220D8" w:rsidRPr="00B50665" w:rsidRDefault="005220D8" w:rsidP="005220D8">
      <w:pPr>
        <w:numPr>
          <w:ilvl w:val="0"/>
          <w:numId w:val="1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6" w:name="_Ref499842414"/>
      <w:r w:rsidRPr="00B50665">
        <w:rPr>
          <w:rFonts w:ascii="Times New Roman" w:hAnsi="Times New Roman"/>
          <w:sz w:val="28"/>
          <w:szCs w:val="28"/>
        </w:rPr>
        <w:t xml:space="preserve">Новый взгляд на патогенез </w:t>
      </w:r>
      <w:proofErr w:type="spellStart"/>
      <w:proofErr w:type="gramStart"/>
      <w:r w:rsidRPr="00B50665">
        <w:rPr>
          <w:rFonts w:ascii="Times New Roman" w:hAnsi="Times New Roman"/>
          <w:sz w:val="28"/>
          <w:szCs w:val="28"/>
        </w:rPr>
        <w:t>демпинг-синдрома</w:t>
      </w:r>
      <w:proofErr w:type="spellEnd"/>
      <w:proofErr w:type="gramEnd"/>
      <w:r w:rsidRPr="00B50665">
        <w:rPr>
          <w:rFonts w:ascii="Times New Roman" w:hAnsi="Times New Roman"/>
          <w:sz w:val="28"/>
          <w:szCs w:val="28"/>
        </w:rPr>
        <w:t xml:space="preserve"> / </w:t>
      </w:r>
      <w:r w:rsidRPr="00B50665">
        <w:rPr>
          <w:rFonts w:ascii="Times New Roman" w:hAnsi="Times New Roman"/>
          <w:iCs/>
          <w:sz w:val="28"/>
          <w:szCs w:val="28"/>
        </w:rPr>
        <w:t xml:space="preserve">В. П. Акимов, Л. Г. </w:t>
      </w:r>
      <w:proofErr w:type="spellStart"/>
      <w:r w:rsidRPr="00B50665">
        <w:rPr>
          <w:rFonts w:ascii="Times New Roman" w:hAnsi="Times New Roman"/>
          <w:iCs/>
          <w:sz w:val="28"/>
          <w:szCs w:val="28"/>
        </w:rPr>
        <w:t>Дваладзе</w:t>
      </w:r>
      <w:proofErr w:type="spellEnd"/>
      <w:r w:rsidRPr="00B50665">
        <w:rPr>
          <w:rFonts w:ascii="Times New Roman" w:hAnsi="Times New Roman"/>
          <w:iCs/>
          <w:sz w:val="28"/>
          <w:szCs w:val="28"/>
        </w:rPr>
        <w:t xml:space="preserve">, А. В. Шубин [и др.] </w:t>
      </w:r>
      <w:r w:rsidRPr="00B50665">
        <w:rPr>
          <w:rFonts w:ascii="Times New Roman" w:hAnsi="Times New Roman"/>
          <w:sz w:val="28"/>
          <w:szCs w:val="28"/>
        </w:rPr>
        <w:t>// Вестник хирургии. — 2008. — Т. 167 (6). — С. 22–25.</w:t>
      </w:r>
      <w:bookmarkEnd w:id="6"/>
    </w:p>
    <w:p w:rsidR="005220D8" w:rsidRPr="00B50665" w:rsidRDefault="005220D8" w:rsidP="005220D8">
      <w:pPr>
        <w:numPr>
          <w:ilvl w:val="0"/>
          <w:numId w:val="1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7" w:name="_Ref499842403"/>
      <w:r w:rsidRPr="00B50665">
        <w:rPr>
          <w:rFonts w:ascii="Times New Roman" w:hAnsi="Times New Roman"/>
          <w:sz w:val="28"/>
          <w:szCs w:val="28"/>
        </w:rPr>
        <w:t xml:space="preserve">Пахомова И. Г. Вторичная экзокринная недостаточность поджелудочной железы / И. Г. Пахомова. — </w:t>
      </w:r>
      <w:proofErr w:type="spellStart"/>
      <w:r w:rsidRPr="00B50665">
        <w:rPr>
          <w:rFonts w:ascii="Times New Roman" w:hAnsi="Times New Roman"/>
          <w:sz w:val="28"/>
          <w:szCs w:val="28"/>
          <w:lang w:val="en-US"/>
        </w:rPr>
        <w:t>Consilium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665">
        <w:rPr>
          <w:rFonts w:ascii="Times New Roman" w:hAnsi="Times New Roman"/>
          <w:sz w:val="28"/>
          <w:szCs w:val="28"/>
          <w:lang w:val="en-US"/>
        </w:rPr>
        <w:t>Medicum</w:t>
      </w:r>
      <w:proofErr w:type="spellEnd"/>
      <w:r w:rsidRPr="00B50665">
        <w:rPr>
          <w:rFonts w:ascii="Times New Roman" w:hAnsi="Times New Roman"/>
          <w:sz w:val="28"/>
          <w:szCs w:val="28"/>
        </w:rPr>
        <w:t>. Гастроэнтерология. (Прил.) — 2012. — № 1. — С. 51–55.</w:t>
      </w:r>
      <w:bookmarkEnd w:id="7"/>
    </w:p>
    <w:p w:rsidR="005220D8" w:rsidRPr="00B50665" w:rsidRDefault="005220D8" w:rsidP="005220D8">
      <w:pPr>
        <w:numPr>
          <w:ilvl w:val="0"/>
          <w:numId w:val="1"/>
        </w:numPr>
        <w:tabs>
          <w:tab w:val="left" w:pos="8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8" w:name="_Ref499842429"/>
      <w:r w:rsidRPr="00B50665">
        <w:rPr>
          <w:rFonts w:ascii="Times New Roman" w:hAnsi="Times New Roman"/>
          <w:sz w:val="28"/>
          <w:szCs w:val="28"/>
        </w:rPr>
        <w:t xml:space="preserve">Первичная </w:t>
      </w:r>
      <w:proofErr w:type="spellStart"/>
      <w:r w:rsidRPr="00B50665">
        <w:rPr>
          <w:rFonts w:ascii="Times New Roman" w:hAnsi="Times New Roman"/>
          <w:sz w:val="28"/>
          <w:szCs w:val="28"/>
        </w:rPr>
        <w:t>еюногастропластика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B50665">
        <w:rPr>
          <w:rFonts w:ascii="Times New Roman" w:hAnsi="Times New Roman"/>
          <w:sz w:val="28"/>
          <w:szCs w:val="28"/>
        </w:rPr>
        <w:t>концево-петлевым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0665">
        <w:rPr>
          <w:rFonts w:ascii="Times New Roman" w:hAnsi="Times New Roman"/>
          <w:sz w:val="28"/>
          <w:szCs w:val="28"/>
        </w:rPr>
        <w:t>гастроэнтероанастомозом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 и включением двенадцатиперстной кишки при дистальной резекции желудка (хирургическая технология и функциональные результаты) / </w:t>
      </w:r>
      <w:r w:rsidRPr="00B50665">
        <w:rPr>
          <w:rFonts w:ascii="Times New Roman" w:hAnsi="Times New Roman"/>
          <w:iCs/>
          <w:sz w:val="28"/>
          <w:szCs w:val="28"/>
        </w:rPr>
        <w:t xml:space="preserve">И. Б. Уваров, С. Р. Генрих, Д. А. Лютов [и др.] </w:t>
      </w:r>
      <w:r w:rsidRPr="00B50665">
        <w:rPr>
          <w:rFonts w:ascii="Times New Roman" w:hAnsi="Times New Roman"/>
          <w:sz w:val="28"/>
          <w:szCs w:val="28"/>
        </w:rPr>
        <w:t>// Вестник хирургии. — 2008. — Т. 167 (1). — С. 37–42.</w:t>
      </w:r>
      <w:bookmarkEnd w:id="8"/>
      <w:r w:rsidRPr="00B50665">
        <w:rPr>
          <w:rFonts w:ascii="Times New Roman" w:hAnsi="Times New Roman"/>
          <w:sz w:val="28"/>
          <w:szCs w:val="28"/>
        </w:rPr>
        <w:t xml:space="preserve"> </w:t>
      </w:r>
    </w:p>
    <w:p w:rsidR="005220D8" w:rsidRPr="00B50665" w:rsidRDefault="005220D8" w:rsidP="005220D8">
      <w:pPr>
        <w:numPr>
          <w:ilvl w:val="0"/>
          <w:numId w:val="1"/>
        </w:numPr>
        <w:tabs>
          <w:tab w:val="left" w:pos="540"/>
          <w:tab w:val="left" w:pos="8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9" w:name="_Ref499842454"/>
      <w:r w:rsidRPr="00B50665">
        <w:rPr>
          <w:rFonts w:ascii="Times New Roman" w:hAnsi="Times New Roman"/>
          <w:iCs/>
          <w:sz w:val="28"/>
          <w:szCs w:val="28"/>
        </w:rPr>
        <w:t>Плетнева Н. Г.</w:t>
      </w:r>
      <w:r w:rsidRPr="00B50665">
        <w:rPr>
          <w:rFonts w:ascii="Times New Roman" w:hAnsi="Times New Roman"/>
          <w:sz w:val="28"/>
          <w:szCs w:val="28"/>
        </w:rPr>
        <w:t xml:space="preserve"> Диагностические возможности </w:t>
      </w:r>
      <w:proofErr w:type="spellStart"/>
      <w:r w:rsidRPr="00B50665">
        <w:rPr>
          <w:rFonts w:ascii="Times New Roman" w:hAnsi="Times New Roman"/>
          <w:sz w:val="28"/>
          <w:szCs w:val="28"/>
        </w:rPr>
        <w:t>копрограммы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 / </w:t>
      </w:r>
      <w:r w:rsidRPr="00B50665">
        <w:rPr>
          <w:rFonts w:ascii="Times New Roman" w:hAnsi="Times New Roman"/>
          <w:iCs/>
          <w:sz w:val="28"/>
          <w:szCs w:val="28"/>
        </w:rPr>
        <w:t>Н. Г. Плетнева</w:t>
      </w:r>
      <w:r w:rsidRPr="00B50665">
        <w:rPr>
          <w:rFonts w:ascii="Times New Roman" w:hAnsi="Times New Roman"/>
          <w:sz w:val="28"/>
          <w:szCs w:val="28"/>
        </w:rPr>
        <w:t xml:space="preserve">, В. И. </w:t>
      </w:r>
      <w:proofErr w:type="spellStart"/>
      <w:r w:rsidRPr="00B50665">
        <w:rPr>
          <w:rFonts w:ascii="Times New Roman" w:hAnsi="Times New Roman"/>
          <w:sz w:val="28"/>
          <w:szCs w:val="28"/>
        </w:rPr>
        <w:t>Лещенко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 // Рос</w:t>
      </w:r>
      <w:proofErr w:type="gramStart"/>
      <w:r w:rsidRPr="00B50665">
        <w:rPr>
          <w:rFonts w:ascii="Times New Roman" w:hAnsi="Times New Roman"/>
          <w:sz w:val="28"/>
          <w:szCs w:val="28"/>
        </w:rPr>
        <w:t>.</w:t>
      </w:r>
      <w:proofErr w:type="gramEnd"/>
      <w:r w:rsidRPr="00B506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50665">
        <w:rPr>
          <w:rFonts w:ascii="Times New Roman" w:hAnsi="Times New Roman"/>
          <w:sz w:val="28"/>
          <w:szCs w:val="28"/>
        </w:rPr>
        <w:t>ж</w:t>
      </w:r>
      <w:proofErr w:type="gramEnd"/>
      <w:r w:rsidRPr="00B50665">
        <w:rPr>
          <w:rFonts w:ascii="Times New Roman" w:hAnsi="Times New Roman"/>
          <w:sz w:val="28"/>
          <w:szCs w:val="28"/>
        </w:rPr>
        <w:t xml:space="preserve">урн. </w:t>
      </w:r>
      <w:proofErr w:type="spellStart"/>
      <w:r w:rsidRPr="00B50665">
        <w:rPr>
          <w:rFonts w:ascii="Times New Roman" w:hAnsi="Times New Roman"/>
          <w:sz w:val="28"/>
          <w:szCs w:val="28"/>
        </w:rPr>
        <w:t>гастроэнтерол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B50665">
        <w:rPr>
          <w:rFonts w:ascii="Times New Roman" w:hAnsi="Times New Roman"/>
          <w:sz w:val="28"/>
          <w:szCs w:val="28"/>
        </w:rPr>
        <w:t>гепатол</w:t>
      </w:r>
      <w:proofErr w:type="spellEnd"/>
      <w:r w:rsidRPr="00B50665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B50665">
        <w:rPr>
          <w:rFonts w:ascii="Times New Roman" w:hAnsi="Times New Roman"/>
          <w:sz w:val="28"/>
          <w:szCs w:val="28"/>
        </w:rPr>
        <w:t>колопроктол</w:t>
      </w:r>
      <w:proofErr w:type="spellEnd"/>
      <w:r w:rsidRPr="00B50665">
        <w:rPr>
          <w:rFonts w:ascii="Times New Roman" w:hAnsi="Times New Roman"/>
          <w:sz w:val="28"/>
          <w:szCs w:val="28"/>
        </w:rPr>
        <w:t>. — 1998. — № 6. — С. 26–30.</w:t>
      </w:r>
      <w:bookmarkEnd w:id="9"/>
    </w:p>
    <w:p w:rsidR="005220D8" w:rsidRPr="005220D8" w:rsidRDefault="005220D8" w:rsidP="005220D8">
      <w:pPr>
        <w:numPr>
          <w:ilvl w:val="0"/>
          <w:numId w:val="1"/>
        </w:numPr>
        <w:tabs>
          <w:tab w:val="left" w:pos="8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0" w:name="_Ref499842388"/>
      <w:r w:rsidRPr="00B50665">
        <w:rPr>
          <w:rFonts w:ascii="Times New Roman" w:hAnsi="Times New Roman"/>
          <w:sz w:val="28"/>
          <w:szCs w:val="28"/>
          <w:shd w:val="clear" w:color="auto" w:fill="FFFFFF"/>
        </w:rPr>
        <w:t xml:space="preserve">Предоперационная подготовка и послеоперационная реабилитация больных с осложненным хроническим панкреатитом, сочетающимся с нарушениями моторной функции двенадцатиперстной кишки / М. Л. Рогаль, Н. В. </w:t>
      </w:r>
      <w:proofErr w:type="spellStart"/>
      <w:r w:rsidRPr="00B50665">
        <w:rPr>
          <w:rFonts w:ascii="Times New Roman" w:hAnsi="Times New Roman"/>
          <w:sz w:val="28"/>
          <w:szCs w:val="28"/>
          <w:shd w:val="clear" w:color="auto" w:fill="FFFFFF"/>
        </w:rPr>
        <w:t>Корочанская</w:t>
      </w:r>
      <w:proofErr w:type="spellEnd"/>
      <w:r w:rsidRPr="00B50665">
        <w:rPr>
          <w:rFonts w:ascii="Times New Roman" w:hAnsi="Times New Roman"/>
          <w:sz w:val="28"/>
          <w:szCs w:val="28"/>
          <w:shd w:val="clear" w:color="auto" w:fill="FFFFFF"/>
        </w:rPr>
        <w:t xml:space="preserve">, Т. М. Семенихина, Л. М. Кадырова // Справочник поликлинического врача. — 2009. — </w:t>
      </w:r>
      <w:hyperlink r:id="rId6" w:history="1">
        <w:r w:rsidRPr="00B50665">
          <w:rPr>
            <w:rFonts w:ascii="Times New Roman" w:hAnsi="Times New Roman"/>
            <w:sz w:val="28"/>
            <w:szCs w:val="28"/>
            <w:shd w:val="clear" w:color="auto" w:fill="FFFFFF"/>
          </w:rPr>
          <w:t>№ 8</w:t>
        </w:r>
      </w:hyperlink>
      <w:r w:rsidRPr="00B50665">
        <w:rPr>
          <w:rFonts w:ascii="Times New Roman" w:hAnsi="Times New Roman"/>
          <w:sz w:val="28"/>
          <w:szCs w:val="28"/>
          <w:shd w:val="clear" w:color="auto" w:fill="FFFFFF"/>
        </w:rPr>
        <w:t>. — С. 63–66.</w:t>
      </w:r>
      <w:bookmarkEnd w:id="10"/>
      <w:r w:rsidRPr="00B5066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11" w:name="_Ref499842489"/>
    </w:p>
    <w:p w:rsidR="00315B00" w:rsidRPr="005220D8" w:rsidRDefault="005220D8" w:rsidP="005220D8">
      <w:pPr>
        <w:numPr>
          <w:ilvl w:val="0"/>
          <w:numId w:val="1"/>
        </w:numPr>
        <w:tabs>
          <w:tab w:val="left" w:pos="83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20D8">
        <w:rPr>
          <w:rFonts w:ascii="Times New Roman" w:hAnsi="Times New Roman"/>
          <w:sz w:val="28"/>
          <w:szCs w:val="28"/>
        </w:rPr>
        <w:lastRenderedPageBreak/>
        <w:t>Цеханович</w:t>
      </w:r>
      <w:proofErr w:type="spellEnd"/>
      <w:r w:rsidRPr="005220D8">
        <w:rPr>
          <w:rFonts w:ascii="Times New Roman" w:hAnsi="Times New Roman"/>
          <w:sz w:val="28"/>
          <w:szCs w:val="28"/>
        </w:rPr>
        <w:t xml:space="preserve"> Т. И. Профилактика и лечение последствий </w:t>
      </w:r>
      <w:proofErr w:type="spellStart"/>
      <w:r w:rsidRPr="005220D8">
        <w:rPr>
          <w:rFonts w:ascii="Times New Roman" w:hAnsi="Times New Roman"/>
          <w:sz w:val="28"/>
          <w:szCs w:val="28"/>
        </w:rPr>
        <w:t>гастрэктомий</w:t>
      </w:r>
      <w:proofErr w:type="spellEnd"/>
      <w:r w:rsidRPr="005220D8">
        <w:rPr>
          <w:rFonts w:ascii="Times New Roman" w:hAnsi="Times New Roman"/>
          <w:sz w:val="28"/>
          <w:szCs w:val="28"/>
          <w:lang w:eastAsia="zh-CN"/>
        </w:rPr>
        <w:t xml:space="preserve"> / Т. И. </w:t>
      </w:r>
      <w:proofErr w:type="spellStart"/>
      <w:r w:rsidRPr="005220D8">
        <w:rPr>
          <w:rFonts w:ascii="Times New Roman" w:hAnsi="Times New Roman"/>
          <w:sz w:val="28"/>
          <w:szCs w:val="28"/>
        </w:rPr>
        <w:t>Цеханович</w:t>
      </w:r>
      <w:proofErr w:type="spellEnd"/>
      <w:r w:rsidRPr="005220D8">
        <w:rPr>
          <w:rFonts w:ascii="Times New Roman" w:hAnsi="Times New Roman"/>
          <w:sz w:val="28"/>
          <w:szCs w:val="28"/>
        </w:rPr>
        <w:t>. — М., 1976. — 198 с.</w:t>
      </w:r>
      <w:bookmarkEnd w:id="11"/>
    </w:p>
    <w:p w:rsidR="00315B00" w:rsidRPr="00315B00" w:rsidRDefault="00315B00" w:rsidP="005220D8">
      <w:pPr>
        <w:shd w:val="clear" w:color="auto" w:fill="FFFFFF"/>
        <w:spacing w:after="0" w:line="38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5B00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:rsidR="005220D8" w:rsidRPr="00B50665" w:rsidRDefault="005220D8" w:rsidP="005220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50665">
        <w:rPr>
          <w:rFonts w:ascii="Times New Roman" w:hAnsi="Times New Roman"/>
          <w:b/>
          <w:bCs/>
          <w:sz w:val="28"/>
          <w:szCs w:val="28"/>
          <w:lang w:val="en-US"/>
        </w:rPr>
        <w:t>About the influence of the way of restoration of the gastrointestinal continuity on function of the pancreas</w:t>
      </w:r>
    </w:p>
    <w:p w:rsidR="005220D8" w:rsidRPr="00B50665" w:rsidRDefault="005220D8" w:rsidP="005220D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B50665">
        <w:rPr>
          <w:rFonts w:ascii="Times New Roman" w:hAnsi="Times New Roman"/>
          <w:iCs/>
          <w:sz w:val="28"/>
          <w:szCs w:val="28"/>
          <w:lang w:val="en-US"/>
        </w:rPr>
        <w:t>A. P. Koshel</w:t>
      </w: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1</w:t>
      </w:r>
      <w:proofErr w:type="gramStart"/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,2,3</w:t>
      </w:r>
      <w:proofErr w:type="gramEnd"/>
      <w:r w:rsidRPr="00B50665">
        <w:rPr>
          <w:rFonts w:ascii="Times New Roman" w:hAnsi="Times New Roman"/>
          <w:iCs/>
          <w:sz w:val="28"/>
          <w:szCs w:val="28"/>
          <w:lang w:val="en-US"/>
        </w:rPr>
        <w:t>, N. E. Kurtseitov</w:t>
      </w: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3</w:t>
      </w:r>
      <w:r w:rsidRPr="00B50665">
        <w:rPr>
          <w:rFonts w:ascii="Times New Roman" w:hAnsi="Times New Roman"/>
          <w:bCs/>
          <w:sz w:val="28"/>
          <w:szCs w:val="28"/>
          <w:lang w:val="en-US"/>
        </w:rPr>
        <w:t>, Y. Y. Rakina</w:t>
      </w: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4</w:t>
      </w:r>
    </w:p>
    <w:p w:rsidR="005220D8" w:rsidRPr="00B50665" w:rsidRDefault="005220D8" w:rsidP="005220D8">
      <w:pPr>
        <w:pStyle w:val="a7"/>
        <w:ind w:left="-36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1</w:t>
      </w:r>
      <w:r w:rsidRPr="00B50665">
        <w:rPr>
          <w:rFonts w:ascii="Times New Roman" w:hAnsi="Times New Roman"/>
          <w:bCs/>
          <w:sz w:val="28"/>
          <w:szCs w:val="28"/>
          <w:lang w:val="en-US"/>
        </w:rPr>
        <w:t>City Clinical Hospital No 3 n. a. B. I. </w:t>
      </w:r>
      <w:proofErr w:type="spellStart"/>
      <w:r w:rsidRPr="00B50665">
        <w:rPr>
          <w:rFonts w:ascii="Times New Roman" w:hAnsi="Times New Roman"/>
          <w:bCs/>
          <w:sz w:val="28"/>
          <w:szCs w:val="28"/>
          <w:lang w:val="en-US"/>
        </w:rPr>
        <w:t>Alperovich</w:t>
      </w:r>
      <w:proofErr w:type="spellEnd"/>
      <w:r w:rsidRPr="00B50665">
        <w:rPr>
          <w:rFonts w:ascii="Times New Roman" w:hAnsi="Times New Roman"/>
          <w:bCs/>
          <w:sz w:val="28"/>
          <w:szCs w:val="28"/>
          <w:lang w:val="en-US"/>
        </w:rPr>
        <w:t>, Tomsk;</w:t>
      </w:r>
    </w:p>
    <w:p w:rsidR="005220D8" w:rsidRPr="00B50665" w:rsidRDefault="005220D8" w:rsidP="005220D8">
      <w:pPr>
        <w:pStyle w:val="a7"/>
        <w:suppressAutoHyphens w:val="0"/>
        <w:spacing w:after="0" w:line="360" w:lineRule="auto"/>
        <w:ind w:left="-36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2</w:t>
      </w:r>
      <w:r w:rsidRPr="00B50665">
        <w:rPr>
          <w:lang w:val="en-US"/>
        </w:rPr>
        <w:t xml:space="preserve"> </w:t>
      </w:r>
      <w:r w:rsidRPr="00B506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Medical Center n. a. G. K. </w:t>
      </w:r>
      <w:proofErr w:type="spellStart"/>
      <w:r w:rsidRPr="00B50665">
        <w:rPr>
          <w:rFonts w:ascii="Times New Roman" w:hAnsi="Times New Roman" w:cs="Times New Roman"/>
          <w:bCs/>
          <w:sz w:val="28"/>
          <w:szCs w:val="28"/>
          <w:lang w:val="en-US"/>
        </w:rPr>
        <w:t>Zherlov</w:t>
      </w:r>
      <w:proofErr w:type="spellEnd"/>
      <w:r w:rsidRPr="00B5066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B50665">
        <w:rPr>
          <w:rFonts w:ascii="Times New Roman" w:hAnsi="Times New Roman" w:cs="Times New Roman"/>
          <w:bCs/>
          <w:sz w:val="28"/>
          <w:szCs w:val="28"/>
          <w:lang w:val="en-US"/>
        </w:rPr>
        <w:t>Seversk</w:t>
      </w:r>
      <w:proofErr w:type="spellEnd"/>
      <w:r w:rsidRPr="00B50665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5220D8" w:rsidRPr="00B50665" w:rsidRDefault="005220D8" w:rsidP="005220D8">
      <w:pPr>
        <w:pStyle w:val="a7"/>
        <w:suppressAutoHyphens w:val="0"/>
        <w:spacing w:after="0" w:line="360" w:lineRule="auto"/>
        <w:ind w:left="-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3</w:t>
      </w:r>
      <w:r w:rsidRPr="00B50665">
        <w:rPr>
          <w:rFonts w:ascii="Times New Roman" w:hAnsi="Times New Roman" w:cs="Times New Roman"/>
          <w:sz w:val="28"/>
          <w:szCs w:val="28"/>
          <w:lang w:val="en-US"/>
        </w:rPr>
        <w:t>Siberian State Medical University, Tomsk;</w:t>
      </w:r>
    </w:p>
    <w:p w:rsidR="005220D8" w:rsidRPr="00B50665" w:rsidRDefault="005220D8" w:rsidP="005220D8">
      <w:pPr>
        <w:pStyle w:val="a7"/>
        <w:suppressAutoHyphens w:val="0"/>
        <w:spacing w:after="0" w:line="360" w:lineRule="auto"/>
        <w:ind w:left="-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50665">
        <w:rPr>
          <w:rFonts w:ascii="Times New Roman" w:hAnsi="Times New Roman"/>
          <w:iCs/>
          <w:sz w:val="28"/>
          <w:szCs w:val="28"/>
          <w:vertAlign w:val="superscript"/>
          <w:lang w:val="en-US"/>
        </w:rPr>
        <w:t>4</w:t>
      </w:r>
      <w:r w:rsidRPr="00B50665">
        <w:rPr>
          <w:rFonts w:ascii="Times New Roman" w:hAnsi="Times New Roman" w:cs="Times New Roman"/>
          <w:sz w:val="28"/>
          <w:szCs w:val="28"/>
          <w:lang w:val="en-US"/>
        </w:rPr>
        <w:t xml:space="preserve">Siberian Federal Scientific Clinical Center, </w:t>
      </w:r>
      <w:proofErr w:type="spellStart"/>
      <w:r w:rsidRPr="00B50665">
        <w:rPr>
          <w:rFonts w:ascii="Times New Roman" w:hAnsi="Times New Roman" w:cs="Times New Roman"/>
          <w:sz w:val="28"/>
          <w:szCs w:val="28"/>
          <w:lang w:val="en-US"/>
        </w:rPr>
        <w:t>Seversk</w:t>
      </w:r>
      <w:proofErr w:type="spellEnd"/>
      <w:r w:rsidRPr="00B50665">
        <w:rPr>
          <w:rFonts w:ascii="Times New Roman" w:hAnsi="Times New Roman" w:cs="Times New Roman"/>
          <w:sz w:val="28"/>
          <w:szCs w:val="28"/>
          <w:lang w:val="en-US"/>
        </w:rPr>
        <w:t>, Russia</w:t>
      </w:r>
    </w:p>
    <w:p w:rsidR="005220D8" w:rsidRPr="00B50665" w:rsidRDefault="005220D8" w:rsidP="005220D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220D8" w:rsidRPr="00B50665" w:rsidRDefault="005220D8" w:rsidP="005220D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50665">
        <w:rPr>
          <w:rFonts w:ascii="Times New Roman" w:hAnsi="Times New Roman"/>
          <w:b/>
          <w:bCs/>
          <w:sz w:val="28"/>
          <w:szCs w:val="28"/>
          <w:lang w:val="en-US"/>
        </w:rPr>
        <w:t xml:space="preserve">Key words: </w:t>
      </w:r>
      <w:proofErr w:type="spellStart"/>
      <w:r w:rsidRPr="00B50665">
        <w:rPr>
          <w:rFonts w:ascii="Times New Roman" w:hAnsi="Times New Roman"/>
          <w:sz w:val="28"/>
          <w:szCs w:val="28"/>
          <w:lang w:val="en-US"/>
        </w:rPr>
        <w:t>postgastrectomy</w:t>
      </w:r>
      <w:proofErr w:type="spellEnd"/>
      <w:r w:rsidRPr="00B50665">
        <w:rPr>
          <w:rFonts w:ascii="Times New Roman" w:hAnsi="Times New Roman"/>
          <w:sz w:val="28"/>
          <w:szCs w:val="28"/>
          <w:lang w:val="en-US"/>
        </w:rPr>
        <w:t xml:space="preserve"> syndrome, chronic pancreatitis, esophageal-intestinal </w:t>
      </w:r>
      <w:proofErr w:type="spellStart"/>
      <w:r w:rsidRPr="00B50665">
        <w:rPr>
          <w:rFonts w:ascii="Times New Roman" w:hAnsi="Times New Roman"/>
          <w:sz w:val="28"/>
          <w:szCs w:val="28"/>
          <w:lang w:val="en-US"/>
        </w:rPr>
        <w:t>anastomosis</w:t>
      </w:r>
      <w:proofErr w:type="spellEnd"/>
      <w:r w:rsidRPr="00B50665">
        <w:rPr>
          <w:rFonts w:ascii="Times New Roman" w:hAnsi="Times New Roman"/>
          <w:sz w:val="28"/>
          <w:szCs w:val="28"/>
          <w:lang w:val="en-US"/>
        </w:rPr>
        <w:t xml:space="preserve"> reconstruction, pancreas, chronic pancreatitis</w:t>
      </w:r>
    </w:p>
    <w:p w:rsidR="00315B00" w:rsidRPr="00315B00" w:rsidRDefault="005220D8" w:rsidP="005220D8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50665">
        <w:rPr>
          <w:rFonts w:ascii="Times New Roman" w:hAnsi="Times New Roman"/>
          <w:sz w:val="28"/>
          <w:szCs w:val="28"/>
          <w:lang w:val="en-US"/>
        </w:rPr>
        <w:t xml:space="preserve">The analysis of results of surgical treatment of 62 patients with </w:t>
      </w:r>
      <w:proofErr w:type="spellStart"/>
      <w:r w:rsidRPr="00B50665">
        <w:rPr>
          <w:rFonts w:ascii="Times New Roman" w:hAnsi="Times New Roman"/>
          <w:sz w:val="28"/>
          <w:szCs w:val="28"/>
          <w:lang w:val="en-US"/>
        </w:rPr>
        <w:t>postgastrectomy</w:t>
      </w:r>
      <w:proofErr w:type="spellEnd"/>
      <w:r w:rsidRPr="00B50665">
        <w:rPr>
          <w:rFonts w:ascii="Times New Roman" w:hAnsi="Times New Roman"/>
          <w:sz w:val="28"/>
          <w:szCs w:val="28"/>
          <w:lang w:val="en-US"/>
        </w:rPr>
        <w:t xml:space="preserve"> syndrome: 41 (66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B50665">
        <w:rPr>
          <w:rFonts w:ascii="Times New Roman" w:hAnsi="Times New Roman"/>
          <w:sz w:val="28"/>
          <w:szCs w:val="28"/>
          <w:lang w:val="en-US"/>
        </w:rPr>
        <w:t>1%) men and 21 (33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B50665">
        <w:rPr>
          <w:rFonts w:ascii="Times New Roman" w:hAnsi="Times New Roman"/>
          <w:sz w:val="28"/>
          <w:szCs w:val="28"/>
          <w:lang w:val="en-US"/>
        </w:rPr>
        <w:t>9%) women aged from 35 to 69 years (middle age 48.2±13.1 years) has been presented. The signs of chronic pancreatitis have been revealed in 24 (38.7%) patients. Relapsing form was observed in 19 (79</w:t>
      </w:r>
      <w:r>
        <w:rPr>
          <w:rFonts w:ascii="Times New Roman" w:hAnsi="Times New Roman"/>
          <w:sz w:val="28"/>
          <w:szCs w:val="28"/>
          <w:lang w:val="en-US"/>
        </w:rPr>
        <w:t>.</w:t>
      </w:r>
      <w:r w:rsidRPr="00B50665">
        <w:rPr>
          <w:rFonts w:ascii="Times New Roman" w:hAnsi="Times New Roman"/>
          <w:sz w:val="28"/>
          <w:szCs w:val="28"/>
          <w:lang w:val="en-US"/>
        </w:rPr>
        <w:t xml:space="preserve">2%) patients, painful — in 5 (20.8%) cases. Performance of the reconstructive operations, providing restoration of natural passage of food through duodenal gut, promoted restoration of indicators of the content of carbohydrates in blood, eliminating the basis of a variety of </w:t>
      </w:r>
      <w:proofErr w:type="spellStart"/>
      <w:r w:rsidRPr="00B50665">
        <w:rPr>
          <w:rFonts w:ascii="Times New Roman" w:hAnsi="Times New Roman"/>
          <w:sz w:val="28"/>
          <w:szCs w:val="28"/>
          <w:lang w:val="en-US"/>
        </w:rPr>
        <w:t>postgastrectomy</w:t>
      </w:r>
      <w:proofErr w:type="spellEnd"/>
      <w:r w:rsidRPr="00B50665">
        <w:rPr>
          <w:rFonts w:ascii="Times New Roman" w:hAnsi="Times New Roman"/>
          <w:sz w:val="28"/>
          <w:szCs w:val="28"/>
          <w:lang w:val="en-US"/>
        </w:rPr>
        <w:t xml:space="preserve"> damages, including chronic pancreatitis in 6 (25%) patients.</w:t>
      </w:r>
    </w:p>
    <w:p w:rsidR="00315B00" w:rsidRPr="00315B00" w:rsidRDefault="005220D8" w:rsidP="00315B00">
      <w:pPr>
        <w:shd w:val="clear" w:color="auto" w:fill="FFFFFF"/>
        <w:spacing w:after="0" w:line="3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315B00" w:rsidRPr="00315B00" w:rsidRDefault="005220D8" w:rsidP="00315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B95C44" w:rsidRPr="00315B00" w:rsidRDefault="00B95C44">
      <w:pPr>
        <w:rPr>
          <w:lang w:val="en-US"/>
        </w:rPr>
      </w:pPr>
    </w:p>
    <w:sectPr w:rsidR="00B95C44" w:rsidRPr="00315B00" w:rsidSect="00AC0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A421A"/>
    <w:multiLevelType w:val="hybridMultilevel"/>
    <w:tmpl w:val="4088EBF4"/>
    <w:lvl w:ilvl="0" w:tplc="AA32EFA6">
      <w:start w:val="1"/>
      <w:numFmt w:val="decimal"/>
      <w:lvlText w:val="%1."/>
      <w:lvlJc w:val="left"/>
      <w:pPr>
        <w:tabs>
          <w:tab w:val="num" w:pos="567"/>
        </w:tabs>
        <w:ind w:firstLine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15B00"/>
    <w:rsid w:val="00071ED1"/>
    <w:rsid w:val="000936E8"/>
    <w:rsid w:val="00315B00"/>
    <w:rsid w:val="005220D8"/>
    <w:rsid w:val="00AC0D78"/>
    <w:rsid w:val="00B9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D78"/>
  </w:style>
  <w:style w:type="paragraph" w:styleId="1">
    <w:name w:val="heading 1"/>
    <w:basedOn w:val="a"/>
    <w:link w:val="10"/>
    <w:uiPriority w:val="9"/>
    <w:qFormat/>
    <w:rsid w:val="00315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B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15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ranslate">
    <w:name w:val="notranslate"/>
    <w:basedOn w:val="a0"/>
    <w:rsid w:val="00315B00"/>
  </w:style>
  <w:style w:type="character" w:styleId="a4">
    <w:name w:val="Hyperlink"/>
    <w:basedOn w:val="a0"/>
    <w:uiPriority w:val="99"/>
    <w:semiHidden/>
    <w:unhideWhenUsed/>
    <w:rsid w:val="00315B0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5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B00"/>
    <w:rPr>
      <w:rFonts w:ascii="Tahoma" w:hAnsi="Tahoma" w:cs="Tahoma"/>
      <w:sz w:val="16"/>
      <w:szCs w:val="16"/>
    </w:rPr>
  </w:style>
  <w:style w:type="paragraph" w:customStyle="1" w:styleId="a7">
    <w:name w:val="Базовый"/>
    <w:uiPriority w:val="99"/>
    <w:rsid w:val="005220D8"/>
    <w:pPr>
      <w:tabs>
        <w:tab w:val="left" w:pos="708"/>
      </w:tabs>
      <w:suppressAutoHyphens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ru/contents.asp?issueid=1328086&amp;selid=22138754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5000000000000011"/>
          <c:y val="8.9005235602094265E-2"/>
          <c:w val="0.66111111111111154"/>
          <c:h val="0.66492146596858737"/>
        </c:manualLayout>
      </c:layout>
      <c:lineChart>
        <c:grouping val="standard"/>
        <c:ser>
          <c:idx val="0"/>
          <c:order val="0"/>
          <c:tx>
            <c:v>до операции</c:v>
          </c:tx>
          <c:spPr>
            <a:ln w="17157">
              <a:solidFill>
                <a:srgbClr val="000000"/>
              </a:solidFill>
              <a:prstDash val="lgDash"/>
            </a:ln>
          </c:spPr>
          <c:marker>
            <c:symbol val="diamond"/>
            <c:size val="2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val>
            <c:numRef>
              <c:f>Лист2!$L$9:$L$14</c:f>
              <c:numCache>
                <c:formatCode>General</c:formatCode>
                <c:ptCount val="6"/>
                <c:pt idx="0">
                  <c:v>4.9000000000000004</c:v>
                </c:pt>
                <c:pt idx="1">
                  <c:v>12.02</c:v>
                </c:pt>
                <c:pt idx="2">
                  <c:v>7.45</c:v>
                </c:pt>
                <c:pt idx="3">
                  <c:v>12.08</c:v>
                </c:pt>
                <c:pt idx="4">
                  <c:v>7.9</c:v>
                </c:pt>
                <c:pt idx="5">
                  <c:v>5.6</c:v>
                </c:pt>
              </c:numCache>
            </c:numRef>
          </c:val>
        </c:ser>
        <c:ser>
          <c:idx val="1"/>
          <c:order val="1"/>
          <c:tx>
            <c:v>2-3 месяца</c:v>
          </c:tx>
          <c:spPr>
            <a:ln w="17157">
              <a:solidFill>
                <a:srgbClr val="000000"/>
              </a:solidFill>
              <a:prstDash val="solid"/>
            </a:ln>
          </c:spPr>
          <c:marker>
            <c:symbol val="square"/>
            <c:size val="2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val>
            <c:numRef>
              <c:f>Лист2!$M$9:$M$14</c:f>
              <c:numCache>
                <c:formatCode>General</c:formatCode>
                <c:ptCount val="6"/>
                <c:pt idx="0">
                  <c:v>5.03</c:v>
                </c:pt>
                <c:pt idx="1">
                  <c:v>9.26</c:v>
                </c:pt>
                <c:pt idx="2">
                  <c:v>6.63</c:v>
                </c:pt>
                <c:pt idx="3">
                  <c:v>7.73</c:v>
                </c:pt>
                <c:pt idx="4">
                  <c:v>4.3599999999999985</c:v>
                </c:pt>
                <c:pt idx="5">
                  <c:v>3.63</c:v>
                </c:pt>
              </c:numCache>
            </c:numRef>
          </c:val>
        </c:ser>
        <c:ser>
          <c:idx val="2"/>
          <c:order val="2"/>
          <c:tx>
            <c:v>1 год</c:v>
          </c:tx>
          <c:spPr>
            <a:ln w="8578">
              <a:pattFill prst="pct50">
                <a:fgClr>
                  <a:srgbClr val="000000"/>
                </a:fgClr>
                <a:bgClr>
                  <a:srgbClr val="FFFFFF"/>
                </a:bgClr>
              </a:pattFill>
              <a:prstDash val="solid"/>
            </a:ln>
          </c:spPr>
          <c:marker>
            <c:symbol val="triangle"/>
            <c:size val="2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val>
            <c:numRef>
              <c:f>Лист2!$N$9:$N$14</c:f>
              <c:numCache>
                <c:formatCode>General</c:formatCode>
                <c:ptCount val="6"/>
                <c:pt idx="0">
                  <c:v>5.1199999999999966</c:v>
                </c:pt>
                <c:pt idx="1">
                  <c:v>10</c:v>
                </c:pt>
                <c:pt idx="2">
                  <c:v>6.1199999999999966</c:v>
                </c:pt>
                <c:pt idx="3">
                  <c:v>6.64</c:v>
                </c:pt>
                <c:pt idx="4">
                  <c:v>4.04</c:v>
                </c:pt>
                <c:pt idx="5">
                  <c:v>3.48</c:v>
                </c:pt>
              </c:numCache>
            </c:numRef>
          </c:val>
        </c:ser>
        <c:ser>
          <c:idx val="3"/>
          <c:order val="3"/>
          <c:tx>
            <c:v>3-5 лет</c:v>
          </c:tx>
          <c:spPr>
            <a:ln w="17157">
              <a:solidFill>
                <a:srgbClr val="000000"/>
              </a:solidFill>
              <a:prstDash val="sysDash"/>
            </a:ln>
          </c:spPr>
          <c:marker>
            <c:symbol val="x"/>
            <c:size val="2"/>
            <c:spPr>
              <a:noFill/>
              <a:ln>
                <a:solidFill>
                  <a:srgbClr val="000000"/>
                </a:solidFill>
                <a:prstDash val="solid"/>
              </a:ln>
            </c:spPr>
          </c:marker>
          <c:val>
            <c:numRef>
              <c:f>Лист2!$O$9:$O$14</c:f>
              <c:numCache>
                <c:formatCode>General</c:formatCode>
                <c:ptCount val="6"/>
                <c:pt idx="0">
                  <c:v>4.5</c:v>
                </c:pt>
                <c:pt idx="1">
                  <c:v>8.31</c:v>
                </c:pt>
                <c:pt idx="2">
                  <c:v>6.83</c:v>
                </c:pt>
                <c:pt idx="3">
                  <c:v>6.18</c:v>
                </c:pt>
                <c:pt idx="4">
                  <c:v>5.96</c:v>
                </c:pt>
                <c:pt idx="5">
                  <c:v>3.4299999999999997</c:v>
                </c:pt>
              </c:numCache>
            </c:numRef>
          </c:val>
        </c:ser>
        <c:marker val="1"/>
        <c:axId val="95428608"/>
        <c:axId val="59879424"/>
      </c:lineChart>
      <c:catAx>
        <c:axId val="95428608"/>
        <c:scaling>
          <c:orientation val="minMax"/>
        </c:scaling>
        <c:axPos val="b"/>
        <c:numFmt formatCode="General" sourceLinked="1"/>
        <c:tickLblPos val="nextTo"/>
        <c:spPr>
          <a:ln w="214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4" b="0" i="0" u="none" strike="noStrike" baseline="0">
                <a:solidFill>
                  <a:srgbClr val="000000"/>
                </a:solidFill>
                <a:latin typeface="Times New Roman Cyr"/>
                <a:ea typeface="Times New Roman Cyr"/>
                <a:cs typeface="Times New Roman Cyr"/>
              </a:defRPr>
            </a:pPr>
            <a:endParaRPr lang="ru-RU"/>
          </a:p>
        </c:txPr>
        <c:crossAx val="59879424"/>
        <c:crosses val="autoZero"/>
        <c:auto val="1"/>
        <c:lblAlgn val="ctr"/>
        <c:lblOffset val="100"/>
        <c:tickLblSkip val="1"/>
        <c:tickMarkSkip val="1"/>
      </c:catAx>
      <c:valAx>
        <c:axId val="59879424"/>
        <c:scaling>
          <c:orientation val="minMax"/>
        </c:scaling>
        <c:axPos val="l"/>
        <c:title>
          <c:tx>
            <c:rich>
              <a:bodyPr/>
              <a:lstStyle/>
              <a:p>
                <a:pPr>
                  <a:defRPr sz="961" b="0" i="0" u="none" strike="noStrike" baseline="0">
                    <a:solidFill>
                      <a:srgbClr val="000000"/>
                    </a:solidFill>
                    <a:latin typeface="Times New Roman Cyr"/>
                    <a:ea typeface="Times New Roman Cyr"/>
                    <a:cs typeface="Times New Roman Cyr"/>
                  </a:defRPr>
                </a:pPr>
                <a:r>
                  <a:rPr lang="ru-RU"/>
                  <a:t>ммоль/л</a:t>
                </a:r>
              </a:p>
            </c:rich>
          </c:tx>
          <c:layout>
            <c:manualLayout>
              <c:xMode val="edge"/>
              <c:yMode val="edge"/>
              <c:x val="2.0872849227179982E-2"/>
              <c:y val="0.31914911159665277"/>
            </c:manualLayout>
          </c:layout>
          <c:spPr>
            <a:noFill/>
            <a:ln w="24899">
              <a:noFill/>
            </a:ln>
          </c:spPr>
        </c:title>
        <c:numFmt formatCode="General" sourceLinked="1"/>
        <c:tickLblPos val="nextTo"/>
        <c:spPr>
          <a:ln w="214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4" b="0" i="0" u="none" strike="noStrike" baseline="0">
                <a:solidFill>
                  <a:srgbClr val="000000"/>
                </a:solidFill>
                <a:latin typeface="Times New Roman Cyr"/>
                <a:ea typeface="Times New Roman Cyr"/>
                <a:cs typeface="Times New Roman Cyr"/>
              </a:defRPr>
            </a:pPr>
            <a:endParaRPr lang="ru-RU"/>
          </a:p>
        </c:txPr>
        <c:crossAx val="95428608"/>
        <c:crosses val="autoZero"/>
        <c:crossBetween val="between"/>
      </c:valAx>
      <c:spPr>
        <a:solidFill>
          <a:srgbClr val="FFFFFF"/>
        </a:solidFill>
        <a:ln w="24899">
          <a:noFill/>
        </a:ln>
      </c:spPr>
    </c:plotArea>
    <c:legend>
      <c:legendPos val="r"/>
      <c:layout>
        <c:manualLayout>
          <c:xMode val="edge"/>
          <c:yMode val="edge"/>
          <c:x val="2.7777777777777835E-3"/>
          <c:y val="0.90052356020942359"/>
          <c:w val="0.9722222222222221"/>
          <c:h val="0.10471204188481679"/>
        </c:manualLayout>
      </c:layout>
      <c:spPr>
        <a:solidFill>
          <a:srgbClr val="FFFFFF"/>
        </a:solidFill>
        <a:ln w="17157">
          <a:noFill/>
        </a:ln>
      </c:spPr>
      <c:txPr>
        <a:bodyPr/>
        <a:lstStyle/>
        <a:p>
          <a:pPr>
            <a:defRPr sz="720" b="0" i="0" u="none" strike="noStrike" baseline="0">
              <a:solidFill>
                <a:srgbClr val="000000"/>
              </a:solidFill>
              <a:latin typeface="Times New Roman Cyr"/>
              <a:ea typeface="Times New Roman Cyr"/>
              <a:cs typeface="Times New Roman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 w="3112">
      <a:solidFill>
        <a:srgbClr val="000000"/>
      </a:solidFill>
      <a:prstDash val="solid"/>
    </a:ln>
  </c:spPr>
  <c:txPr>
    <a:bodyPr/>
    <a:lstStyle/>
    <a:p>
      <a:pPr>
        <a:defRPr sz="961" b="0" i="0" u="none" strike="noStrike" baseline="0">
          <a:solidFill>
            <a:srgbClr val="000000"/>
          </a:solidFill>
          <a:latin typeface="Times New Roman Cyr"/>
          <a:ea typeface="Times New Roman Cyr"/>
          <a:cs typeface="Times New Roman Cyr"/>
        </a:defRPr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3501</Words>
  <Characters>19960</Characters>
  <Application>Microsoft Office Word</Application>
  <DocSecurity>0</DocSecurity>
  <Lines>166</Lines>
  <Paragraphs>46</Paragraphs>
  <ScaleCrop>false</ScaleCrop>
  <Company/>
  <LinksUpToDate>false</LinksUpToDate>
  <CharactersWithSpaces>23415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Spartan-B312</dc:creator>
  <cp:keywords/>
  <dc:description/>
  <cp:lastModifiedBy>Spartan-B312</cp:lastModifiedBy>
  <cp:revision>5</cp:revision>
  <dcterms:created xsi:type="dcterms:W3CDTF">2017-12-16T07:46:00Z</dcterms:created>
  <dcterms:modified xsi:type="dcterms:W3CDTF">2017-12-31T07:36:00Z</dcterms:modified>
</cp:coreProperties>
</file>