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4D" w:rsidRPr="00F0103F" w:rsidRDefault="0056444D" w:rsidP="0056444D">
      <w:pPr>
        <w:spacing w:after="0" w:line="360" w:lineRule="auto"/>
        <w:jc w:val="center"/>
        <w:rPr>
          <w:rFonts w:ascii="Times New Roman" w:hAnsi="Times New Roman"/>
          <w:b/>
          <w:sz w:val="24"/>
          <w:szCs w:val="24"/>
          <w:lang w:val="en-US"/>
        </w:rPr>
      </w:pPr>
      <w:proofErr w:type="spellStart"/>
      <w:r w:rsidRPr="00F0103F">
        <w:rPr>
          <w:rFonts w:ascii="Times New Roman" w:hAnsi="Times New Roman"/>
          <w:b/>
          <w:sz w:val="24"/>
          <w:szCs w:val="24"/>
          <w:lang w:val="en-US"/>
        </w:rPr>
        <w:t>Pleiotropic</w:t>
      </w:r>
      <w:proofErr w:type="spellEnd"/>
      <w:r w:rsidRPr="00F0103F">
        <w:rPr>
          <w:rFonts w:ascii="Times New Roman" w:hAnsi="Times New Roman"/>
          <w:b/>
          <w:sz w:val="24"/>
          <w:szCs w:val="24"/>
          <w:lang w:val="en-US"/>
        </w:rPr>
        <w:t xml:space="preserve"> effects of omega-3 polyunsaturated fatty acids in complex treatment of patients with </w:t>
      </w:r>
      <w:proofErr w:type="spellStart"/>
      <w:r w:rsidRPr="00F0103F">
        <w:rPr>
          <w:rFonts w:ascii="Times New Roman" w:hAnsi="Times New Roman"/>
          <w:b/>
          <w:sz w:val="24"/>
          <w:szCs w:val="24"/>
          <w:lang w:val="en-US"/>
        </w:rPr>
        <w:t>comorbidity</w:t>
      </w:r>
      <w:proofErr w:type="spellEnd"/>
      <w:r w:rsidRPr="00F0103F">
        <w:rPr>
          <w:rFonts w:ascii="Times New Roman" w:hAnsi="Times New Roman"/>
          <w:b/>
          <w:sz w:val="24"/>
          <w:szCs w:val="24"/>
          <w:lang w:val="en-US"/>
        </w:rPr>
        <w:t xml:space="preserve"> of chronic pancreatitis and stable coronary artery disease</w:t>
      </w:r>
    </w:p>
    <w:p w:rsidR="0056444D" w:rsidRPr="007F770E" w:rsidRDefault="0056444D" w:rsidP="0056444D">
      <w:pPr>
        <w:spacing w:after="0" w:line="360" w:lineRule="auto"/>
        <w:jc w:val="center"/>
        <w:rPr>
          <w:rFonts w:ascii="Times New Roman" w:hAnsi="Times New Roman"/>
          <w:sz w:val="24"/>
          <w:szCs w:val="24"/>
          <w:lang w:val="en-US"/>
        </w:rPr>
      </w:pPr>
      <w:r w:rsidRPr="007F770E">
        <w:rPr>
          <w:rFonts w:ascii="Times New Roman" w:hAnsi="Times New Roman"/>
          <w:sz w:val="24"/>
          <w:szCs w:val="24"/>
          <w:lang w:val="en-US"/>
        </w:rPr>
        <w:t>L.</w:t>
      </w:r>
      <w:r w:rsidRPr="00F0103F">
        <w:rPr>
          <w:rFonts w:ascii="Times New Roman" w:hAnsi="Times New Roman"/>
          <w:sz w:val="24"/>
          <w:szCs w:val="24"/>
          <w:lang w:val="en-US"/>
        </w:rPr>
        <w:t xml:space="preserve"> </w:t>
      </w:r>
      <w:r w:rsidRPr="007F770E">
        <w:rPr>
          <w:rFonts w:ascii="Times New Roman" w:hAnsi="Times New Roman"/>
          <w:sz w:val="24"/>
          <w:szCs w:val="24"/>
          <w:lang w:val="en-US"/>
        </w:rPr>
        <w:t>S.</w:t>
      </w:r>
      <w:r w:rsidRPr="00F0103F">
        <w:rPr>
          <w:rFonts w:ascii="Times New Roman" w:hAnsi="Times New Roman"/>
          <w:sz w:val="24"/>
          <w:szCs w:val="24"/>
          <w:lang w:val="en-US"/>
        </w:rPr>
        <w:t xml:space="preserve"> </w:t>
      </w:r>
      <w:proofErr w:type="spellStart"/>
      <w:r w:rsidRPr="007F770E">
        <w:rPr>
          <w:rFonts w:ascii="Times New Roman" w:hAnsi="Times New Roman"/>
          <w:sz w:val="24"/>
          <w:szCs w:val="24"/>
          <w:lang w:val="en-US"/>
        </w:rPr>
        <w:t>Babinets</w:t>
      </w:r>
      <w:proofErr w:type="spellEnd"/>
      <w:r w:rsidRPr="007F770E">
        <w:rPr>
          <w:rFonts w:ascii="Times New Roman" w:hAnsi="Times New Roman"/>
          <w:sz w:val="24"/>
          <w:szCs w:val="24"/>
          <w:lang w:val="en-US"/>
        </w:rPr>
        <w:t>, N.</w:t>
      </w:r>
      <w:r w:rsidRPr="00F0103F">
        <w:rPr>
          <w:rFonts w:ascii="Times New Roman" w:hAnsi="Times New Roman"/>
          <w:sz w:val="24"/>
          <w:szCs w:val="24"/>
          <w:lang w:val="en-US"/>
        </w:rPr>
        <w:t xml:space="preserve"> </w:t>
      </w:r>
      <w:r w:rsidRPr="007F770E">
        <w:rPr>
          <w:rFonts w:ascii="Times New Roman" w:hAnsi="Times New Roman"/>
          <w:sz w:val="24"/>
          <w:szCs w:val="24"/>
          <w:lang w:val="en-US"/>
        </w:rPr>
        <w:t>A.</w:t>
      </w:r>
      <w:r w:rsidRPr="00F0103F">
        <w:rPr>
          <w:rFonts w:ascii="Times New Roman" w:hAnsi="Times New Roman"/>
          <w:sz w:val="24"/>
          <w:szCs w:val="24"/>
          <w:lang w:val="en-US"/>
        </w:rPr>
        <w:t xml:space="preserve"> </w:t>
      </w:r>
      <w:proofErr w:type="spellStart"/>
      <w:r w:rsidRPr="007F770E">
        <w:rPr>
          <w:rFonts w:ascii="Times New Roman" w:hAnsi="Times New Roman"/>
          <w:sz w:val="24"/>
          <w:szCs w:val="24"/>
          <w:lang w:val="en-US"/>
        </w:rPr>
        <w:t>Melnyk</w:t>
      </w:r>
      <w:proofErr w:type="spellEnd"/>
    </w:p>
    <w:p w:rsidR="0056444D" w:rsidRPr="007F770E" w:rsidRDefault="0056444D" w:rsidP="0056444D">
      <w:pPr>
        <w:spacing w:after="0" w:line="360" w:lineRule="auto"/>
        <w:jc w:val="center"/>
        <w:rPr>
          <w:rFonts w:ascii="Times New Roman" w:hAnsi="Times New Roman"/>
          <w:sz w:val="24"/>
          <w:szCs w:val="24"/>
          <w:lang w:val="en-US"/>
        </w:rPr>
      </w:pPr>
      <w:proofErr w:type="spellStart"/>
      <w:r w:rsidRPr="00F0103F">
        <w:rPr>
          <w:rFonts w:ascii="Times New Roman" w:hAnsi="Times New Roman"/>
          <w:iCs/>
          <w:sz w:val="24"/>
          <w:szCs w:val="24"/>
          <w:lang w:val="en-US"/>
        </w:rPr>
        <w:t>Ternopil</w:t>
      </w:r>
      <w:proofErr w:type="spellEnd"/>
      <w:r w:rsidRPr="00F0103F">
        <w:rPr>
          <w:rFonts w:ascii="Times New Roman" w:hAnsi="Times New Roman"/>
          <w:iCs/>
          <w:sz w:val="24"/>
          <w:szCs w:val="24"/>
          <w:lang w:val="en-US"/>
        </w:rPr>
        <w:t xml:space="preserve"> State Medical University n.</w:t>
      </w:r>
      <w:r>
        <w:rPr>
          <w:rFonts w:ascii="Times New Roman" w:hAnsi="Times New Roman"/>
          <w:iCs/>
          <w:sz w:val="24"/>
          <w:szCs w:val="24"/>
          <w:lang w:val="en-US"/>
        </w:rPr>
        <w:t xml:space="preserve"> </w:t>
      </w:r>
      <w:r w:rsidRPr="00F0103F">
        <w:rPr>
          <w:rFonts w:ascii="Times New Roman" w:hAnsi="Times New Roman"/>
          <w:iCs/>
          <w:sz w:val="24"/>
          <w:szCs w:val="24"/>
          <w:lang w:val="en-US"/>
        </w:rPr>
        <w:t>a.</w:t>
      </w:r>
      <w:r>
        <w:rPr>
          <w:rFonts w:ascii="Times New Roman" w:hAnsi="Times New Roman"/>
          <w:iCs/>
          <w:sz w:val="24"/>
          <w:szCs w:val="24"/>
          <w:lang w:val="en-US"/>
        </w:rPr>
        <w:t xml:space="preserve"> </w:t>
      </w:r>
      <w:r w:rsidRPr="00F0103F">
        <w:rPr>
          <w:rFonts w:ascii="Times New Roman" w:hAnsi="Times New Roman"/>
          <w:iCs/>
          <w:sz w:val="24"/>
          <w:szCs w:val="24"/>
          <w:lang w:val="en-US"/>
        </w:rPr>
        <w:t>I.</w:t>
      </w:r>
      <w:r>
        <w:rPr>
          <w:rFonts w:ascii="Times New Roman" w:hAnsi="Times New Roman"/>
          <w:iCs/>
          <w:sz w:val="24"/>
          <w:szCs w:val="24"/>
          <w:lang w:val="en-US"/>
        </w:rPr>
        <w:t xml:space="preserve"> </w:t>
      </w:r>
      <w:r w:rsidRPr="00F0103F">
        <w:rPr>
          <w:rFonts w:ascii="Times New Roman" w:hAnsi="Times New Roman"/>
          <w:iCs/>
          <w:sz w:val="24"/>
          <w:szCs w:val="24"/>
          <w:lang w:val="en-US"/>
        </w:rPr>
        <w:t>Y.</w:t>
      </w:r>
      <w:r>
        <w:rPr>
          <w:rFonts w:ascii="Times New Roman" w:hAnsi="Times New Roman"/>
          <w:iCs/>
          <w:sz w:val="24"/>
          <w:szCs w:val="24"/>
          <w:lang w:val="en-US"/>
        </w:rPr>
        <w:t xml:space="preserve"> </w:t>
      </w:r>
      <w:proofErr w:type="spellStart"/>
      <w:r w:rsidRPr="00F0103F">
        <w:rPr>
          <w:rFonts w:ascii="Times New Roman" w:hAnsi="Times New Roman"/>
          <w:iCs/>
          <w:sz w:val="24"/>
          <w:szCs w:val="24"/>
          <w:lang w:val="en-US"/>
        </w:rPr>
        <w:t>Gorbachevsky</w:t>
      </w:r>
      <w:proofErr w:type="spellEnd"/>
      <w:r w:rsidRPr="00F0103F">
        <w:rPr>
          <w:rFonts w:ascii="Times New Roman" w:hAnsi="Times New Roman"/>
          <w:iCs/>
          <w:sz w:val="24"/>
          <w:szCs w:val="24"/>
          <w:lang w:val="en-US"/>
        </w:rPr>
        <w:t>, Ukraine</w:t>
      </w:r>
    </w:p>
    <w:p w:rsidR="0056444D" w:rsidRPr="00F0103F" w:rsidRDefault="0056444D" w:rsidP="0056444D">
      <w:pPr>
        <w:spacing w:after="0" w:line="360" w:lineRule="auto"/>
        <w:jc w:val="center"/>
        <w:rPr>
          <w:rFonts w:ascii="Times New Roman" w:hAnsi="Times New Roman"/>
          <w:sz w:val="24"/>
          <w:szCs w:val="24"/>
          <w:lang w:val="en-US"/>
        </w:rPr>
      </w:pPr>
    </w:p>
    <w:p w:rsidR="003326CE" w:rsidRPr="003326CE" w:rsidRDefault="0056444D" w:rsidP="0056444D">
      <w:pPr>
        <w:spacing w:after="0" w:line="326" w:lineRule="atLeast"/>
        <w:ind w:firstLine="709"/>
        <w:jc w:val="both"/>
        <w:rPr>
          <w:rFonts w:ascii="Times New Roman" w:eastAsia="Times New Roman" w:hAnsi="Times New Roman" w:cs="Times New Roman"/>
          <w:color w:val="000000"/>
          <w:sz w:val="24"/>
          <w:szCs w:val="24"/>
          <w:lang w:val="en-US"/>
        </w:rPr>
      </w:pPr>
      <w:r w:rsidRPr="007F770E">
        <w:rPr>
          <w:rFonts w:ascii="Times New Roman" w:hAnsi="Times New Roman"/>
          <w:b/>
          <w:sz w:val="24"/>
          <w:szCs w:val="24"/>
          <w:lang w:val="en-US"/>
        </w:rPr>
        <w:t>Key</w:t>
      </w:r>
      <w:r>
        <w:rPr>
          <w:rFonts w:ascii="Times New Roman" w:hAnsi="Times New Roman"/>
          <w:b/>
          <w:sz w:val="24"/>
          <w:szCs w:val="24"/>
          <w:lang w:val="en-US"/>
        </w:rPr>
        <w:t xml:space="preserve"> </w:t>
      </w:r>
      <w:r w:rsidRPr="007F770E">
        <w:rPr>
          <w:rFonts w:ascii="Times New Roman" w:hAnsi="Times New Roman"/>
          <w:b/>
          <w:sz w:val="24"/>
          <w:szCs w:val="24"/>
          <w:lang w:val="en-US"/>
        </w:rPr>
        <w:t>words</w:t>
      </w:r>
      <w:r w:rsidRPr="007F770E">
        <w:rPr>
          <w:rFonts w:ascii="Times New Roman" w:hAnsi="Times New Roman"/>
          <w:sz w:val="24"/>
          <w:szCs w:val="24"/>
          <w:lang w:val="en-US"/>
        </w:rPr>
        <w:t>: chronic pancreatitis</w:t>
      </w:r>
      <w:r w:rsidRPr="00F0103F">
        <w:rPr>
          <w:rFonts w:ascii="Times New Roman" w:hAnsi="Times New Roman"/>
          <w:sz w:val="24"/>
          <w:szCs w:val="24"/>
          <w:lang w:val="en-US"/>
        </w:rPr>
        <w:t>,</w:t>
      </w:r>
      <w:r w:rsidRPr="007F770E">
        <w:rPr>
          <w:rFonts w:ascii="Times New Roman" w:hAnsi="Times New Roman"/>
          <w:sz w:val="24"/>
          <w:szCs w:val="24"/>
          <w:lang w:val="en-US"/>
        </w:rPr>
        <w:t xml:space="preserve"> stable coronary artery disease</w:t>
      </w:r>
      <w:r w:rsidRPr="00F0103F">
        <w:rPr>
          <w:rFonts w:ascii="Times New Roman" w:hAnsi="Times New Roman"/>
          <w:sz w:val="24"/>
          <w:szCs w:val="24"/>
          <w:lang w:val="en-US"/>
        </w:rPr>
        <w:t>,</w:t>
      </w:r>
      <w:r w:rsidRPr="007F770E">
        <w:rPr>
          <w:rFonts w:ascii="Times New Roman" w:hAnsi="Times New Roman"/>
          <w:sz w:val="24"/>
          <w:szCs w:val="24"/>
          <w:lang w:val="en-US"/>
        </w:rPr>
        <w:t xml:space="preserve"> omega-3 </w:t>
      </w:r>
      <w:proofErr w:type="spellStart"/>
      <w:r w:rsidRPr="007F770E">
        <w:rPr>
          <w:rFonts w:ascii="Times New Roman" w:hAnsi="Times New Roman"/>
          <w:sz w:val="24"/>
          <w:szCs w:val="24"/>
          <w:lang w:val="en-US"/>
        </w:rPr>
        <w:t>рolyunsaturat</w:t>
      </w:r>
      <w:r>
        <w:rPr>
          <w:rFonts w:ascii="Times New Roman" w:hAnsi="Times New Roman"/>
          <w:sz w:val="24"/>
          <w:szCs w:val="24"/>
          <w:lang w:val="en-US"/>
        </w:rPr>
        <w:t>ed</w:t>
      </w:r>
      <w:proofErr w:type="spellEnd"/>
      <w:r>
        <w:rPr>
          <w:rFonts w:ascii="Times New Roman" w:hAnsi="Times New Roman"/>
          <w:sz w:val="24"/>
          <w:szCs w:val="24"/>
          <w:lang w:val="en-US"/>
        </w:rPr>
        <w:t xml:space="preserve"> fatty acids</w:t>
      </w:r>
      <w:r w:rsidRPr="00F0103F">
        <w:rPr>
          <w:rFonts w:ascii="Times New Roman" w:hAnsi="Times New Roman"/>
          <w:sz w:val="24"/>
          <w:szCs w:val="24"/>
          <w:lang w:val="en-US"/>
        </w:rPr>
        <w:t xml:space="preserve">, </w:t>
      </w:r>
      <w:proofErr w:type="spellStart"/>
      <w:r>
        <w:rPr>
          <w:rFonts w:ascii="Times New Roman" w:hAnsi="Times New Roman"/>
          <w:sz w:val="24"/>
          <w:szCs w:val="24"/>
          <w:lang w:val="en-US"/>
        </w:rPr>
        <w:t>comorbidity</w:t>
      </w:r>
      <w:proofErr w:type="spellEnd"/>
      <w:r>
        <w:rPr>
          <w:rFonts w:ascii="Times New Roman" w:hAnsi="Times New Roman"/>
          <w:sz w:val="24"/>
          <w:szCs w:val="24"/>
          <w:lang w:val="en-US"/>
        </w:rPr>
        <w:t>, treatment</w:t>
      </w:r>
    </w:p>
    <w:p w:rsidR="003326CE" w:rsidRPr="003326CE" w:rsidRDefault="0056444D" w:rsidP="003326CE">
      <w:pPr>
        <w:spacing w:after="0" w:line="326" w:lineRule="atLeast"/>
        <w:ind w:firstLine="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3326CE" w:rsidRPr="003326CE" w:rsidRDefault="0056444D" w:rsidP="003326CE">
      <w:pPr>
        <w:spacing w:after="0" w:line="326"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b/>
          <w:bCs/>
          <w:color w:val="000000"/>
          <w:sz w:val="24"/>
          <w:szCs w:val="24"/>
          <w:lang w:val="en-US"/>
        </w:rPr>
        <w:t>INTRODUCTION</w:t>
      </w:r>
    </w:p>
    <w:p w:rsidR="003326CE" w:rsidRPr="003326CE" w:rsidRDefault="0056444D" w:rsidP="003326CE">
      <w:pPr>
        <w:spacing w:after="0" w:line="326"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 xml:space="preserve">Chronic pancreatitis </w:t>
      </w:r>
      <w:r>
        <w:rPr>
          <w:rFonts w:ascii="Times New Roman" w:eastAsia="Times New Roman" w:hAnsi="Times New Roman" w:cs="Times New Roman"/>
          <w:color w:val="000000"/>
          <w:sz w:val="24"/>
          <w:szCs w:val="24"/>
          <w:lang w:val="en-US"/>
        </w:rPr>
        <w:t>(</w:t>
      </w:r>
      <w:r w:rsidR="003326CE" w:rsidRPr="003326CE">
        <w:rPr>
          <w:rFonts w:ascii="Times New Roman" w:eastAsia="Times New Roman" w:hAnsi="Times New Roman" w:cs="Times New Roman"/>
          <w:color w:val="000000"/>
          <w:sz w:val="24"/>
          <w:szCs w:val="24"/>
          <w:lang w:val="en-US"/>
        </w:rPr>
        <w:t>CP</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is one of the most common, rapidly progressing</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diseases of the</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pancreas (AD) (up to 70</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w:t>
      </w:r>
      <w:r w:rsidR="003326CE" w:rsidRPr="003326CE">
        <w:rPr>
          <w:rFonts w:ascii="Times New Roman" w:eastAsia="Times New Roman" w:hAnsi="Times New Roman" w:cs="Times New Roman"/>
          <w:color w:val="000000"/>
          <w:sz w:val="24"/>
          <w:szCs w:val="24"/>
          <w:lang w:val="en-US"/>
        </w:rPr>
        <w:t xml:space="preserve"> with a high incidence of temporary disability and primary disability (up to 15.0%</w:t>
      </w:r>
      <w:r>
        <w:rPr>
          <w:rFonts w:ascii="Times New Roman" w:eastAsia="Times New Roman" w:hAnsi="Times New Roman" w:cs="Times New Roman"/>
          <w:color w:val="000000"/>
          <w:sz w:val="24"/>
          <w:szCs w:val="24"/>
          <w:lang w:val="en-US"/>
        </w:rPr>
        <w:t>)</w:t>
      </w:r>
      <w:r w:rsidR="003326CE" w:rsidRPr="003326CE">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CP is characterized by progressive flow with an increase in functional non-</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adequacy of software,</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development of</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disorders in</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lipid metabolism,</w:t>
      </w:r>
      <w:r>
        <w:rPr>
          <w:rFonts w:ascii="Times New Roman" w:eastAsia="Times New Roman" w:hAnsi="Times New Roman" w:cs="Times New Roman"/>
          <w:color w:val="000000"/>
          <w:sz w:val="24"/>
          <w:szCs w:val="24"/>
          <w:lang w:val="en-US"/>
        </w:rPr>
        <w:t xml:space="preserve"> </w:t>
      </w:r>
      <w:proofErr w:type="spellStart"/>
      <w:r w:rsidR="003326CE" w:rsidRPr="003326CE">
        <w:rPr>
          <w:rFonts w:ascii="Times New Roman" w:eastAsia="Times New Roman" w:hAnsi="Times New Roman" w:cs="Times New Roman"/>
          <w:color w:val="000000"/>
          <w:sz w:val="24"/>
          <w:szCs w:val="24"/>
          <w:lang w:val="en-US"/>
        </w:rPr>
        <w:t>prooxidant</w:t>
      </w:r>
      <w:proofErr w:type="spellEnd"/>
      <w:r w:rsidR="003326CE" w:rsidRPr="003326CE">
        <w:rPr>
          <w:rFonts w:ascii="Times New Roman" w:eastAsia="Times New Roman" w:hAnsi="Times New Roman" w:cs="Times New Roman"/>
          <w:color w:val="000000"/>
          <w:sz w:val="24"/>
          <w:szCs w:val="24"/>
          <w:lang w:val="en-US"/>
        </w:rPr>
        <w:t xml:space="preserve"> antioxidant</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 xml:space="preserve">and </w:t>
      </w:r>
      <w:proofErr w:type="spellStart"/>
      <w:r w:rsidR="003326CE" w:rsidRPr="003326CE">
        <w:rPr>
          <w:rFonts w:ascii="Times New Roman" w:eastAsia="Times New Roman" w:hAnsi="Times New Roman" w:cs="Times New Roman"/>
          <w:color w:val="000000"/>
          <w:sz w:val="24"/>
          <w:szCs w:val="24"/>
          <w:lang w:val="en-US"/>
        </w:rPr>
        <w:t>calicreatin-kinin</w:t>
      </w:r>
      <w:proofErr w:type="spellEnd"/>
      <w:r w:rsidR="003326CE" w:rsidRPr="003326CE">
        <w:rPr>
          <w:rFonts w:ascii="Times New Roman" w:eastAsia="Times New Roman" w:hAnsi="Times New Roman" w:cs="Times New Roman"/>
          <w:color w:val="000000"/>
          <w:sz w:val="24"/>
          <w:szCs w:val="24"/>
          <w:lang w:val="en-US"/>
        </w:rPr>
        <w:t xml:space="preserve"> (CCS) systems</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12</w:t>
      </w:r>
      <w:r>
        <w:rPr>
          <w:rFonts w:ascii="Times New Roman" w:eastAsia="Times New Roman" w:hAnsi="Times New Roman" w:cs="Times New Roman"/>
          <w:color w:val="000000"/>
          <w:sz w:val="24"/>
          <w:szCs w:val="24"/>
          <w:lang w:val="en-US"/>
        </w:rPr>
        <w:t>]</w:t>
      </w:r>
      <w:r w:rsidR="003326CE" w:rsidRPr="003326CE">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These epidemiological data due</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largely</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 xml:space="preserve">preserving the importance of the main etiological factors XII, alcohol abuse, presence of liver and </w:t>
      </w:r>
      <w:proofErr w:type="spellStart"/>
      <w:r w:rsidR="003326CE" w:rsidRPr="003326CE">
        <w:rPr>
          <w:rFonts w:ascii="Times New Roman" w:eastAsia="Times New Roman" w:hAnsi="Times New Roman" w:cs="Times New Roman"/>
          <w:color w:val="000000"/>
          <w:sz w:val="24"/>
          <w:szCs w:val="24"/>
          <w:lang w:val="en-US"/>
        </w:rPr>
        <w:t>biliary</w:t>
      </w:r>
      <w:proofErr w:type="spellEnd"/>
      <w:r w:rsidR="003326CE" w:rsidRPr="003326CE">
        <w:rPr>
          <w:rFonts w:ascii="Times New Roman" w:eastAsia="Times New Roman" w:hAnsi="Times New Roman" w:cs="Times New Roman"/>
          <w:color w:val="000000"/>
          <w:sz w:val="24"/>
          <w:szCs w:val="24"/>
          <w:lang w:val="en-US"/>
        </w:rPr>
        <w:t xml:space="preserve"> tract diseases, stomach and duodenal ulcers, </w:t>
      </w:r>
      <w:proofErr w:type="spellStart"/>
      <w:r w:rsidR="003326CE" w:rsidRPr="003326CE">
        <w:rPr>
          <w:rFonts w:ascii="Times New Roman" w:eastAsia="Times New Roman" w:hAnsi="Times New Roman" w:cs="Times New Roman"/>
          <w:color w:val="000000"/>
          <w:sz w:val="24"/>
          <w:szCs w:val="24"/>
          <w:lang w:val="en-US"/>
        </w:rPr>
        <w:t>hyperlipidemia</w:t>
      </w:r>
      <w:proofErr w:type="spellEnd"/>
      <w:r w:rsidR="003326CE" w:rsidRPr="003326CE">
        <w:rPr>
          <w:rFonts w:ascii="Times New Roman" w:eastAsia="Times New Roman" w:hAnsi="Times New Roman" w:cs="Times New Roman"/>
          <w:color w:val="000000"/>
          <w:sz w:val="24"/>
          <w:szCs w:val="24"/>
          <w:lang w:val="en-US"/>
        </w:rPr>
        <w:t>, a component of atherosclerosis, as well as increased exposure to adverse environmental factors</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9</w:t>
      </w:r>
      <w:r>
        <w:rPr>
          <w:rFonts w:ascii="Times New Roman" w:eastAsia="Times New Roman" w:hAnsi="Times New Roman" w:cs="Times New Roman"/>
          <w:color w:val="000000"/>
          <w:sz w:val="24"/>
          <w:szCs w:val="24"/>
          <w:lang w:val="en-US"/>
        </w:rPr>
        <w:t>]</w:t>
      </w:r>
      <w:r w:rsidR="003326CE" w:rsidRPr="003326CE">
        <w:rPr>
          <w:rFonts w:ascii="Times New Roman" w:eastAsia="Times New Roman" w:hAnsi="Times New Roman" w:cs="Times New Roman"/>
          <w:color w:val="000000"/>
          <w:sz w:val="24"/>
          <w:szCs w:val="24"/>
          <w:lang w:val="en-US"/>
        </w:rPr>
        <w:t>.</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It is known about the negative effect of CP on the cardiovascular system.</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Found that in</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15.5%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of patients with gastroenterological diseases,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including 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from</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pancreatitis,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occurs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stable coronary heart disease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(SIHS)</w:t>
      </w:r>
      <w:r w:rsidR="0056444D">
        <w:rPr>
          <w:rFonts w:ascii="Times New Roman" w:eastAsia="Times New Roman" w:hAnsi="Times New Roman" w:cs="Times New Roman"/>
          <w:color w:val="000000"/>
          <w:sz w:val="24"/>
          <w:szCs w:val="24"/>
          <w:lang w:val="en-US"/>
        </w:rPr>
        <w:t xml:space="preserve"> — </w:t>
      </w:r>
      <w:r w:rsidRPr="003326CE">
        <w:rPr>
          <w:rFonts w:ascii="Times New Roman" w:eastAsia="Times New Roman" w:hAnsi="Times New Roman" w:cs="Times New Roman"/>
          <w:color w:val="000000"/>
          <w:sz w:val="24"/>
          <w:szCs w:val="24"/>
          <w:lang w:val="en-US"/>
        </w:rPr>
        <w:t>angina or atherosclerosis or claim</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ostinfarktnyy</w:t>
      </w:r>
      <w:proofErr w:type="spellEnd"/>
      <w:r w:rsidRPr="003326CE">
        <w:rPr>
          <w:rFonts w:ascii="Times New Roman" w:eastAsia="Times New Roman" w:hAnsi="Times New Roman" w:cs="Times New Roman"/>
          <w:color w:val="000000"/>
          <w:sz w:val="24"/>
          <w:szCs w:val="24"/>
          <w:lang w:val="en-US"/>
        </w:rPr>
        <w:t xml:space="preserve"> infarction</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4].</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To date, very relevant, while a poorly understood cause of CP,</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and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coronary artery</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disease,</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hyperlipidemia</w:t>
      </w:r>
      <w:proofErr w:type="spellEnd"/>
      <w:r w:rsidRPr="003326CE">
        <w:rPr>
          <w:rFonts w:ascii="Times New Roman" w:eastAsia="Times New Roman" w:hAnsi="Times New Roman" w:cs="Times New Roman"/>
          <w:color w:val="000000"/>
          <w:sz w:val="24"/>
          <w:szCs w:val="24"/>
          <w:lang w:val="en-US"/>
        </w:rPr>
        <w:t xml:space="preserve"> is,</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rather</w:t>
      </w:r>
      <w:proofErr w:type="gramStart"/>
      <w:r w:rsidRPr="003326CE">
        <w:rPr>
          <w:rFonts w:ascii="Times New Roman" w:eastAsia="Times New Roman" w:hAnsi="Times New Roman" w:cs="Times New Roman"/>
          <w:color w:val="000000"/>
          <w:sz w:val="24"/>
          <w:szCs w:val="24"/>
          <w:lang w:val="en-US"/>
        </w:rPr>
        <w:t>,dyslipidemia</w:t>
      </w:r>
      <w:proofErr w:type="spellEnd"/>
      <w:proofErr w:type="gramEnd"/>
      <w:r w:rsidRPr="003326CE">
        <w:rPr>
          <w:rFonts w:ascii="Times New Roman" w:eastAsia="Times New Roman" w:hAnsi="Times New Roman" w:cs="Times New Roman"/>
          <w:color w:val="000000"/>
          <w:sz w:val="24"/>
          <w:szCs w:val="24"/>
          <w:lang w:val="en-US"/>
        </w:rPr>
        <w:t>, which l</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ezhyt</w:t>
      </w:r>
      <w:proofErr w:type="spellEnd"/>
      <w:r w:rsidRPr="003326CE">
        <w:rPr>
          <w:rFonts w:ascii="Times New Roman" w:eastAsia="Times New Roman" w:hAnsi="Times New Roman" w:cs="Times New Roman"/>
          <w:color w:val="000000"/>
          <w:sz w:val="24"/>
          <w:szCs w:val="24"/>
          <w:lang w:val="en-US"/>
        </w:rPr>
        <w:t xml:space="preserve"> the basis of atherosclerosis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[7,</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16].</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The violation of lipid metabolism is often associated with the so-called lipid triad: increased levels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of very low density lipoprotein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LDL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or triglycerides (TG), low density </w:t>
      </w:r>
      <w:proofErr w:type="spellStart"/>
      <w:r w:rsidRPr="003326CE">
        <w:rPr>
          <w:rFonts w:ascii="Times New Roman" w:eastAsia="Times New Roman" w:hAnsi="Times New Roman" w:cs="Times New Roman"/>
          <w:color w:val="000000"/>
          <w:sz w:val="24"/>
          <w:szCs w:val="24"/>
          <w:lang w:val="en-US"/>
        </w:rPr>
        <w:t>atherogenic</w:t>
      </w:r>
      <w:proofErr w:type="spellEnd"/>
      <w:r w:rsidRPr="003326CE">
        <w:rPr>
          <w:rFonts w:ascii="Times New Roman" w:eastAsia="Times New Roman" w:hAnsi="Times New Roman" w:cs="Times New Roman"/>
          <w:color w:val="000000"/>
          <w:sz w:val="24"/>
          <w:szCs w:val="24"/>
          <w:lang w:val="en-US"/>
        </w:rPr>
        <w:t xml:space="preserve"> lipoprotein (LDL), and low density lipoprotein (HDL).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This triad is at the heart of the pathogenesis of atherosclerosis, CIHS and other</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diseases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general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8</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14,</w:t>
      </w:r>
      <w:r w:rsidR="0056444D">
        <w:rPr>
          <w:rFonts w:ascii="Times New Roman" w:eastAsia="Times New Roman" w:hAnsi="Times New Roman" w:cs="Times New Roman"/>
          <w:color w:val="000000"/>
          <w:sz w:val="24"/>
          <w:szCs w:val="24"/>
          <w:lang w:val="en-US"/>
        </w:rPr>
        <w:t xml:space="preserve"> </w:t>
      </w:r>
      <w:proofErr w:type="gramStart"/>
      <w:r w:rsidRPr="003326CE">
        <w:rPr>
          <w:rFonts w:ascii="Times New Roman" w:eastAsia="Times New Roman" w:hAnsi="Times New Roman" w:cs="Times New Roman"/>
          <w:color w:val="000000"/>
          <w:sz w:val="24"/>
          <w:szCs w:val="24"/>
          <w:lang w:val="en-US"/>
        </w:rPr>
        <w:t>20</w:t>
      </w:r>
      <w:proofErr w:type="gramEnd"/>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 xml:space="preserve">It is known that CP in combination with CICS is accompanied by a lipid metabolism disorder (hyperthyroidism and </w:t>
      </w:r>
      <w:proofErr w:type="spellStart"/>
      <w:r w:rsidRPr="003326CE">
        <w:rPr>
          <w:rFonts w:ascii="Times New Roman" w:eastAsia="Times New Roman" w:hAnsi="Times New Roman" w:cs="Times New Roman"/>
          <w:color w:val="000000"/>
          <w:sz w:val="24"/>
          <w:szCs w:val="24"/>
          <w:lang w:val="en-US"/>
        </w:rPr>
        <w:t>dyslipidemia</w:t>
      </w:r>
      <w:proofErr w:type="spellEnd"/>
      <w:r w:rsidRPr="003326CE">
        <w:rPr>
          <w:rFonts w:ascii="Times New Roman" w:eastAsia="Times New Roman" w:hAnsi="Times New Roman" w:cs="Times New Roman"/>
          <w:color w:val="000000"/>
          <w:sz w:val="24"/>
          <w:szCs w:val="24"/>
          <w:lang w:val="en-US"/>
        </w:rPr>
        <w:t xml:space="preserve">), the most important of which is </w:t>
      </w:r>
      <w:proofErr w:type="spellStart"/>
      <w:r w:rsidRPr="003326CE">
        <w:rPr>
          <w:rFonts w:ascii="Times New Roman" w:eastAsia="Times New Roman" w:hAnsi="Times New Roman" w:cs="Times New Roman"/>
          <w:color w:val="000000"/>
          <w:sz w:val="24"/>
          <w:szCs w:val="24"/>
          <w:lang w:val="en-US"/>
        </w:rPr>
        <w:t>hypertriglyceridemia</w:t>
      </w:r>
      <w:proofErr w:type="spellEnd"/>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Preparations of basic therapy (</w:t>
      </w:r>
      <w:proofErr w:type="spellStart"/>
      <w:r w:rsidRPr="003326CE">
        <w:rPr>
          <w:rFonts w:ascii="Times New Roman" w:eastAsia="Times New Roman" w:hAnsi="Times New Roman" w:cs="Times New Roman"/>
          <w:color w:val="000000"/>
          <w:sz w:val="24"/>
          <w:szCs w:val="24"/>
          <w:lang w:val="en-US"/>
        </w:rPr>
        <w:t>statins</w:t>
      </w:r>
      <w:proofErr w:type="spellEnd"/>
      <w:r w:rsidRPr="003326CE">
        <w:rPr>
          <w:rFonts w:ascii="Times New Roman" w:eastAsia="Times New Roman" w:hAnsi="Times New Roman" w:cs="Times New Roman"/>
          <w:color w:val="000000"/>
          <w:sz w:val="24"/>
          <w:szCs w:val="24"/>
          <w:lang w:val="en-US"/>
        </w:rPr>
        <w:t>) inhibit the synthesis of cholesterol, directly reducing the amount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LDL cholesterol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On the fraction of triglycerides </w:t>
      </w:r>
      <w:proofErr w:type="spellStart"/>
      <w:r w:rsidRPr="003326CE">
        <w:rPr>
          <w:rFonts w:ascii="Times New Roman" w:eastAsia="Times New Roman" w:hAnsi="Times New Roman" w:cs="Times New Roman"/>
          <w:color w:val="000000"/>
          <w:sz w:val="24"/>
          <w:szCs w:val="24"/>
          <w:lang w:val="en-US"/>
        </w:rPr>
        <w:t>statins</w:t>
      </w:r>
      <w:proofErr w:type="spellEnd"/>
      <w:r w:rsidRPr="003326CE">
        <w:rPr>
          <w:rFonts w:ascii="Times New Roman" w:eastAsia="Times New Roman" w:hAnsi="Times New Roman" w:cs="Times New Roman"/>
          <w:color w:val="000000"/>
          <w:sz w:val="24"/>
          <w:szCs w:val="24"/>
          <w:lang w:val="en-US"/>
        </w:rPr>
        <w:t xml:space="preserve"> act only through a certain cascade of </w:t>
      </w:r>
      <w:proofErr w:type="spellStart"/>
      <w:r w:rsidRPr="003326CE">
        <w:rPr>
          <w:rFonts w:ascii="Times New Roman" w:eastAsia="Times New Roman" w:hAnsi="Times New Roman" w:cs="Times New Roman"/>
          <w:color w:val="000000"/>
          <w:sz w:val="24"/>
          <w:szCs w:val="24"/>
          <w:lang w:val="en-US"/>
        </w:rPr>
        <w:t>biochemicaltransfusion</w:t>
      </w:r>
      <w:proofErr w:type="spellEnd"/>
      <w:r w:rsidRPr="003326CE">
        <w:rPr>
          <w:rFonts w:ascii="Times New Roman" w:eastAsia="Times New Roman" w:hAnsi="Times New Roman" w:cs="Times New Roman"/>
          <w:color w:val="000000"/>
          <w:sz w:val="24"/>
          <w:szCs w:val="24"/>
          <w:lang w:val="en-US"/>
        </w:rPr>
        <w:t xml:space="preserve">, that is, indirectly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10</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A drug was chosen that could enhance the lipid-lowering effect of </w:t>
      </w:r>
      <w:proofErr w:type="spellStart"/>
      <w:r w:rsidRPr="003326CE">
        <w:rPr>
          <w:rFonts w:ascii="Times New Roman" w:eastAsia="Times New Roman" w:hAnsi="Times New Roman" w:cs="Times New Roman"/>
          <w:color w:val="000000"/>
          <w:sz w:val="24"/>
          <w:szCs w:val="24"/>
          <w:lang w:val="en-US"/>
        </w:rPr>
        <w:t>statins</w:t>
      </w:r>
      <w:proofErr w:type="spellEnd"/>
      <w:r w:rsidRPr="003326CE">
        <w:rPr>
          <w:rFonts w:ascii="Times New Roman" w:eastAsia="Times New Roman" w:hAnsi="Times New Roman" w:cs="Times New Roman"/>
          <w:color w:val="000000"/>
          <w:sz w:val="24"/>
          <w:szCs w:val="24"/>
          <w:lang w:val="en-US"/>
        </w:rPr>
        <w:t xml:space="preserve"> and directly affect </w:t>
      </w:r>
      <w:proofErr w:type="spellStart"/>
      <w:r w:rsidRPr="003326CE">
        <w:rPr>
          <w:rFonts w:ascii="Times New Roman" w:eastAsia="Times New Roman" w:hAnsi="Times New Roman" w:cs="Times New Roman"/>
          <w:color w:val="000000"/>
          <w:sz w:val="24"/>
          <w:szCs w:val="24"/>
          <w:lang w:val="en-US"/>
        </w:rPr>
        <w:t>hypertriglyceridemia</w:t>
      </w:r>
      <w:proofErr w:type="spellEnd"/>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Our choice has stopped on the preparation of omega-3polyunsaturated fatty acids (PUFA)</w:t>
      </w:r>
      <w:r w:rsidR="0056444D">
        <w:rPr>
          <w:rFonts w:ascii="Times New Roman" w:eastAsia="Times New Roman" w:hAnsi="Times New Roman" w:cs="Times New Roman"/>
          <w:color w:val="000000"/>
          <w:sz w:val="24"/>
          <w:szCs w:val="24"/>
          <w:lang w:val="en-US"/>
        </w:rPr>
        <w:t xml:space="preserve"> — </w:t>
      </w:r>
      <w:proofErr w:type="spellStart"/>
      <w:r w:rsidRPr="003326CE">
        <w:rPr>
          <w:rFonts w:ascii="Times New Roman" w:eastAsia="Times New Roman" w:hAnsi="Times New Roman" w:cs="Times New Roman"/>
          <w:color w:val="000000"/>
          <w:sz w:val="24"/>
          <w:szCs w:val="24"/>
          <w:lang w:val="en-US"/>
        </w:rPr>
        <w:t>Omakor</w:t>
      </w:r>
      <w:proofErr w:type="spellEnd"/>
      <w:r w:rsidRPr="003326CE">
        <w:rPr>
          <w:rFonts w:ascii="Times New Roman" w:eastAsia="Times New Roman" w:hAnsi="Times New Roman" w:cs="Times New Roman"/>
          <w:color w:val="000000"/>
          <w:sz w:val="24"/>
          <w:szCs w:val="24"/>
          <w:lang w:val="en-US"/>
        </w:rPr>
        <w:t>, certified by 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DA.</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Each capsule of </w:t>
      </w:r>
      <w:proofErr w:type="spellStart"/>
      <w:r w:rsidRPr="003326CE">
        <w:rPr>
          <w:rFonts w:ascii="Times New Roman" w:eastAsia="Times New Roman" w:hAnsi="Times New Roman" w:cs="Times New Roman"/>
          <w:color w:val="000000"/>
          <w:sz w:val="24"/>
          <w:szCs w:val="24"/>
          <w:lang w:val="en-US"/>
        </w:rPr>
        <w:t>Omacoru</w:t>
      </w:r>
      <w:proofErr w:type="spellEnd"/>
      <w:r w:rsidRPr="003326CE">
        <w:rPr>
          <w:rFonts w:ascii="Times New Roman" w:eastAsia="Times New Roman" w:hAnsi="Times New Roman" w:cs="Times New Roman"/>
          <w:color w:val="000000"/>
          <w:sz w:val="24"/>
          <w:szCs w:val="24"/>
          <w:lang w:val="en-US"/>
        </w:rPr>
        <w:t xml:space="preserve"> (1000</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mg) contains 460</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mg </w:t>
      </w:r>
      <w:proofErr w:type="spellStart"/>
      <w:r w:rsidRPr="003326CE">
        <w:rPr>
          <w:rFonts w:ascii="Times New Roman" w:eastAsia="Times New Roman" w:hAnsi="Times New Roman" w:cs="Times New Roman"/>
          <w:color w:val="000000"/>
          <w:sz w:val="24"/>
          <w:szCs w:val="24"/>
          <w:lang w:val="en-US"/>
        </w:rPr>
        <w:t>eicosapentaeno</w:t>
      </w:r>
      <w:proofErr w:type="spellEnd"/>
      <w:r w:rsidRPr="003326CE">
        <w:rPr>
          <w:rFonts w:ascii="Times New Roman" w:eastAsia="Times New Roman" w:hAnsi="Times New Roman" w:cs="Times New Roman"/>
          <w:color w:val="000000"/>
          <w:sz w:val="24"/>
          <w:szCs w:val="24"/>
          <w:lang w:val="en-US"/>
        </w:rPr>
        <w:t>, 380</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mg of</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okozahexaenoic</w:t>
      </w:r>
      <w:proofErr w:type="spellEnd"/>
      <w:r w:rsidRPr="003326CE">
        <w:rPr>
          <w:rFonts w:ascii="Times New Roman" w:eastAsia="Times New Roman" w:hAnsi="Times New Roman" w:cs="Times New Roman"/>
          <w:color w:val="000000"/>
          <w:sz w:val="24"/>
          <w:szCs w:val="24"/>
          <w:lang w:val="en-US"/>
        </w:rPr>
        <w:t xml:space="preserve"> acid and 160</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mg</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mg</w:t>
      </w:r>
      <w:proofErr w:type="spellEnd"/>
      <w:r w:rsidRPr="003326CE">
        <w:rPr>
          <w:rFonts w:ascii="Times New Roman" w:eastAsia="Times New Roman" w:hAnsi="Times New Roman" w:cs="Times New Roman"/>
          <w:color w:val="000000"/>
          <w:sz w:val="24"/>
          <w:szCs w:val="24"/>
          <w:lang w:val="en-US"/>
        </w:rPr>
        <w:t xml:space="preserve"> of auxiliary substances: alpha-</w:t>
      </w:r>
      <w:proofErr w:type="spellStart"/>
      <w:r w:rsidRPr="003326CE">
        <w:rPr>
          <w:rFonts w:ascii="Times New Roman" w:eastAsia="Times New Roman" w:hAnsi="Times New Roman" w:cs="Times New Roman"/>
          <w:color w:val="000000"/>
          <w:sz w:val="24"/>
          <w:szCs w:val="24"/>
          <w:lang w:val="en-US"/>
        </w:rPr>
        <w:t>tocopherol</w:t>
      </w:r>
      <w:proofErr w:type="spellEnd"/>
      <w:r w:rsidRPr="003326CE">
        <w:rPr>
          <w:rFonts w:ascii="Times New Roman" w:eastAsia="Times New Roman" w:hAnsi="Times New Roman" w:cs="Times New Roman"/>
          <w:color w:val="000000"/>
          <w:sz w:val="24"/>
          <w:szCs w:val="24"/>
          <w:lang w:val="en-US"/>
        </w:rPr>
        <w:t xml:space="preserve">, gelatin, </w:t>
      </w:r>
      <w:proofErr w:type="gramStart"/>
      <w:r w:rsidRPr="003326CE">
        <w:rPr>
          <w:rFonts w:ascii="Times New Roman" w:eastAsia="Times New Roman" w:hAnsi="Times New Roman" w:cs="Times New Roman"/>
          <w:color w:val="000000"/>
          <w:sz w:val="24"/>
          <w:szCs w:val="24"/>
          <w:lang w:val="en-US"/>
        </w:rPr>
        <w:t>glycerol</w:t>
      </w:r>
      <w:proofErr w:type="gramEnd"/>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Unlike other drugs of this group, in </w:t>
      </w:r>
      <w:proofErr w:type="spellStart"/>
      <w:r w:rsidRPr="003326CE">
        <w:rPr>
          <w:rFonts w:ascii="Times New Roman" w:eastAsia="Times New Roman" w:hAnsi="Times New Roman" w:cs="Times New Roman"/>
          <w:color w:val="000000"/>
          <w:sz w:val="24"/>
          <w:szCs w:val="24"/>
          <w:lang w:val="en-US"/>
        </w:rPr>
        <w:t>Omakor</w:t>
      </w:r>
      <w:proofErr w:type="spellEnd"/>
      <w:r w:rsidRPr="003326CE">
        <w:rPr>
          <w:rFonts w:ascii="Times New Roman" w:eastAsia="Times New Roman" w:hAnsi="Times New Roman" w:cs="Times New Roman"/>
          <w:color w:val="000000"/>
          <w:sz w:val="24"/>
          <w:szCs w:val="24"/>
          <w:lang w:val="en-US"/>
        </w:rPr>
        <w:t>, omega-3 PUFAs are contained in biochemically active compounds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ethyl esters.</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Hypolipidemic</w:t>
      </w:r>
      <w:proofErr w:type="spellEnd"/>
      <w:r w:rsidRPr="003326CE">
        <w:rPr>
          <w:rFonts w:ascii="Times New Roman" w:eastAsia="Times New Roman" w:hAnsi="Times New Roman" w:cs="Times New Roman"/>
          <w:color w:val="000000"/>
          <w:sz w:val="24"/>
          <w:szCs w:val="24"/>
          <w:lang w:val="en-US"/>
        </w:rPr>
        <w:t xml:space="preserve"> action of </w:t>
      </w:r>
      <w:proofErr w:type="spellStart"/>
      <w:r w:rsidRPr="003326CE">
        <w:rPr>
          <w:rFonts w:ascii="Times New Roman" w:eastAsia="Times New Roman" w:hAnsi="Times New Roman" w:cs="Times New Roman"/>
          <w:color w:val="000000"/>
          <w:sz w:val="24"/>
          <w:szCs w:val="24"/>
          <w:lang w:val="en-US"/>
        </w:rPr>
        <w:t>Omacor</w:t>
      </w:r>
      <w:proofErr w:type="spellEnd"/>
      <w:r w:rsidRPr="003326CE">
        <w:rPr>
          <w:rFonts w:ascii="Times New Roman" w:eastAsia="Times New Roman" w:hAnsi="Times New Roman" w:cs="Times New Roman"/>
          <w:color w:val="000000"/>
          <w:sz w:val="24"/>
          <w:szCs w:val="24"/>
          <w:lang w:val="en-US"/>
        </w:rPr>
        <w:t xml:space="preserve"> is due to the ability of </w:t>
      </w:r>
      <w:proofErr w:type="spellStart"/>
      <w:r w:rsidRPr="003326CE">
        <w:rPr>
          <w:rFonts w:ascii="Times New Roman" w:eastAsia="Times New Roman" w:hAnsi="Times New Roman" w:cs="Times New Roman"/>
          <w:color w:val="000000"/>
          <w:sz w:val="24"/>
          <w:szCs w:val="24"/>
          <w:lang w:val="en-US"/>
        </w:rPr>
        <w:t>eicosapentaenoic</w:t>
      </w:r>
      <w:proofErr w:type="spellEnd"/>
      <w:r w:rsidRPr="003326CE">
        <w:rPr>
          <w:rFonts w:ascii="Times New Roman" w:eastAsia="Times New Roman" w:hAnsi="Times New Roman" w:cs="Times New Roman"/>
          <w:color w:val="000000"/>
          <w:sz w:val="24"/>
          <w:szCs w:val="24"/>
          <w:lang w:val="en-US"/>
        </w:rPr>
        <w:t xml:space="preserve"> and </w:t>
      </w:r>
      <w:proofErr w:type="spellStart"/>
      <w:r w:rsidRPr="003326CE">
        <w:rPr>
          <w:rFonts w:ascii="Times New Roman" w:eastAsia="Times New Roman" w:hAnsi="Times New Roman" w:cs="Times New Roman"/>
          <w:color w:val="000000"/>
          <w:sz w:val="24"/>
          <w:szCs w:val="24"/>
          <w:lang w:val="en-US"/>
        </w:rPr>
        <w:t>docosahexaenoic</w:t>
      </w:r>
      <w:proofErr w:type="spellEnd"/>
      <w:r w:rsidRPr="003326CE">
        <w:rPr>
          <w:rFonts w:ascii="Times New Roman" w:eastAsia="Times New Roman" w:hAnsi="Times New Roman" w:cs="Times New Roman"/>
          <w:color w:val="000000"/>
          <w:sz w:val="24"/>
          <w:szCs w:val="24"/>
          <w:lang w:val="en-US"/>
        </w:rPr>
        <w:t xml:space="preserve"> acids to inhibit the activity of enzymes responsible for the synthesis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triglycerides in liver cells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18</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19</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proofErr w:type="gramStart"/>
      <w:r w:rsidRPr="003326CE">
        <w:rPr>
          <w:rFonts w:ascii="Times New Roman" w:eastAsia="Times New Roman" w:hAnsi="Times New Roman" w:cs="Times New Roman"/>
          <w:color w:val="000000"/>
          <w:sz w:val="24"/>
          <w:szCs w:val="24"/>
          <w:lang w:val="en-US"/>
        </w:rPr>
        <w:t>Also,</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omega-3 PUFAs </w:t>
      </w:r>
      <w:proofErr w:type="spellStart"/>
      <w:r w:rsidRPr="003326CE">
        <w:rPr>
          <w:rFonts w:ascii="Times New Roman" w:eastAsia="Times New Roman" w:hAnsi="Times New Roman" w:cs="Times New Roman"/>
          <w:color w:val="000000"/>
          <w:sz w:val="24"/>
          <w:szCs w:val="24"/>
          <w:lang w:val="en-US"/>
        </w:rPr>
        <w:t>haveanticoagulation</w:t>
      </w:r>
      <w:proofErr w:type="spellEnd"/>
      <w:r w:rsidRPr="003326CE">
        <w:rPr>
          <w:rFonts w:ascii="Times New Roman" w:eastAsia="Times New Roman" w:hAnsi="Times New Roman" w:cs="Times New Roman"/>
          <w:color w:val="000000"/>
          <w:sz w:val="24"/>
          <w:szCs w:val="24"/>
          <w:lang w:val="en-US"/>
        </w:rPr>
        <w:t>, anti-aggregate, anti-inflammatory</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antioxidant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and </w:t>
      </w:r>
      <w:proofErr w:type="spellStart"/>
      <w:r w:rsidRPr="003326CE">
        <w:rPr>
          <w:rFonts w:ascii="Times New Roman" w:eastAsia="Times New Roman" w:hAnsi="Times New Roman" w:cs="Times New Roman"/>
          <w:color w:val="000000"/>
          <w:sz w:val="24"/>
          <w:szCs w:val="24"/>
          <w:lang w:val="en-US"/>
        </w:rPr>
        <w:t>immunomodulatory</w:t>
      </w:r>
      <w:proofErr w:type="spellEnd"/>
      <w:r w:rsidRPr="003326CE">
        <w:rPr>
          <w:rFonts w:ascii="Times New Roman" w:eastAsia="Times New Roman" w:hAnsi="Times New Roman" w:cs="Times New Roman"/>
          <w:color w:val="000000"/>
          <w:sz w:val="24"/>
          <w:szCs w:val="24"/>
          <w:lang w:val="en-US"/>
        </w:rPr>
        <w:t xml:space="preserve"> effects.</w:t>
      </w:r>
      <w:proofErr w:type="gramEnd"/>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It has been proved that in</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patients with </w:t>
      </w:r>
      <w:proofErr w:type="spellStart"/>
      <w:r w:rsidRPr="003326CE">
        <w:rPr>
          <w:rFonts w:ascii="Times New Roman" w:eastAsia="Times New Roman" w:hAnsi="Times New Roman" w:cs="Times New Roman"/>
          <w:color w:val="000000"/>
          <w:sz w:val="24"/>
          <w:szCs w:val="24"/>
          <w:lang w:val="en-US"/>
        </w:rPr>
        <w:t>comorbid</w:t>
      </w:r>
      <w:proofErr w:type="spellEnd"/>
      <w:r w:rsidRPr="003326CE">
        <w:rPr>
          <w:rFonts w:ascii="Times New Roman" w:eastAsia="Times New Roman" w:hAnsi="Times New Roman" w:cs="Times New Roman"/>
          <w:color w:val="000000"/>
          <w:sz w:val="24"/>
          <w:szCs w:val="24"/>
          <w:lang w:val="en-US"/>
        </w:rPr>
        <w:t xml:space="preserve"> flow of CP and CICS activation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lipid </w:t>
      </w:r>
      <w:proofErr w:type="spellStart"/>
      <w:r w:rsidRPr="003326CE">
        <w:rPr>
          <w:rFonts w:ascii="Times New Roman" w:eastAsia="Times New Roman" w:hAnsi="Times New Roman" w:cs="Times New Roman"/>
          <w:color w:val="000000"/>
          <w:sz w:val="24"/>
          <w:szCs w:val="24"/>
          <w:lang w:val="en-US"/>
        </w:rPr>
        <w:t>peroxidation</w:t>
      </w:r>
      <w:proofErr w:type="spellEnd"/>
      <w:r w:rsidRPr="003326CE">
        <w:rPr>
          <w:rFonts w:ascii="Times New Roman" w:eastAsia="Times New Roman" w:hAnsi="Times New Roman" w:cs="Times New Roman"/>
          <w:color w:val="000000"/>
          <w:sz w:val="24"/>
          <w:szCs w:val="24"/>
          <w:lang w:val="en-US"/>
        </w:rPr>
        <w:t xml:space="preserve">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LPO</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occurs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while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antioxidant system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AOS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deficiency develops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Thus, the </w:t>
      </w:r>
      <w:r w:rsidRPr="003326CE">
        <w:rPr>
          <w:rFonts w:ascii="Times New Roman" w:eastAsia="Times New Roman" w:hAnsi="Times New Roman" w:cs="Times New Roman"/>
          <w:color w:val="000000"/>
          <w:sz w:val="24"/>
          <w:szCs w:val="24"/>
          <w:lang w:val="en-US"/>
        </w:rPr>
        <w:lastRenderedPageBreak/>
        <w:t xml:space="preserve">imbalance in the POL-AOS system is a damaging link in the metabolic control chain, which affects the formation and progression of </w:t>
      </w:r>
      <w:r w:rsidR="0056444D">
        <w:rPr>
          <w:rFonts w:ascii="Times New Roman" w:eastAsia="Times New Roman" w:hAnsi="Times New Roman" w:cs="Times New Roman"/>
          <w:color w:val="000000"/>
          <w:sz w:val="24"/>
          <w:szCs w:val="24"/>
          <w:lang w:val="en-US"/>
        </w:rPr>
        <w:t>CP</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Also, the presence and depth of violations in the LPO-AOS largely determine the severity of the course of the disease.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In oxidative stress, free radicals block the metabolism of </w:t>
      </w:r>
      <w:proofErr w:type="spellStart"/>
      <w:r w:rsidRPr="003326CE">
        <w:rPr>
          <w:rFonts w:ascii="Times New Roman" w:eastAsia="Times New Roman" w:hAnsi="Times New Roman" w:cs="Times New Roman"/>
          <w:color w:val="000000"/>
          <w:sz w:val="24"/>
          <w:szCs w:val="24"/>
          <w:lang w:val="en-US"/>
        </w:rPr>
        <w:t>acinar</w:t>
      </w:r>
      <w:proofErr w:type="spellEnd"/>
      <w:r w:rsidRPr="003326CE">
        <w:rPr>
          <w:rFonts w:ascii="Times New Roman" w:eastAsia="Times New Roman" w:hAnsi="Times New Roman" w:cs="Times New Roman"/>
          <w:color w:val="000000"/>
          <w:sz w:val="24"/>
          <w:szCs w:val="24"/>
          <w:lang w:val="en-US"/>
        </w:rPr>
        <w:t xml:space="preserve"> cells, melt </w:t>
      </w:r>
      <w:proofErr w:type="spellStart"/>
      <w:r w:rsidRPr="003326CE">
        <w:rPr>
          <w:rFonts w:ascii="Times New Roman" w:eastAsia="Times New Roman" w:hAnsi="Times New Roman" w:cs="Times New Roman"/>
          <w:color w:val="000000"/>
          <w:sz w:val="24"/>
          <w:szCs w:val="24"/>
          <w:lang w:val="en-US"/>
        </w:rPr>
        <w:t>lysosomal</w:t>
      </w:r>
      <w:proofErr w:type="spellEnd"/>
      <w:r w:rsidRPr="003326CE">
        <w:rPr>
          <w:rFonts w:ascii="Times New Roman" w:eastAsia="Times New Roman" w:hAnsi="Times New Roman" w:cs="Times New Roman"/>
          <w:color w:val="000000"/>
          <w:sz w:val="24"/>
          <w:szCs w:val="24"/>
          <w:lang w:val="en-US"/>
        </w:rPr>
        <w:t xml:space="preserve"> granules and </w:t>
      </w:r>
      <w:proofErr w:type="spellStart"/>
      <w:r w:rsidRPr="003326CE">
        <w:rPr>
          <w:rFonts w:ascii="Times New Roman" w:eastAsia="Times New Roman" w:hAnsi="Times New Roman" w:cs="Times New Roman"/>
          <w:color w:val="000000"/>
          <w:sz w:val="24"/>
          <w:szCs w:val="24"/>
          <w:lang w:val="en-US"/>
        </w:rPr>
        <w:t>zymogen</w:t>
      </w:r>
      <w:proofErr w:type="spellEnd"/>
      <w:r w:rsidRPr="003326CE">
        <w:rPr>
          <w:rFonts w:ascii="Times New Roman" w:eastAsia="Times New Roman" w:hAnsi="Times New Roman" w:cs="Times New Roman"/>
          <w:color w:val="000000"/>
          <w:sz w:val="24"/>
          <w:szCs w:val="24"/>
          <w:lang w:val="en-US"/>
        </w:rPr>
        <w:t xml:space="preserve"> granules, oxidize lipids of cell membranes, resulting in an inflammatory reaction with mast cell </w:t>
      </w:r>
      <w:proofErr w:type="spellStart"/>
      <w:r w:rsidRPr="003326CE">
        <w:rPr>
          <w:rFonts w:ascii="Times New Roman" w:eastAsia="Times New Roman" w:hAnsi="Times New Roman" w:cs="Times New Roman"/>
          <w:color w:val="000000"/>
          <w:sz w:val="24"/>
          <w:szCs w:val="24"/>
          <w:lang w:val="en-US"/>
        </w:rPr>
        <w:t>cytotoxic</w:t>
      </w:r>
      <w:proofErr w:type="spellEnd"/>
      <w:r w:rsidRPr="003326CE">
        <w:rPr>
          <w:rFonts w:ascii="Times New Roman" w:eastAsia="Times New Roman" w:hAnsi="Times New Roman" w:cs="Times New Roman"/>
          <w:color w:val="000000"/>
          <w:sz w:val="24"/>
          <w:szCs w:val="24"/>
          <w:lang w:val="en-US"/>
        </w:rPr>
        <w:t xml:space="preserve"> degeneration, platelet activation and complement, which in turn activates pancreatic </w:t>
      </w:r>
      <w:proofErr w:type="spellStart"/>
      <w:r w:rsidRPr="003326CE">
        <w:rPr>
          <w:rFonts w:ascii="Times New Roman" w:eastAsia="Times New Roman" w:hAnsi="Times New Roman" w:cs="Times New Roman"/>
          <w:color w:val="000000"/>
          <w:sz w:val="24"/>
          <w:szCs w:val="24"/>
          <w:lang w:val="en-US"/>
        </w:rPr>
        <w:t>progenes</w:t>
      </w:r>
      <w:proofErr w:type="spellEnd"/>
      <w:r w:rsidRPr="003326CE">
        <w:rPr>
          <w:rFonts w:ascii="Times New Roman" w:eastAsia="Times New Roman" w:hAnsi="Times New Roman" w:cs="Times New Roman"/>
          <w:color w:val="000000"/>
          <w:sz w:val="24"/>
          <w:szCs w:val="24"/>
          <w:lang w:val="en-US"/>
        </w:rPr>
        <w:t xml:space="preserve">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13</w:t>
      </w:r>
      <w:r w:rsidR="0056444D">
        <w:rPr>
          <w:rFonts w:ascii="Times New Roman" w:eastAsia="Times New Roman" w:hAnsi="Times New Roman" w:cs="Times New Roman"/>
          <w:color w:val="000000"/>
          <w:sz w:val="24"/>
          <w:szCs w:val="24"/>
          <w:lang w:val="en-US"/>
        </w:rPr>
        <w:t xml:space="preserve">, </w:t>
      </w:r>
      <w:proofErr w:type="gramStart"/>
      <w:r w:rsidRPr="003326CE">
        <w:rPr>
          <w:rFonts w:ascii="Times New Roman" w:eastAsia="Times New Roman" w:hAnsi="Times New Roman" w:cs="Times New Roman"/>
          <w:color w:val="000000"/>
          <w:sz w:val="24"/>
          <w:szCs w:val="24"/>
          <w:lang w:val="en-US"/>
        </w:rPr>
        <w:t>17</w:t>
      </w:r>
      <w:proofErr w:type="gramEnd"/>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It is also known that when the inflammatory process in the body activates CCS.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The largest amount of </w:t>
      </w:r>
      <w:proofErr w:type="spellStart"/>
      <w:r w:rsidRPr="003326CE">
        <w:rPr>
          <w:rFonts w:ascii="Times New Roman" w:eastAsia="Times New Roman" w:hAnsi="Times New Roman" w:cs="Times New Roman"/>
          <w:color w:val="000000"/>
          <w:sz w:val="24"/>
          <w:szCs w:val="24"/>
          <w:lang w:val="en-US"/>
        </w:rPr>
        <w:t>calicreatin</w:t>
      </w:r>
      <w:proofErr w:type="spellEnd"/>
      <w:r w:rsidRPr="003326CE">
        <w:rPr>
          <w:rFonts w:ascii="Times New Roman" w:eastAsia="Times New Roman" w:hAnsi="Times New Roman" w:cs="Times New Roman"/>
          <w:color w:val="000000"/>
          <w:sz w:val="24"/>
          <w:szCs w:val="24"/>
          <w:lang w:val="en-US"/>
        </w:rPr>
        <w:t xml:space="preserve"> (CK) is found in the glandular structures, in particular in the software.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Therefore, in the case of damaged pancreatic cysts, changes in CCS such as increased QC and plasma </w:t>
      </w:r>
      <w:proofErr w:type="spellStart"/>
      <w:r w:rsidRPr="003326CE">
        <w:rPr>
          <w:rFonts w:ascii="Times New Roman" w:eastAsia="Times New Roman" w:hAnsi="Times New Roman" w:cs="Times New Roman"/>
          <w:color w:val="000000"/>
          <w:sz w:val="24"/>
          <w:szCs w:val="24"/>
          <w:lang w:val="en-US"/>
        </w:rPr>
        <w:t>proteolytic</w:t>
      </w:r>
      <w:proofErr w:type="spellEnd"/>
      <w:r w:rsidRPr="003326CE">
        <w:rPr>
          <w:rFonts w:ascii="Times New Roman" w:eastAsia="Times New Roman" w:hAnsi="Times New Roman" w:cs="Times New Roman"/>
          <w:color w:val="000000"/>
          <w:sz w:val="24"/>
          <w:szCs w:val="24"/>
          <w:lang w:val="en-US"/>
        </w:rPr>
        <w:t xml:space="preserve"> activity (PPA) and a decrease in </w:t>
      </w:r>
      <w:r w:rsidRPr="003326CE">
        <w:rPr>
          <w:rFonts w:ascii="Times New Roman" w:eastAsia="Times New Roman" w:hAnsi="Times New Roman" w:cs="Times New Roman"/>
          <w:color w:val="000000"/>
          <w:sz w:val="24"/>
          <w:szCs w:val="24"/>
        </w:rPr>
        <w:t>α</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16"/>
          <w:vertAlign w:val="subscript"/>
          <w:lang w:val="en-US"/>
        </w:rPr>
        <w:t>1</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-inhibitor proteases (</w:t>
      </w:r>
      <w:r w:rsidRPr="003326CE">
        <w:rPr>
          <w:rFonts w:ascii="Times New Roman" w:eastAsia="Times New Roman" w:hAnsi="Times New Roman" w:cs="Times New Roman"/>
          <w:color w:val="000000"/>
          <w:sz w:val="24"/>
          <w:szCs w:val="24"/>
        </w:rPr>
        <w:t>α</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16"/>
          <w:vertAlign w:val="subscript"/>
          <w:lang w:val="en-US"/>
        </w:rPr>
        <w:t>1</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-IP) and </w:t>
      </w:r>
      <w:proofErr w:type="spellStart"/>
      <w:r w:rsidRPr="003326CE">
        <w:rPr>
          <w:rFonts w:ascii="Times New Roman" w:eastAsia="Times New Roman" w:hAnsi="Times New Roman" w:cs="Times New Roman"/>
          <w:color w:val="000000"/>
          <w:sz w:val="24"/>
          <w:szCs w:val="24"/>
          <w:lang w:val="en-US"/>
        </w:rPr>
        <w:t>kininase</w:t>
      </w:r>
      <w:proofErr w:type="spellEnd"/>
      <w:r w:rsidRPr="003326CE">
        <w:rPr>
          <w:rFonts w:ascii="Times New Roman" w:eastAsia="Times New Roman" w:hAnsi="Times New Roman" w:cs="Times New Roman"/>
          <w:color w:val="000000"/>
          <w:sz w:val="24"/>
          <w:szCs w:val="24"/>
          <w:lang w:val="en-US"/>
        </w:rPr>
        <w:t>-II are observed.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It is also known that till now mechanisms of realization of inflammatory process influence in software for the development and progression of SICs have not yet been studied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11</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The combination of </w:t>
      </w:r>
      <w:r w:rsidR="0056444D">
        <w:rPr>
          <w:rFonts w:ascii="Times New Roman" w:eastAsia="Times New Roman" w:hAnsi="Times New Roman" w:cs="Times New Roman"/>
          <w:color w:val="000000"/>
          <w:sz w:val="24"/>
          <w:szCs w:val="24"/>
          <w:lang w:val="en-US"/>
        </w:rPr>
        <w:t>CP</w:t>
      </w:r>
      <w:r w:rsidRPr="003326CE">
        <w:rPr>
          <w:rFonts w:ascii="Times New Roman" w:eastAsia="Times New Roman" w:hAnsi="Times New Roman" w:cs="Times New Roman"/>
          <w:color w:val="000000"/>
          <w:sz w:val="24"/>
          <w:szCs w:val="24"/>
          <w:lang w:val="en-US"/>
        </w:rPr>
        <w:t xml:space="preserve"> and CICC leads to a number of structural and metabolic changes that affect the course of both diseases, and necessitates the development of a systematic approach to the study of these violations in this group of patients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6</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The uncertainty of these mechanisms leaves open questions of medical therapy for such a contingent of patients, which in general reduces the effectiveness of treatment for patients with SIRS.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Therefore, the search for effective treatment regimens in this area is relevant to modern medicine.</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Consequently, the use of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drug</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Omega-3 PUFA</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standard baseline therapy with </w:t>
      </w:r>
      <w:proofErr w:type="spellStart"/>
      <w:r w:rsidRPr="003326CE">
        <w:rPr>
          <w:rFonts w:ascii="Times New Roman" w:eastAsia="Times New Roman" w:hAnsi="Times New Roman" w:cs="Times New Roman"/>
          <w:color w:val="000000"/>
          <w:sz w:val="24"/>
          <w:szCs w:val="24"/>
          <w:lang w:val="en-US"/>
        </w:rPr>
        <w:t>comorbidity</w:t>
      </w:r>
      <w:proofErr w:type="spellEnd"/>
      <w:r w:rsidRPr="003326CE">
        <w:rPr>
          <w:rFonts w:ascii="Times New Roman" w:eastAsia="Times New Roman" w:hAnsi="Times New Roman" w:cs="Times New Roman"/>
          <w:color w:val="000000"/>
          <w:sz w:val="24"/>
          <w:szCs w:val="24"/>
          <w:lang w:val="en-US"/>
        </w:rPr>
        <w:t xml:space="preserve">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CP and CIC is the most appropriate and </w:t>
      </w:r>
      <w:proofErr w:type="spellStart"/>
      <w:r w:rsidRPr="003326CE">
        <w:rPr>
          <w:rFonts w:ascii="Times New Roman" w:eastAsia="Times New Roman" w:hAnsi="Times New Roman" w:cs="Times New Roman"/>
          <w:color w:val="000000"/>
          <w:sz w:val="24"/>
          <w:szCs w:val="24"/>
          <w:lang w:val="en-US"/>
        </w:rPr>
        <w:t>pathogenetically</w:t>
      </w:r>
      <w:proofErr w:type="spellEnd"/>
      <w:r w:rsidRPr="003326CE">
        <w:rPr>
          <w:rFonts w:ascii="Times New Roman" w:eastAsia="Times New Roman" w:hAnsi="Times New Roman" w:cs="Times New Roman"/>
          <w:color w:val="000000"/>
          <w:sz w:val="24"/>
          <w:szCs w:val="24"/>
          <w:lang w:val="en-US"/>
        </w:rPr>
        <w:t xml:space="preserve"> grounded.</w:t>
      </w:r>
    </w:p>
    <w:p w:rsidR="003326CE" w:rsidRPr="003326CE" w:rsidRDefault="0056444D" w:rsidP="003326CE">
      <w:pPr>
        <w:spacing w:after="0" w:line="326"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b/>
          <w:bCs/>
          <w:color w:val="000000"/>
          <w:sz w:val="24"/>
          <w:szCs w:val="24"/>
          <w:lang w:val="en-US"/>
        </w:rPr>
        <w:t>The aim of the study</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was to investigate the effectiveness of a course</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of treatment</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with omega-3 polyunsaturated fatty acids</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w:t>
      </w:r>
      <w:proofErr w:type="spellStart"/>
      <w:r w:rsidR="003326CE" w:rsidRPr="003326CE">
        <w:rPr>
          <w:rFonts w:ascii="Times New Roman" w:eastAsia="Times New Roman" w:hAnsi="Times New Roman" w:cs="Times New Roman"/>
          <w:color w:val="000000"/>
          <w:sz w:val="24"/>
          <w:szCs w:val="24"/>
          <w:lang w:val="en-US"/>
        </w:rPr>
        <w:t>Omakor</w:t>
      </w:r>
      <w:proofErr w:type="spellEnd"/>
      <w:r w:rsidR="003326CE" w:rsidRPr="003326CE">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for correction of</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lipid,</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etc.</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at</w:t>
      </w:r>
      <w:r>
        <w:rPr>
          <w:rFonts w:ascii="Times New Roman" w:eastAsia="Times New Roman" w:hAnsi="Times New Roman" w:cs="Times New Roman"/>
          <w:color w:val="000000"/>
          <w:sz w:val="24"/>
          <w:szCs w:val="24"/>
          <w:lang w:val="en-US"/>
        </w:rPr>
        <w:t xml:space="preserve"> </w:t>
      </w:r>
      <w:proofErr w:type="spellStart"/>
      <w:r w:rsidR="003326CE" w:rsidRPr="003326CE">
        <w:rPr>
          <w:rFonts w:ascii="Times New Roman" w:eastAsia="Times New Roman" w:hAnsi="Times New Roman" w:cs="Times New Roman"/>
          <w:color w:val="000000"/>
          <w:sz w:val="24"/>
          <w:szCs w:val="24"/>
          <w:lang w:val="en-US"/>
        </w:rPr>
        <w:t>oksydatno</w:t>
      </w:r>
      <w:proofErr w:type="spellEnd"/>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anti-oxidant</w:t>
      </w:r>
      <w:r>
        <w:rPr>
          <w:rFonts w:ascii="Times New Roman" w:eastAsia="Times New Roman" w:hAnsi="Times New Roman" w:cs="Times New Roman"/>
          <w:color w:val="000000"/>
          <w:sz w:val="24"/>
          <w:szCs w:val="24"/>
          <w:lang w:val="en-US"/>
        </w:rPr>
        <w:t xml:space="preserve"> </w:t>
      </w:r>
      <w:proofErr w:type="spellStart"/>
      <w:r w:rsidR="003326CE" w:rsidRPr="003326CE">
        <w:rPr>
          <w:rFonts w:ascii="Times New Roman" w:eastAsia="Times New Roman" w:hAnsi="Times New Roman" w:cs="Times New Roman"/>
          <w:color w:val="000000"/>
          <w:sz w:val="24"/>
          <w:szCs w:val="24"/>
          <w:lang w:val="en-US"/>
        </w:rPr>
        <w:t>violationsand</w:t>
      </w:r>
      <w:proofErr w:type="spellEnd"/>
      <w:r>
        <w:rPr>
          <w:rFonts w:ascii="Times New Roman" w:eastAsia="Times New Roman" w:hAnsi="Times New Roman" w:cs="Times New Roman"/>
          <w:color w:val="000000"/>
          <w:sz w:val="24"/>
          <w:szCs w:val="24"/>
          <w:lang w:val="en-US"/>
        </w:rPr>
        <w:t xml:space="preserve"> </w:t>
      </w:r>
      <w:proofErr w:type="spellStart"/>
      <w:r w:rsidR="003326CE" w:rsidRPr="003326CE">
        <w:rPr>
          <w:rFonts w:ascii="Times New Roman" w:eastAsia="Times New Roman" w:hAnsi="Times New Roman" w:cs="Times New Roman"/>
          <w:color w:val="000000"/>
          <w:sz w:val="24"/>
          <w:szCs w:val="24"/>
          <w:lang w:val="en-US"/>
        </w:rPr>
        <w:t>dyslabansu</w:t>
      </w:r>
      <w:proofErr w:type="spellEnd"/>
      <w:r w:rsidR="003326CE" w:rsidRPr="003326CE">
        <w:rPr>
          <w:rFonts w:ascii="Times New Roman" w:eastAsia="Times New Roman" w:hAnsi="Times New Roman" w:cs="Times New Roman"/>
          <w:color w:val="000000"/>
          <w:sz w:val="24"/>
          <w:szCs w:val="24"/>
          <w:lang w:val="en-US"/>
        </w:rPr>
        <w:t xml:space="preserve"> a </w:t>
      </w:r>
      <w:proofErr w:type="spellStart"/>
      <w:r w:rsidR="003326CE" w:rsidRPr="003326CE">
        <w:rPr>
          <w:rFonts w:ascii="Times New Roman" w:eastAsia="Times New Roman" w:hAnsi="Times New Roman" w:cs="Times New Roman"/>
          <w:color w:val="000000"/>
          <w:sz w:val="24"/>
          <w:szCs w:val="24"/>
          <w:lang w:val="en-US"/>
        </w:rPr>
        <w:t>kallikrein-kinin</w:t>
      </w:r>
      <w:proofErr w:type="spellEnd"/>
      <w:r w:rsidR="003326CE" w:rsidRPr="003326CE">
        <w:rPr>
          <w:rFonts w:ascii="Times New Roman" w:eastAsia="Times New Roman" w:hAnsi="Times New Roman" w:cs="Times New Roman"/>
          <w:color w:val="000000"/>
          <w:sz w:val="24"/>
          <w:szCs w:val="24"/>
          <w:lang w:val="en-US"/>
        </w:rPr>
        <w:t xml:space="preserve"> system</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in</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 xml:space="preserve">patients with </w:t>
      </w:r>
      <w:proofErr w:type="spellStart"/>
      <w:r w:rsidR="003326CE" w:rsidRPr="003326CE">
        <w:rPr>
          <w:rFonts w:ascii="Times New Roman" w:eastAsia="Times New Roman" w:hAnsi="Times New Roman" w:cs="Times New Roman"/>
          <w:color w:val="000000"/>
          <w:sz w:val="24"/>
          <w:szCs w:val="24"/>
          <w:lang w:val="en-US"/>
        </w:rPr>
        <w:t>comorbid</w:t>
      </w:r>
      <w:proofErr w:type="spellEnd"/>
      <w:r w:rsidR="003326CE" w:rsidRPr="003326CE">
        <w:rPr>
          <w:rFonts w:ascii="Times New Roman" w:eastAsia="Times New Roman" w:hAnsi="Times New Roman" w:cs="Times New Roman"/>
          <w:color w:val="000000"/>
          <w:sz w:val="24"/>
          <w:szCs w:val="24"/>
          <w:lang w:val="en-US"/>
        </w:rPr>
        <w:t xml:space="preserve"> interruptions</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g</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m</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o</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CP and SIHS.</w:t>
      </w:r>
    </w:p>
    <w:p w:rsidR="003326CE" w:rsidRPr="003326CE" w:rsidRDefault="0056444D" w:rsidP="003326CE">
      <w:pPr>
        <w:spacing w:after="0" w:line="326"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b/>
          <w:bCs/>
          <w:color w:val="000000"/>
          <w:sz w:val="24"/>
          <w:szCs w:val="24"/>
          <w:lang w:val="en-US"/>
        </w:rPr>
        <w:t>MATERIALS</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b/>
          <w:bCs/>
          <w:color w:val="000000"/>
          <w:sz w:val="24"/>
          <w:szCs w:val="24"/>
          <w:lang w:val="en-US"/>
        </w:rPr>
        <w:t>AND</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b/>
          <w:bCs/>
          <w:color w:val="000000"/>
          <w:sz w:val="24"/>
          <w:szCs w:val="24"/>
          <w:lang w:val="en-US"/>
        </w:rPr>
        <w:t>METHODS</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To achieve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this goal, 90</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patients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with CF with concomitant CIHS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angina pectoris I-</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II functional class)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were selected</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who were treated in day hospital of </w:t>
      </w:r>
      <w:proofErr w:type="spellStart"/>
      <w:r w:rsidRPr="003326CE">
        <w:rPr>
          <w:rFonts w:ascii="Times New Roman" w:eastAsia="Times New Roman" w:hAnsi="Times New Roman" w:cs="Times New Roman"/>
          <w:color w:val="000000"/>
          <w:sz w:val="24"/>
          <w:szCs w:val="24"/>
          <w:lang w:val="en-US"/>
        </w:rPr>
        <w:t>Ternopil</w:t>
      </w:r>
      <w:proofErr w:type="spellEnd"/>
      <w:r w:rsidRPr="003326CE">
        <w:rPr>
          <w:rFonts w:ascii="Times New Roman" w:eastAsia="Times New Roman" w:hAnsi="Times New Roman" w:cs="Times New Roman"/>
          <w:color w:val="000000"/>
          <w:sz w:val="24"/>
          <w:szCs w:val="24"/>
          <w:lang w:val="en-US"/>
        </w:rPr>
        <w:t xml:space="preserve"> city clinical hospital №</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2.</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Among them was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4</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6</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2%)</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male</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Kiv</w:t>
      </w:r>
      <w:proofErr w:type="spellEnd"/>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age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(49</w:t>
      </w:r>
      <w:proofErr w:type="gramStart"/>
      <w:r w:rsidRPr="003326CE">
        <w:rPr>
          <w:rFonts w:ascii="Times New Roman" w:eastAsia="Times New Roman" w:hAnsi="Times New Roman" w:cs="Times New Roman"/>
          <w:color w:val="000000"/>
          <w:sz w:val="24"/>
          <w:szCs w:val="24"/>
          <w:lang w:val="en-US"/>
        </w:rPr>
        <w:t>,9</w:t>
      </w:r>
      <w:proofErr w:type="gramEnd"/>
      <w:r w:rsidR="0056444D">
        <w:rPr>
          <w:rFonts w:ascii="Times New Roman" w:eastAsia="Times New Roman" w:hAnsi="Times New Roman" w:cs="Times New Roman"/>
          <w:color w:val="000000"/>
          <w:sz w:val="24"/>
          <w:szCs w:val="24"/>
          <w:lang w:val="en-US"/>
        </w:rPr>
        <w:t xml:space="preserve"> </w:t>
      </w:r>
      <w:r w:rsidRPr="003326CE">
        <w:rPr>
          <w:rFonts w:ascii="Century Schoolbook" w:eastAsia="Times New Roman" w:hAnsi="Century Schoolbook"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8,7)</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years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and 44</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women (48</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8</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age (52.65</w:t>
      </w:r>
      <w:r w:rsidR="0056444D">
        <w:rPr>
          <w:rFonts w:ascii="Times New Roman" w:eastAsia="Times New Roman" w:hAnsi="Times New Roman" w:cs="Times New Roman"/>
          <w:color w:val="000000"/>
          <w:sz w:val="24"/>
          <w:szCs w:val="24"/>
          <w:lang w:val="en-US"/>
        </w:rPr>
        <w:t xml:space="preserve"> </w:t>
      </w:r>
      <w:r w:rsidRPr="003326CE">
        <w:rPr>
          <w:rFonts w:ascii="Century Schoolbook" w:eastAsia="Times New Roman" w:hAnsi="Century Schoolbook"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6.2)</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years.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The study did not include patients with acute IHD in </w:t>
      </w:r>
      <w:proofErr w:type="spellStart"/>
      <w:proofErr w:type="gramStart"/>
      <w:r w:rsidRPr="003326CE">
        <w:rPr>
          <w:rFonts w:ascii="Times New Roman" w:eastAsia="Times New Roman" w:hAnsi="Times New Roman" w:cs="Times New Roman"/>
          <w:color w:val="000000"/>
          <w:sz w:val="24"/>
          <w:szCs w:val="24"/>
          <w:lang w:val="en-US"/>
        </w:rPr>
        <w:t>anne</w:t>
      </w:r>
      <w:proofErr w:type="spellEnd"/>
      <w:proofErr w:type="gramEnd"/>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amnesia, insulin dependent diabetes mellitus</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unstable angina pectoris, severe arterial hypertension, severe heart rhythm disorders, and severe concomitant diseases.</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Depending on the treatment program,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females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were divided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into two groups: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I group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4</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patients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received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standard protocol treatment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with</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SF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enzyme inhibitors, proton pump inhibitors, antispasmodics, </w:t>
      </w:r>
      <w:proofErr w:type="spellStart"/>
      <w:r w:rsidRPr="003326CE">
        <w:rPr>
          <w:rFonts w:ascii="Times New Roman" w:eastAsia="Times New Roman" w:hAnsi="Times New Roman" w:cs="Times New Roman"/>
          <w:color w:val="000000"/>
          <w:sz w:val="24"/>
          <w:szCs w:val="24"/>
          <w:lang w:val="en-US"/>
        </w:rPr>
        <w:t>prokinetics</w:t>
      </w:r>
      <w:proofErr w:type="spellEnd"/>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nitrates, beta blockers, </w:t>
      </w:r>
      <w:proofErr w:type="spellStart"/>
      <w:r w:rsidRPr="003326CE">
        <w:rPr>
          <w:rFonts w:ascii="Times New Roman" w:eastAsia="Times New Roman" w:hAnsi="Times New Roman" w:cs="Times New Roman"/>
          <w:color w:val="000000"/>
          <w:sz w:val="24"/>
          <w:szCs w:val="24"/>
          <w:lang w:val="en-US"/>
        </w:rPr>
        <w:t>angiotensin</w:t>
      </w:r>
      <w:proofErr w:type="spellEnd"/>
      <w:r w:rsidRPr="003326CE">
        <w:rPr>
          <w:rFonts w:ascii="Times New Roman" w:eastAsia="Times New Roman" w:hAnsi="Times New Roman" w:cs="Times New Roman"/>
          <w:color w:val="000000"/>
          <w:sz w:val="24"/>
          <w:szCs w:val="24"/>
          <w:lang w:val="en-US"/>
        </w:rPr>
        <w:t xml:space="preserve"> converting enzyme inhibitors, </w:t>
      </w:r>
      <w:proofErr w:type="spellStart"/>
      <w:r w:rsidRPr="003326CE">
        <w:rPr>
          <w:rFonts w:ascii="Times New Roman" w:eastAsia="Times New Roman" w:hAnsi="Times New Roman" w:cs="Times New Roman"/>
          <w:color w:val="000000"/>
          <w:sz w:val="24"/>
          <w:szCs w:val="24"/>
          <w:lang w:val="en-US"/>
        </w:rPr>
        <w:t>angiotensin</w:t>
      </w:r>
      <w:proofErr w:type="spellEnd"/>
      <w:r w:rsidRPr="003326CE">
        <w:rPr>
          <w:rFonts w:ascii="Times New Roman" w:eastAsia="Times New Roman" w:hAnsi="Times New Roman" w:cs="Times New Roman"/>
          <w:color w:val="000000"/>
          <w:sz w:val="24"/>
          <w:szCs w:val="24"/>
          <w:lang w:val="en-US"/>
        </w:rPr>
        <w:t xml:space="preserve"> II receptor antagonists,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calcium</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antagonists</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statins</w:t>
      </w:r>
      <w:proofErr w:type="spellEnd"/>
      <w:r w:rsidRPr="003326CE">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antiplatelet</w:t>
      </w:r>
      <w:proofErr w:type="spellEnd"/>
      <w:r w:rsidRPr="003326CE">
        <w:rPr>
          <w:rFonts w:ascii="Times New Roman" w:eastAsia="Times New Roman" w:hAnsi="Times New Roman" w:cs="Times New Roman"/>
          <w:color w:val="000000"/>
          <w:sz w:val="24"/>
          <w:szCs w:val="24"/>
          <w:lang w:val="en-US"/>
        </w:rPr>
        <w:t xml:space="preserve"> agents</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The second group (45 patients)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than</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SW</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additionally</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received the drug</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omega-3</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PUFAs</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Omacor</w:t>
      </w:r>
      <w:proofErr w:type="spellEnd"/>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for</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2 tablets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(2000</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mg)</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 time per day for</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one month</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The control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group was made up of 20 practically healthy persons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aged 19 to 46 years, the average age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was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32.2</w:t>
      </w:r>
      <w:r w:rsidR="0056444D">
        <w:rPr>
          <w:rFonts w:ascii="Times New Roman" w:eastAsia="Times New Roman" w:hAnsi="Times New Roman" w:cs="Times New Roman"/>
          <w:color w:val="000000"/>
          <w:sz w:val="24"/>
          <w:szCs w:val="24"/>
          <w:lang w:val="en-US"/>
        </w:rPr>
        <w:t xml:space="preserve"> </w:t>
      </w:r>
      <w:r w:rsidRPr="003326CE">
        <w:rPr>
          <w:rFonts w:ascii="Century Schoolbook" w:eastAsia="Times New Roman" w:hAnsi="Century Schoolbook"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1.8,</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years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Among them there were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11 (5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men and 9 (45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women.</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The diagnosis of CV was verified according to generally accepted criteria in the clinic.</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The diagnosis of CICS was established in accordance with the recommendations of the International Classification of Diseases of the 10th Revision, according to the classification approved by the Ministry of Health</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Ukraine no</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152 dated 02.03.2016.</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The functional class of </w:t>
      </w:r>
      <w:r w:rsidRPr="003326CE">
        <w:rPr>
          <w:rFonts w:ascii="Times New Roman" w:eastAsia="Times New Roman" w:hAnsi="Times New Roman" w:cs="Times New Roman"/>
          <w:color w:val="000000"/>
          <w:sz w:val="24"/>
          <w:szCs w:val="24"/>
          <w:lang w:val="en-US"/>
        </w:rPr>
        <w:lastRenderedPageBreak/>
        <w:t>angina pectoris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based on the classification of the angina of the Canadian Association of Cardiologists (1976)</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and bells and </w:t>
      </w:r>
      <w:proofErr w:type="spellStart"/>
      <w:r w:rsidRPr="003326CE">
        <w:rPr>
          <w:rFonts w:ascii="Times New Roman" w:eastAsia="Times New Roman" w:hAnsi="Times New Roman" w:cs="Times New Roman"/>
          <w:color w:val="000000"/>
          <w:sz w:val="24"/>
          <w:szCs w:val="24"/>
          <w:lang w:val="en-US"/>
        </w:rPr>
        <w:t>endometrs</w:t>
      </w:r>
      <w:proofErr w:type="spellEnd"/>
      <w:r w:rsidR="0056444D">
        <w:rPr>
          <w:rFonts w:ascii="Times New Roman" w:eastAsia="Times New Roman" w:hAnsi="Times New Roman" w:cs="Times New Roman"/>
          <w:color w:val="000000"/>
          <w:sz w:val="24"/>
          <w:szCs w:val="24"/>
          <w:lang w:val="en-US"/>
        </w:rPr>
        <w:t>.</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 xml:space="preserve">Indicators of lipid exchange in blood serum of patients under study were determined using </w:t>
      </w:r>
      <w:proofErr w:type="spellStart"/>
      <w:r w:rsidRPr="003326CE">
        <w:rPr>
          <w:rFonts w:ascii="Times New Roman" w:eastAsia="Times New Roman" w:hAnsi="Times New Roman" w:cs="Times New Roman"/>
          <w:color w:val="000000"/>
          <w:sz w:val="24"/>
          <w:szCs w:val="24"/>
          <w:lang w:val="en-US"/>
        </w:rPr>
        <w:t>Lachema</w:t>
      </w:r>
      <w:proofErr w:type="spellEnd"/>
      <w:r w:rsidRPr="003326CE">
        <w:rPr>
          <w:rFonts w:ascii="Times New Roman" w:eastAsia="Times New Roman" w:hAnsi="Times New Roman" w:cs="Times New Roman"/>
          <w:color w:val="000000"/>
          <w:sz w:val="24"/>
          <w:szCs w:val="24"/>
          <w:lang w:val="en-US"/>
        </w:rPr>
        <w:t xml:space="preserve"> kits on the analyzer using the following methods: total cholesterol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(CHS)</w:t>
      </w:r>
      <w:r w:rsidR="0056444D">
        <w:rPr>
          <w:rFonts w:ascii="Times New Roman" w:eastAsia="Times New Roman" w:hAnsi="Times New Roman" w:cs="Times New Roman"/>
          <w:color w:val="000000"/>
          <w:sz w:val="24"/>
          <w:szCs w:val="24"/>
          <w:lang w:val="en-US"/>
        </w:rPr>
        <w:t xml:space="preserve"> — </w:t>
      </w:r>
      <w:r w:rsidRPr="003326CE">
        <w:rPr>
          <w:rFonts w:ascii="Times New Roman" w:eastAsia="Times New Roman" w:hAnsi="Times New Roman" w:cs="Times New Roman"/>
          <w:color w:val="000000"/>
          <w:sz w:val="24"/>
          <w:szCs w:val="24"/>
          <w:lang w:val="en-US"/>
        </w:rPr>
        <w:t>by the reaction of cholesterol esters after oxidation to hydrogen peroxide with phenol and 4-</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amino-</w:t>
      </w:r>
      <w:proofErr w:type="spellStart"/>
      <w:r w:rsidRPr="003326CE">
        <w:rPr>
          <w:rFonts w:ascii="Times New Roman" w:eastAsia="Times New Roman" w:hAnsi="Times New Roman" w:cs="Times New Roman"/>
          <w:color w:val="000000"/>
          <w:sz w:val="24"/>
          <w:szCs w:val="24"/>
          <w:lang w:val="en-US"/>
        </w:rPr>
        <w:t>antipyrine</w:t>
      </w:r>
      <w:proofErr w:type="spellEnd"/>
      <w:r w:rsidRPr="003326CE">
        <w:rPr>
          <w:rFonts w:ascii="Times New Roman" w:eastAsia="Times New Roman" w:hAnsi="Times New Roman" w:cs="Times New Roman"/>
          <w:color w:val="000000"/>
          <w:sz w:val="24"/>
          <w:szCs w:val="24"/>
          <w:lang w:val="en-US"/>
        </w:rPr>
        <w:t>, TG</w:t>
      </w:r>
      <w:r w:rsidR="0056444D">
        <w:rPr>
          <w:rFonts w:ascii="Times New Roman" w:eastAsia="Times New Roman" w:hAnsi="Times New Roman" w:cs="Times New Roman"/>
          <w:color w:val="000000"/>
          <w:sz w:val="24"/>
          <w:szCs w:val="24"/>
          <w:lang w:val="en-US"/>
        </w:rPr>
        <w:t xml:space="preserve"> — </w:t>
      </w:r>
      <w:r w:rsidRPr="003326CE">
        <w:rPr>
          <w:rFonts w:ascii="Times New Roman" w:eastAsia="Times New Roman" w:hAnsi="Times New Roman" w:cs="Times New Roman"/>
          <w:color w:val="000000"/>
          <w:sz w:val="24"/>
          <w:szCs w:val="24"/>
          <w:lang w:val="en-US"/>
        </w:rPr>
        <w:t>by reaction with methyl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acetone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and ammonium ions After bathing with potassium hydroxide, common lipids</w:t>
      </w:r>
      <w:r w:rsidR="0056444D">
        <w:rPr>
          <w:rFonts w:ascii="Times New Roman" w:eastAsia="Times New Roman" w:hAnsi="Times New Roman" w:cs="Times New Roman"/>
          <w:color w:val="000000"/>
          <w:sz w:val="24"/>
          <w:szCs w:val="24"/>
          <w:lang w:val="en-US"/>
        </w:rPr>
        <w:t xml:space="preserve"> — </w:t>
      </w:r>
      <w:r w:rsidRPr="003326CE">
        <w:rPr>
          <w:rFonts w:ascii="Times New Roman" w:eastAsia="Times New Roman" w:hAnsi="Times New Roman" w:cs="Times New Roman"/>
          <w:color w:val="000000"/>
          <w:sz w:val="24"/>
          <w:szCs w:val="24"/>
          <w:lang w:val="en-US"/>
        </w:rPr>
        <w:t xml:space="preserve">in reaction with </w:t>
      </w:r>
      <w:proofErr w:type="spellStart"/>
      <w:r w:rsidRPr="003326CE">
        <w:rPr>
          <w:rFonts w:ascii="Times New Roman" w:eastAsia="Times New Roman" w:hAnsi="Times New Roman" w:cs="Times New Roman"/>
          <w:color w:val="000000"/>
          <w:sz w:val="24"/>
          <w:szCs w:val="24"/>
          <w:lang w:val="en-US"/>
        </w:rPr>
        <w:t>phosphonate</w:t>
      </w:r>
      <w:proofErr w:type="spellEnd"/>
      <w:r w:rsidRPr="003326CE">
        <w:rPr>
          <w:rFonts w:ascii="Times New Roman" w:eastAsia="Times New Roman" w:hAnsi="Times New Roman" w:cs="Times New Roman"/>
          <w:color w:val="000000"/>
          <w:sz w:val="24"/>
          <w:szCs w:val="24"/>
          <w:lang w:val="en-US"/>
        </w:rPr>
        <w:t xml:space="preserve"> reagent after hydrolysis of sulfuric acid.</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 xml:space="preserve">The </w:t>
      </w:r>
      <w:proofErr w:type="spellStart"/>
      <w:r w:rsidRPr="003326CE">
        <w:rPr>
          <w:rFonts w:ascii="Times New Roman" w:eastAsia="Times New Roman" w:hAnsi="Times New Roman" w:cs="Times New Roman"/>
          <w:color w:val="000000"/>
          <w:sz w:val="24"/>
          <w:szCs w:val="24"/>
          <w:lang w:val="en-US"/>
        </w:rPr>
        <w:t>Freudwald</w:t>
      </w:r>
      <w:proofErr w:type="spellEnd"/>
      <w:r w:rsidRPr="003326CE">
        <w:rPr>
          <w:rFonts w:ascii="Times New Roman" w:eastAsia="Times New Roman" w:hAnsi="Times New Roman" w:cs="Times New Roman"/>
          <w:color w:val="000000"/>
          <w:sz w:val="24"/>
          <w:szCs w:val="24"/>
          <w:lang w:val="en-US"/>
        </w:rPr>
        <w:t xml:space="preserve"> formula calculated the level of LDL cholesterol:</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Cholesterol LDLC = HCV</w:t>
      </w:r>
      <w:r w:rsidR="0056444D">
        <w:rPr>
          <w:rFonts w:ascii="Times New Roman" w:eastAsia="Times New Roman" w:hAnsi="Times New Roman" w:cs="Times New Roman"/>
          <w:color w:val="000000"/>
          <w:sz w:val="24"/>
          <w:szCs w:val="24"/>
          <w:lang w:val="en-US"/>
        </w:rPr>
        <w:t xml:space="preserve"> — </w:t>
      </w:r>
      <w:r w:rsidRPr="003326CE">
        <w:rPr>
          <w:rFonts w:ascii="Times New Roman" w:eastAsia="Times New Roman" w:hAnsi="Times New Roman" w:cs="Times New Roman"/>
          <w:color w:val="000000"/>
          <w:sz w:val="24"/>
          <w:szCs w:val="24"/>
          <w:lang w:val="en-US"/>
        </w:rPr>
        <w:t xml:space="preserve">HDL </w:t>
      </w:r>
      <w:proofErr w:type="spellStart"/>
      <w:r w:rsidRPr="003326CE">
        <w:rPr>
          <w:rFonts w:ascii="Times New Roman" w:eastAsia="Times New Roman" w:hAnsi="Times New Roman" w:cs="Times New Roman"/>
          <w:color w:val="000000"/>
          <w:sz w:val="24"/>
          <w:szCs w:val="24"/>
          <w:lang w:val="en-US"/>
        </w:rPr>
        <w:t>HDL</w:t>
      </w:r>
      <w:proofErr w:type="spellEnd"/>
      <w:r w:rsidR="0056444D">
        <w:rPr>
          <w:rFonts w:ascii="Times New Roman" w:eastAsia="Times New Roman" w:hAnsi="Times New Roman" w:cs="Times New Roman"/>
          <w:color w:val="000000"/>
          <w:sz w:val="24"/>
          <w:szCs w:val="24"/>
          <w:lang w:val="en-US"/>
        </w:rPr>
        <w:t xml:space="preserve"> — </w:t>
      </w:r>
      <w:r w:rsidRPr="003326CE">
        <w:rPr>
          <w:rFonts w:ascii="Times New Roman" w:eastAsia="Times New Roman" w:hAnsi="Times New Roman" w:cs="Times New Roman"/>
          <w:color w:val="000000"/>
          <w:sz w:val="24"/>
          <w:szCs w:val="24"/>
          <w:lang w:val="en-US"/>
        </w:rPr>
        <w:t>(0.2 × LPDNC)</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(1.1)</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LPDNCH = TG</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2</w:t>
      </w:r>
      <w:proofErr w:type="gramStart"/>
      <w:r w:rsidRPr="003326CE">
        <w:rPr>
          <w:rFonts w:ascii="Times New Roman" w:eastAsia="Times New Roman" w:hAnsi="Times New Roman" w:cs="Times New Roman"/>
          <w:color w:val="000000"/>
          <w:sz w:val="24"/>
          <w:szCs w:val="24"/>
          <w:lang w:val="en-US"/>
        </w:rPr>
        <w:t>,2</w:t>
      </w:r>
      <w:proofErr w:type="gramEnd"/>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(1.2)</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CA = (HDL</w:t>
      </w:r>
      <w:r w:rsidR="0056444D">
        <w:rPr>
          <w:rFonts w:ascii="Times New Roman" w:eastAsia="Times New Roman" w:hAnsi="Times New Roman" w:cs="Times New Roman"/>
          <w:color w:val="000000"/>
          <w:sz w:val="24"/>
          <w:szCs w:val="24"/>
          <w:lang w:val="en-US"/>
        </w:rPr>
        <w:t xml:space="preserve"> — </w:t>
      </w:r>
      <w:r w:rsidRPr="003326CE">
        <w:rPr>
          <w:rFonts w:ascii="Times New Roman" w:eastAsia="Times New Roman" w:hAnsi="Times New Roman" w:cs="Times New Roman"/>
          <w:color w:val="000000"/>
          <w:sz w:val="24"/>
          <w:szCs w:val="24"/>
          <w:lang w:val="en-US"/>
        </w:rPr>
        <w:t>HDL)</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HDL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(1.3)</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proofErr w:type="gramStart"/>
      <w:r w:rsidRPr="003326CE">
        <w:rPr>
          <w:rFonts w:ascii="Times New Roman" w:eastAsia="Times New Roman" w:hAnsi="Times New Roman" w:cs="Times New Roman"/>
          <w:color w:val="000000"/>
          <w:sz w:val="24"/>
          <w:szCs w:val="24"/>
          <w:lang w:val="en-US"/>
        </w:rPr>
        <w:t>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trial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PAH and AOP</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before and after treatment was judged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by levels of </w:t>
      </w:r>
      <w:proofErr w:type="spellStart"/>
      <w:r w:rsidRPr="003326CE">
        <w:rPr>
          <w:rFonts w:ascii="Times New Roman" w:eastAsia="Times New Roman" w:hAnsi="Times New Roman" w:cs="Times New Roman"/>
          <w:color w:val="000000"/>
          <w:sz w:val="24"/>
          <w:szCs w:val="24"/>
          <w:lang w:val="en-US"/>
        </w:rPr>
        <w:t>malonic</w:t>
      </w:r>
      <w:proofErr w:type="spellEnd"/>
      <w:r w:rsidRPr="003326CE">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aldehyde</w:t>
      </w:r>
      <w:proofErr w:type="spellEnd"/>
      <w:r w:rsidRPr="003326CE">
        <w:rPr>
          <w:rFonts w:ascii="Times New Roman" w:eastAsia="Times New Roman" w:hAnsi="Times New Roman" w:cs="Times New Roman"/>
          <w:color w:val="000000"/>
          <w:sz w:val="24"/>
          <w:szCs w:val="24"/>
          <w:lang w:val="en-US"/>
        </w:rPr>
        <w:t xml:space="preserve"> (MA), superoxide dismutase (SOD), SH-groups, </w:t>
      </w:r>
      <w:proofErr w:type="spellStart"/>
      <w:r w:rsidRPr="003326CE">
        <w:rPr>
          <w:rFonts w:ascii="Times New Roman" w:eastAsia="Times New Roman" w:hAnsi="Times New Roman" w:cs="Times New Roman"/>
          <w:color w:val="000000"/>
          <w:sz w:val="24"/>
          <w:szCs w:val="24"/>
          <w:lang w:val="en-US"/>
        </w:rPr>
        <w:t>catalase</w:t>
      </w:r>
      <w:proofErr w:type="spellEnd"/>
      <w:r w:rsidRPr="003326CE">
        <w:rPr>
          <w:rFonts w:ascii="Times New Roman" w:eastAsia="Times New Roman" w:hAnsi="Times New Roman" w:cs="Times New Roman"/>
          <w:color w:val="000000"/>
          <w:sz w:val="24"/>
          <w:szCs w:val="24"/>
          <w:lang w:val="en-US"/>
        </w:rPr>
        <w:t xml:space="preserve"> and </w:t>
      </w:r>
      <w:proofErr w:type="spellStart"/>
      <w:r w:rsidRPr="003326CE">
        <w:rPr>
          <w:rFonts w:ascii="Times New Roman" w:eastAsia="Times New Roman" w:hAnsi="Times New Roman" w:cs="Times New Roman"/>
          <w:color w:val="000000"/>
          <w:sz w:val="24"/>
          <w:szCs w:val="24"/>
          <w:lang w:val="en-US"/>
        </w:rPr>
        <w:t>ceruloplasmin</w:t>
      </w:r>
      <w:proofErr w:type="spellEnd"/>
      <w:r w:rsidRPr="003326CE">
        <w:rPr>
          <w:rFonts w:ascii="Times New Roman" w:eastAsia="Times New Roman" w:hAnsi="Times New Roman" w:cs="Times New Roman"/>
          <w:color w:val="000000"/>
          <w:sz w:val="24"/>
          <w:szCs w:val="24"/>
          <w:lang w:val="en-US"/>
        </w:rPr>
        <w:t xml:space="preserve"> (CP) of blood.</w:t>
      </w:r>
      <w:proofErr w:type="gramEnd"/>
    </w:p>
    <w:p w:rsidR="003326CE" w:rsidRPr="003326CE" w:rsidRDefault="0056444D" w:rsidP="003326CE">
      <w:pPr>
        <w:spacing w:after="0" w:line="326"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 xml:space="preserve">SOD activity was determined based on its ability to compete with </w:t>
      </w:r>
      <w:proofErr w:type="spellStart"/>
      <w:r w:rsidR="003326CE" w:rsidRPr="003326CE">
        <w:rPr>
          <w:rFonts w:ascii="Times New Roman" w:eastAsia="Times New Roman" w:hAnsi="Times New Roman" w:cs="Times New Roman"/>
          <w:color w:val="000000"/>
          <w:sz w:val="24"/>
          <w:szCs w:val="24"/>
          <w:lang w:val="en-US"/>
        </w:rPr>
        <w:t>nitrotetrazolium</w:t>
      </w:r>
      <w:proofErr w:type="spellEnd"/>
      <w:r w:rsidR="003326CE" w:rsidRPr="003326CE">
        <w:rPr>
          <w:rFonts w:ascii="Times New Roman" w:eastAsia="Times New Roman" w:hAnsi="Times New Roman" w:cs="Times New Roman"/>
          <w:color w:val="000000"/>
          <w:sz w:val="24"/>
          <w:szCs w:val="24"/>
          <w:lang w:val="en-US"/>
        </w:rPr>
        <w:t xml:space="preserve"> blue for superoxide anions formed as a result of the aerobic interaction of the reduced form of NADH</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16"/>
          <w:vertAlign w:val="subscript"/>
          <w:lang w:val="en-US"/>
        </w:rPr>
        <w:t>2</w:t>
      </w:r>
      <w:r>
        <w:rPr>
          <w:rFonts w:ascii="Times New Roman" w:eastAsia="Times New Roman" w:hAnsi="Times New Roman" w:cs="Times New Roman"/>
          <w:color w:val="000000"/>
          <w:sz w:val="24"/>
          <w:szCs w:val="24"/>
          <w:lang w:val="en-US"/>
        </w:rPr>
        <w:t xml:space="preserve"> </w:t>
      </w:r>
      <w:proofErr w:type="spellStart"/>
      <w:r w:rsidR="003326CE" w:rsidRPr="003326CE">
        <w:rPr>
          <w:rFonts w:ascii="Times New Roman" w:eastAsia="Times New Roman" w:hAnsi="Times New Roman" w:cs="Times New Roman"/>
          <w:color w:val="000000"/>
          <w:sz w:val="24"/>
          <w:szCs w:val="24"/>
          <w:lang w:val="en-US"/>
        </w:rPr>
        <w:t>andphenazine</w:t>
      </w:r>
      <w:proofErr w:type="spellEnd"/>
      <w:r w:rsidR="003326CE" w:rsidRPr="003326CE">
        <w:rPr>
          <w:rFonts w:ascii="Times New Roman" w:eastAsia="Times New Roman" w:hAnsi="Times New Roman" w:cs="Times New Roman"/>
          <w:color w:val="000000"/>
          <w:sz w:val="24"/>
          <w:szCs w:val="24"/>
          <w:lang w:val="en-US"/>
        </w:rPr>
        <w:t xml:space="preserve"> </w:t>
      </w:r>
      <w:proofErr w:type="spellStart"/>
      <w:r w:rsidR="003326CE" w:rsidRPr="003326CE">
        <w:rPr>
          <w:rFonts w:ascii="Times New Roman" w:eastAsia="Times New Roman" w:hAnsi="Times New Roman" w:cs="Times New Roman"/>
          <w:color w:val="000000"/>
          <w:sz w:val="24"/>
          <w:szCs w:val="24"/>
          <w:lang w:val="en-US"/>
        </w:rPr>
        <w:t>methasulphate</w:t>
      </w:r>
      <w:proofErr w:type="spellEnd"/>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The number of enzymes was determined by spectrometric method.</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The</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norm is considered</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(62</w:t>
      </w:r>
      <w:proofErr w:type="gramStart"/>
      <w:r w:rsidR="003326CE" w:rsidRPr="003326CE">
        <w:rPr>
          <w:rFonts w:ascii="Times New Roman" w:eastAsia="Times New Roman" w:hAnsi="Times New Roman" w:cs="Times New Roman"/>
          <w:color w:val="000000"/>
          <w:sz w:val="24"/>
          <w:szCs w:val="24"/>
          <w:lang w:val="en-US"/>
        </w:rPr>
        <w:t>,15</w:t>
      </w:r>
      <w:proofErr w:type="gramEnd"/>
      <w:r>
        <w:rPr>
          <w:rFonts w:ascii="Times New Roman" w:eastAsia="Times New Roman" w:hAnsi="Times New Roman" w:cs="Times New Roman"/>
          <w:color w:val="000000"/>
          <w:sz w:val="24"/>
          <w:szCs w:val="24"/>
          <w:lang w:val="en-US"/>
        </w:rPr>
        <w:t xml:space="preserve"> </w:t>
      </w:r>
      <w:r w:rsidR="003326CE" w:rsidRPr="003326CE">
        <w:rPr>
          <w:rFonts w:ascii="Century Schoolbook" w:eastAsia="Times New Roman" w:hAnsi="Century Schoolbook"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2,82)</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mind.</w:t>
      </w:r>
      <w:r>
        <w:rPr>
          <w:rFonts w:ascii="Times New Roman" w:eastAsia="Times New Roman" w:hAnsi="Times New Roman" w:cs="Times New Roman"/>
          <w:color w:val="000000"/>
          <w:sz w:val="24"/>
          <w:szCs w:val="24"/>
          <w:lang w:val="en-US"/>
        </w:rPr>
        <w:t xml:space="preserve"> </w:t>
      </w:r>
      <w:proofErr w:type="gramStart"/>
      <w:r w:rsidR="003326CE" w:rsidRPr="003326CE">
        <w:rPr>
          <w:rFonts w:ascii="Times New Roman" w:eastAsia="Times New Roman" w:hAnsi="Times New Roman" w:cs="Times New Roman"/>
          <w:color w:val="000000"/>
          <w:sz w:val="24"/>
          <w:szCs w:val="24"/>
          <w:lang w:val="en-US"/>
        </w:rPr>
        <w:t>unit</w:t>
      </w:r>
      <w:proofErr w:type="gramEnd"/>
    </w:p>
    <w:p w:rsidR="003326CE" w:rsidRPr="003326CE" w:rsidRDefault="0056444D" w:rsidP="003326CE">
      <w:pPr>
        <w:spacing w:after="0" w:line="326"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 xml:space="preserve">The level of </w:t>
      </w:r>
      <w:proofErr w:type="spellStart"/>
      <w:r w:rsidR="003326CE" w:rsidRPr="003326CE">
        <w:rPr>
          <w:rFonts w:ascii="Times New Roman" w:eastAsia="Times New Roman" w:hAnsi="Times New Roman" w:cs="Times New Roman"/>
          <w:color w:val="000000"/>
          <w:sz w:val="24"/>
          <w:szCs w:val="24"/>
          <w:lang w:val="en-US"/>
        </w:rPr>
        <w:t>catalase</w:t>
      </w:r>
      <w:proofErr w:type="spellEnd"/>
      <w:r w:rsidR="003326CE" w:rsidRPr="003326CE">
        <w:rPr>
          <w:rFonts w:ascii="Times New Roman" w:eastAsia="Times New Roman" w:hAnsi="Times New Roman" w:cs="Times New Roman"/>
          <w:color w:val="000000"/>
          <w:sz w:val="24"/>
          <w:szCs w:val="24"/>
          <w:lang w:val="en-US"/>
        </w:rPr>
        <w:t xml:space="preserve"> activity was determined by the</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 xml:space="preserve">ability of hydrogen peroxide to form a stable colored complex with ammonium </w:t>
      </w:r>
      <w:proofErr w:type="spellStart"/>
      <w:r w:rsidR="003326CE" w:rsidRPr="003326CE">
        <w:rPr>
          <w:rFonts w:ascii="Times New Roman" w:eastAsia="Times New Roman" w:hAnsi="Times New Roman" w:cs="Times New Roman"/>
          <w:color w:val="000000"/>
          <w:sz w:val="24"/>
          <w:szCs w:val="24"/>
          <w:lang w:val="en-US"/>
        </w:rPr>
        <w:t>molybdate</w:t>
      </w:r>
      <w:proofErr w:type="spellEnd"/>
      <w:r w:rsidR="003326CE" w:rsidRPr="003326CE">
        <w:rPr>
          <w:rFonts w:ascii="Times New Roman" w:eastAsia="Times New Roman" w:hAnsi="Times New Roman" w:cs="Times New Roman"/>
          <w:color w:val="000000"/>
          <w:sz w:val="24"/>
          <w:szCs w:val="24"/>
          <w:lang w:val="en-US"/>
        </w:rPr>
        <w:t xml:space="preserve">, the intensity of which depends on the activity of </w:t>
      </w:r>
      <w:proofErr w:type="spellStart"/>
      <w:r w:rsidR="003326CE" w:rsidRPr="003326CE">
        <w:rPr>
          <w:rFonts w:ascii="Times New Roman" w:eastAsia="Times New Roman" w:hAnsi="Times New Roman" w:cs="Times New Roman"/>
          <w:color w:val="000000"/>
          <w:sz w:val="24"/>
          <w:szCs w:val="24"/>
          <w:lang w:val="en-US"/>
        </w:rPr>
        <w:t>catalase</w:t>
      </w:r>
      <w:proofErr w:type="spellEnd"/>
      <w:r w:rsidR="003326CE" w:rsidRPr="003326CE">
        <w:rPr>
          <w:rFonts w:ascii="Times New Roman" w:eastAsia="Times New Roman" w:hAnsi="Times New Roman" w:cs="Times New Roman"/>
          <w:color w:val="000000"/>
          <w:sz w:val="24"/>
          <w:szCs w:val="24"/>
          <w:lang w:val="en-US"/>
        </w:rPr>
        <w:t xml:space="preserve"> in the sample.</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 xml:space="preserve">The norm of </w:t>
      </w:r>
      <w:proofErr w:type="spellStart"/>
      <w:r w:rsidR="003326CE" w:rsidRPr="003326CE">
        <w:rPr>
          <w:rFonts w:ascii="Times New Roman" w:eastAsia="Times New Roman" w:hAnsi="Times New Roman" w:cs="Times New Roman"/>
          <w:color w:val="000000"/>
          <w:sz w:val="24"/>
          <w:szCs w:val="24"/>
          <w:lang w:val="en-US"/>
        </w:rPr>
        <w:t>catalase</w:t>
      </w:r>
      <w:proofErr w:type="spellEnd"/>
      <w:r w:rsidR="003326CE" w:rsidRPr="003326CE">
        <w:rPr>
          <w:rFonts w:ascii="Times New Roman" w:eastAsia="Times New Roman" w:hAnsi="Times New Roman" w:cs="Times New Roman"/>
          <w:color w:val="000000"/>
          <w:sz w:val="24"/>
          <w:szCs w:val="24"/>
          <w:lang w:val="en-US"/>
        </w:rPr>
        <w:t xml:space="preserve"> activity in the blood is (17</w:t>
      </w:r>
      <w:proofErr w:type="gramStart"/>
      <w:r w:rsidR="003326CE" w:rsidRPr="003326CE">
        <w:rPr>
          <w:rFonts w:ascii="Times New Roman" w:eastAsia="Times New Roman" w:hAnsi="Times New Roman" w:cs="Times New Roman"/>
          <w:color w:val="000000"/>
          <w:sz w:val="24"/>
          <w:szCs w:val="24"/>
          <w:lang w:val="en-US"/>
        </w:rPr>
        <w:t>,48</w:t>
      </w:r>
      <w:proofErr w:type="gramEnd"/>
      <w:r>
        <w:rPr>
          <w:rFonts w:ascii="Times New Roman" w:eastAsia="Times New Roman" w:hAnsi="Times New Roman" w:cs="Times New Roman"/>
          <w:color w:val="000000"/>
          <w:sz w:val="24"/>
          <w:szCs w:val="24"/>
          <w:lang w:val="en-US"/>
        </w:rPr>
        <w:t xml:space="preserve"> </w:t>
      </w:r>
      <w:r w:rsidR="003326CE" w:rsidRPr="003326CE">
        <w:rPr>
          <w:rFonts w:ascii="Century Schoolbook" w:eastAsia="Times New Roman" w:hAnsi="Century Schoolbook"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0,87)</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w:t>
      </w:r>
    </w:p>
    <w:p w:rsidR="003326CE" w:rsidRPr="003326CE" w:rsidRDefault="0056444D" w:rsidP="003326CE">
      <w:pPr>
        <w:spacing w:after="0" w:line="326"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The levels of SH groups</w:t>
      </w:r>
      <w:r>
        <w:rPr>
          <w:rFonts w:ascii="Times New Roman" w:eastAsia="Times New Roman" w:hAnsi="Times New Roman" w:cs="Times New Roman"/>
          <w:color w:val="000000"/>
          <w:sz w:val="24"/>
          <w:szCs w:val="24"/>
          <w:lang w:val="en-US"/>
        </w:rPr>
        <w:t>,</w:t>
      </w:r>
      <w:r w:rsidR="003326CE" w:rsidRPr="003326CE">
        <w:rPr>
          <w:rFonts w:ascii="Times New Roman" w:eastAsia="Times New Roman" w:hAnsi="Times New Roman" w:cs="Times New Roman"/>
          <w:color w:val="000000"/>
          <w:sz w:val="24"/>
          <w:szCs w:val="24"/>
          <w:lang w:val="en-US"/>
        </w:rPr>
        <w:t xml:space="preserve"> CPUs</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and MAs were determined by Boyer</w:t>
      </w:r>
      <w:r>
        <w:rPr>
          <w:rFonts w:ascii="Times New Roman" w:eastAsia="Times New Roman" w:hAnsi="Times New Roman" w:cs="Times New Roman"/>
          <w:color w:val="000000"/>
          <w:sz w:val="24"/>
          <w:szCs w:val="24"/>
          <w:lang w:val="en-US"/>
        </w:rPr>
        <w:t>,</w:t>
      </w:r>
      <w:r w:rsidR="003326CE" w:rsidRPr="003326CE">
        <w:rPr>
          <w:rFonts w:ascii="Times New Roman" w:eastAsia="Times New Roman" w:hAnsi="Times New Roman" w:cs="Times New Roman"/>
          <w:color w:val="000000"/>
          <w:sz w:val="24"/>
          <w:szCs w:val="24"/>
          <w:lang w:val="en-US"/>
        </w:rPr>
        <w:t xml:space="preserve"> H.D.</w:t>
      </w:r>
      <w:r>
        <w:rPr>
          <w:rFonts w:ascii="Times New Roman" w:eastAsia="Times New Roman" w:hAnsi="Times New Roman" w:cs="Times New Roman"/>
          <w:color w:val="000000"/>
          <w:sz w:val="24"/>
          <w:szCs w:val="24"/>
          <w:lang w:val="en-US"/>
        </w:rPr>
        <w:t xml:space="preserve"> </w:t>
      </w:r>
      <w:proofErr w:type="spellStart"/>
      <w:r w:rsidR="003326CE" w:rsidRPr="003326CE">
        <w:rPr>
          <w:rFonts w:ascii="Times New Roman" w:eastAsia="Times New Roman" w:hAnsi="Times New Roman" w:cs="Times New Roman"/>
          <w:color w:val="000000"/>
          <w:sz w:val="24"/>
          <w:szCs w:val="24"/>
          <w:lang w:val="en-US"/>
        </w:rPr>
        <w:t>Ravina</w:t>
      </w:r>
      <w:proofErr w:type="spellEnd"/>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and VN</w:t>
      </w:r>
      <w:r>
        <w:rPr>
          <w:rFonts w:ascii="Times New Roman" w:eastAsia="Times New Roman" w:hAnsi="Times New Roman" w:cs="Times New Roman"/>
          <w:color w:val="000000"/>
          <w:sz w:val="24"/>
          <w:szCs w:val="24"/>
          <w:lang w:val="en-US"/>
        </w:rPr>
        <w:t xml:space="preserve"> </w:t>
      </w:r>
      <w:proofErr w:type="spellStart"/>
      <w:r w:rsidR="003326CE" w:rsidRPr="003326CE">
        <w:rPr>
          <w:rFonts w:ascii="Times New Roman" w:eastAsia="Times New Roman" w:hAnsi="Times New Roman" w:cs="Times New Roman"/>
          <w:color w:val="000000"/>
          <w:sz w:val="24"/>
          <w:szCs w:val="24"/>
          <w:lang w:val="en-US"/>
        </w:rPr>
        <w:t>Orechovich</w:t>
      </w:r>
      <w:proofErr w:type="spellEnd"/>
      <w:r w:rsidR="003326CE" w:rsidRPr="003326CE">
        <w:rPr>
          <w:rFonts w:ascii="Times New Roman" w:eastAsia="Times New Roman" w:hAnsi="Times New Roman" w:cs="Times New Roman"/>
          <w:color w:val="000000"/>
          <w:sz w:val="24"/>
          <w:szCs w:val="24"/>
          <w:lang w:val="en-US"/>
        </w:rPr>
        <w:t xml:space="preserve"> with </w:t>
      </w:r>
      <w:proofErr w:type="spellStart"/>
      <w:r w:rsidR="003326CE" w:rsidRPr="003326CE">
        <w:rPr>
          <w:rFonts w:ascii="Times New Roman" w:eastAsia="Times New Roman" w:hAnsi="Times New Roman" w:cs="Times New Roman"/>
          <w:color w:val="000000"/>
          <w:sz w:val="24"/>
          <w:szCs w:val="24"/>
          <w:lang w:val="en-US"/>
        </w:rPr>
        <w:t>thiobarbituric</w:t>
      </w:r>
      <w:proofErr w:type="spellEnd"/>
      <w:r w:rsidR="003326CE" w:rsidRPr="003326CE">
        <w:rPr>
          <w:rFonts w:ascii="Times New Roman" w:eastAsia="Times New Roman" w:hAnsi="Times New Roman" w:cs="Times New Roman"/>
          <w:color w:val="000000"/>
          <w:sz w:val="24"/>
          <w:szCs w:val="24"/>
          <w:lang w:val="en-US"/>
        </w:rPr>
        <w:t xml:space="preserve"> acid, respectively.</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The norm of SH-blood groups</w:t>
      </w:r>
      <w:r>
        <w:rPr>
          <w:rFonts w:ascii="Times New Roman" w:eastAsia="Times New Roman" w:hAnsi="Times New Roman" w:cs="Times New Roman"/>
          <w:color w:val="000000"/>
          <w:sz w:val="24"/>
          <w:szCs w:val="24"/>
          <w:lang w:val="en-US"/>
        </w:rPr>
        <w:t xml:space="preserve"> — </w:t>
      </w:r>
      <w:r w:rsidR="003326CE" w:rsidRPr="003326CE">
        <w:rPr>
          <w:rFonts w:ascii="Times New Roman" w:eastAsia="Times New Roman" w:hAnsi="Times New Roman" w:cs="Times New Roman"/>
          <w:color w:val="000000"/>
          <w:sz w:val="24"/>
          <w:szCs w:val="24"/>
          <w:lang w:val="en-US"/>
        </w:rPr>
        <w:t>(60.5</w:t>
      </w:r>
      <w:r>
        <w:rPr>
          <w:rFonts w:ascii="Times New Roman" w:eastAsia="Times New Roman" w:hAnsi="Times New Roman" w:cs="Times New Roman"/>
          <w:color w:val="000000"/>
          <w:sz w:val="24"/>
          <w:szCs w:val="24"/>
          <w:lang w:val="en-US"/>
        </w:rPr>
        <w:t xml:space="preserve"> </w:t>
      </w:r>
      <w:r w:rsidR="003326CE" w:rsidRPr="003326CE">
        <w:rPr>
          <w:rFonts w:ascii="Century Schoolbook" w:eastAsia="Times New Roman" w:hAnsi="Century Schoolbook"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2.13)</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m</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mol</w:t>
      </w:r>
      <w:r>
        <w:rPr>
          <w:rFonts w:ascii="Times New Roman" w:eastAsia="Times New Roman" w:hAnsi="Times New Roman" w:cs="Times New Roman"/>
          <w:color w:val="000000"/>
          <w:sz w:val="24"/>
          <w:szCs w:val="24"/>
          <w:lang w:val="en-US"/>
        </w:rPr>
        <w:t>/</w:t>
      </w:r>
      <w:proofErr w:type="spellStart"/>
      <w:r w:rsidR="003326CE" w:rsidRPr="003326CE">
        <w:rPr>
          <w:rFonts w:ascii="Times New Roman" w:eastAsia="Times New Roman" w:hAnsi="Times New Roman" w:cs="Times New Roman"/>
          <w:color w:val="000000"/>
          <w:sz w:val="24"/>
          <w:szCs w:val="24"/>
          <w:lang w:val="en-US"/>
        </w:rPr>
        <w:t>l</w:t>
      </w:r>
      <w:proofErr w:type="gramStart"/>
      <w:r w:rsidR="003326CE" w:rsidRPr="003326CE">
        <w:rPr>
          <w:rFonts w:ascii="Times New Roman" w:eastAsia="Times New Roman" w:hAnsi="Times New Roman" w:cs="Times New Roman"/>
          <w:color w:val="000000"/>
          <w:sz w:val="24"/>
          <w:szCs w:val="24"/>
          <w:lang w:val="en-US"/>
        </w:rPr>
        <w:t>,MA</w:t>
      </w:r>
      <w:proofErr w:type="spellEnd"/>
      <w:proofErr w:type="gramEnd"/>
      <w:r>
        <w:rPr>
          <w:rFonts w:ascii="Times New Roman" w:eastAsia="Times New Roman" w:hAnsi="Times New Roman" w:cs="Times New Roman"/>
          <w:color w:val="000000"/>
          <w:sz w:val="24"/>
          <w:szCs w:val="24"/>
          <w:lang w:val="en-US"/>
        </w:rPr>
        <w:t xml:space="preserve"> — </w:t>
      </w:r>
      <w:r w:rsidR="003326CE" w:rsidRPr="003326CE">
        <w:rPr>
          <w:rFonts w:ascii="Times New Roman" w:eastAsia="Times New Roman" w:hAnsi="Times New Roman" w:cs="Times New Roman"/>
          <w:color w:val="000000"/>
          <w:sz w:val="24"/>
          <w:szCs w:val="24"/>
          <w:lang w:val="en-US"/>
        </w:rPr>
        <w:t>(2,810</w:t>
      </w:r>
      <w:r>
        <w:rPr>
          <w:rFonts w:ascii="Times New Roman" w:eastAsia="Times New Roman" w:hAnsi="Times New Roman" w:cs="Times New Roman"/>
          <w:color w:val="000000"/>
          <w:sz w:val="24"/>
          <w:szCs w:val="24"/>
          <w:lang w:val="en-US"/>
        </w:rPr>
        <w:t xml:space="preserve"> </w:t>
      </w:r>
      <w:r w:rsidR="003326CE" w:rsidRPr="003326CE">
        <w:rPr>
          <w:rFonts w:ascii="Century Schoolbook" w:eastAsia="Times New Roman" w:hAnsi="Century Schoolbook"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0,085)</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m</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to</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mol</w:t>
      </w:r>
      <w:r>
        <w:rPr>
          <w:rFonts w:ascii="Times New Roman" w:eastAsia="Times New Roman" w:hAnsi="Times New Roman" w:cs="Times New Roman"/>
          <w:color w:val="000000"/>
          <w:sz w:val="24"/>
          <w:szCs w:val="24"/>
          <w:lang w:val="en-US"/>
        </w:rPr>
        <w:t>/</w:t>
      </w:r>
      <w:r w:rsidR="003326CE" w:rsidRPr="003326CE">
        <w:rPr>
          <w:rFonts w:ascii="Times New Roman" w:eastAsia="Times New Roman" w:hAnsi="Times New Roman" w:cs="Times New Roman"/>
          <w:color w:val="000000"/>
          <w:sz w:val="24"/>
          <w:szCs w:val="24"/>
          <w:lang w:val="en-US"/>
        </w:rPr>
        <w:t>l, and the amount of CPU in the norm should not exceed 300</w:t>
      </w: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mg</w:t>
      </w:r>
      <w:r>
        <w:rPr>
          <w:rFonts w:ascii="Times New Roman" w:eastAsia="Times New Roman" w:hAnsi="Times New Roman" w:cs="Times New Roman"/>
          <w:color w:val="000000"/>
          <w:sz w:val="24"/>
          <w:szCs w:val="24"/>
          <w:lang w:val="en-US"/>
        </w:rPr>
        <w:t>/</w:t>
      </w:r>
      <w:r w:rsidR="003326CE" w:rsidRPr="003326CE">
        <w:rPr>
          <w:rFonts w:ascii="Times New Roman" w:eastAsia="Times New Roman" w:hAnsi="Times New Roman" w:cs="Times New Roman"/>
          <w:color w:val="000000"/>
          <w:sz w:val="24"/>
          <w:szCs w:val="24"/>
          <w:lang w:val="en-US"/>
        </w:rPr>
        <w:t>l</w:t>
      </w:r>
    </w:p>
    <w:p w:rsidR="003326CE" w:rsidRPr="003326CE" w:rsidRDefault="0056444D" w:rsidP="003326CE">
      <w:pPr>
        <w:spacing w:after="0" w:line="326"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3326CE" w:rsidRPr="003326CE">
        <w:rPr>
          <w:rFonts w:ascii="Times New Roman" w:eastAsia="Times New Roman" w:hAnsi="Times New Roman" w:cs="Times New Roman"/>
          <w:color w:val="000000"/>
          <w:sz w:val="24"/>
          <w:szCs w:val="24"/>
          <w:lang w:val="en-US"/>
        </w:rPr>
        <w:t>Determination of indicators of CCS was carried out using the following methods:</w:t>
      </w:r>
    </w:p>
    <w:p w:rsidR="003326CE" w:rsidRPr="003326CE" w:rsidRDefault="003326CE" w:rsidP="003326CE">
      <w:pPr>
        <w:spacing w:after="0" w:line="326" w:lineRule="atLeast"/>
        <w:ind w:left="720" w:hanging="360"/>
        <w:jc w:val="both"/>
        <w:rPr>
          <w:rFonts w:ascii="Times New Roman" w:eastAsia="Times New Roman" w:hAnsi="Times New Roman" w:cs="Times New Roman"/>
          <w:color w:val="000000"/>
          <w:sz w:val="24"/>
          <w:szCs w:val="24"/>
          <w:lang w:val="en-US"/>
        </w:rPr>
      </w:pPr>
      <w:r w:rsidRPr="003326CE">
        <w:rPr>
          <w:rFonts w:ascii="Symbol" w:eastAsia="Times New Roman" w:hAnsi="Symbol" w:cs="Times New Roman"/>
          <w:color w:val="000000"/>
          <w:sz w:val="24"/>
          <w:szCs w:val="24"/>
        </w:rPr>
        <w:sym w:font="Symbol" w:char="F02D"/>
      </w:r>
      <w:r w:rsidR="0056444D">
        <w:rPr>
          <w:rFonts w:ascii="Times New Roman" w:eastAsia="Times New Roman" w:hAnsi="Times New Roman" w:cs="Times New Roman"/>
          <w:color w:val="000000"/>
          <w:sz w:val="24"/>
          <w:szCs w:val="24"/>
          <w:lang w:val="en-US"/>
        </w:rPr>
        <w:t xml:space="preserve"> </w:t>
      </w:r>
      <w:r w:rsidR="0056444D">
        <w:rPr>
          <w:rFonts w:ascii="Times New Roman" w:eastAsia="Times New Roman" w:hAnsi="Times New Roman" w:cs="Times New Roman"/>
          <w:color w:val="000000"/>
          <w:sz w:val="14"/>
          <w:szCs w:val="14"/>
          <w:lang w:val="en-US"/>
        </w:rPr>
        <w:t xml:space="preserve"> </w:t>
      </w:r>
      <w:proofErr w:type="spellStart"/>
      <w:r w:rsidRPr="003326CE">
        <w:rPr>
          <w:rFonts w:ascii="Times New Roman" w:eastAsia="Times New Roman" w:hAnsi="Times New Roman" w:cs="Times New Roman"/>
          <w:color w:val="000000"/>
          <w:sz w:val="24"/>
          <w:szCs w:val="24"/>
          <w:lang w:val="en-US"/>
        </w:rPr>
        <w:t>Proteolytic</w:t>
      </w:r>
      <w:proofErr w:type="spellEnd"/>
      <w:r w:rsidRPr="003326CE">
        <w:rPr>
          <w:rFonts w:ascii="Times New Roman" w:eastAsia="Times New Roman" w:hAnsi="Times New Roman" w:cs="Times New Roman"/>
          <w:color w:val="000000"/>
          <w:sz w:val="24"/>
          <w:szCs w:val="24"/>
          <w:lang w:val="en-US"/>
        </w:rPr>
        <w:t xml:space="preserve"> activity of the plasma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PPA</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was determined by hydrolysis of </w:t>
      </w:r>
      <w:proofErr w:type="spellStart"/>
      <w:r w:rsidRPr="003326CE">
        <w:rPr>
          <w:rFonts w:ascii="Times New Roman" w:eastAsia="Times New Roman" w:hAnsi="Times New Roman" w:cs="Times New Roman"/>
          <w:color w:val="000000"/>
          <w:sz w:val="24"/>
          <w:szCs w:val="24"/>
          <w:lang w:val="en-US"/>
        </w:rPr>
        <w:t>protamine</w:t>
      </w:r>
      <w:proofErr w:type="spellEnd"/>
      <w:r w:rsidRPr="003326CE">
        <w:rPr>
          <w:rFonts w:ascii="Times New Roman" w:eastAsia="Times New Roman" w:hAnsi="Times New Roman" w:cs="Times New Roman"/>
          <w:color w:val="000000"/>
          <w:sz w:val="24"/>
          <w:szCs w:val="24"/>
          <w:lang w:val="en-US"/>
        </w:rPr>
        <w:t xml:space="preserve"> sulfate.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The basis of the developed method is the determination of the amount of </w:t>
      </w:r>
      <w:proofErr w:type="spellStart"/>
      <w:r w:rsidRPr="003326CE">
        <w:rPr>
          <w:rFonts w:ascii="Times New Roman" w:eastAsia="Times New Roman" w:hAnsi="Times New Roman" w:cs="Times New Roman"/>
          <w:color w:val="000000"/>
          <w:sz w:val="24"/>
          <w:szCs w:val="24"/>
          <w:lang w:val="en-US"/>
        </w:rPr>
        <w:t>arginine</w:t>
      </w:r>
      <w:proofErr w:type="spellEnd"/>
      <w:r w:rsidRPr="003326CE">
        <w:rPr>
          <w:rFonts w:ascii="Times New Roman" w:eastAsia="Times New Roman" w:hAnsi="Times New Roman" w:cs="Times New Roman"/>
          <w:color w:val="000000"/>
          <w:sz w:val="24"/>
          <w:szCs w:val="24"/>
          <w:lang w:val="en-US"/>
        </w:rPr>
        <w:t xml:space="preserve"> that is cleaved from </w:t>
      </w:r>
      <w:proofErr w:type="spellStart"/>
      <w:r w:rsidRPr="003326CE">
        <w:rPr>
          <w:rFonts w:ascii="Times New Roman" w:eastAsia="Times New Roman" w:hAnsi="Times New Roman" w:cs="Times New Roman"/>
          <w:color w:val="000000"/>
          <w:sz w:val="24"/>
          <w:szCs w:val="24"/>
          <w:lang w:val="en-US"/>
        </w:rPr>
        <w:t>protamine</w:t>
      </w:r>
      <w:proofErr w:type="spellEnd"/>
      <w:r w:rsidRPr="003326CE">
        <w:rPr>
          <w:rFonts w:ascii="Times New Roman" w:eastAsia="Times New Roman" w:hAnsi="Times New Roman" w:cs="Times New Roman"/>
          <w:color w:val="000000"/>
          <w:sz w:val="24"/>
          <w:szCs w:val="24"/>
          <w:lang w:val="en-US"/>
        </w:rPr>
        <w:t xml:space="preserve"> sulfate by the action of plasma proteases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18</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w:t>
      </w:r>
    </w:p>
    <w:p w:rsidR="003326CE" w:rsidRPr="003326CE" w:rsidRDefault="003326CE" w:rsidP="003326CE">
      <w:pPr>
        <w:spacing w:after="0" w:line="326" w:lineRule="atLeast"/>
        <w:ind w:left="720" w:hanging="360"/>
        <w:jc w:val="both"/>
        <w:rPr>
          <w:rFonts w:ascii="Times New Roman" w:eastAsia="Times New Roman" w:hAnsi="Times New Roman" w:cs="Times New Roman"/>
          <w:color w:val="000000"/>
          <w:sz w:val="24"/>
          <w:szCs w:val="24"/>
          <w:lang w:val="en-US"/>
        </w:rPr>
      </w:pPr>
      <w:r w:rsidRPr="003326CE">
        <w:rPr>
          <w:rFonts w:ascii="Symbol" w:eastAsia="Times New Roman" w:hAnsi="Symbol" w:cs="Times New Roman"/>
          <w:color w:val="000000"/>
          <w:sz w:val="24"/>
          <w:szCs w:val="24"/>
        </w:rPr>
        <w:sym w:font="Symbol" w:char="F02D"/>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The activity of</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calicreatin</w:t>
      </w:r>
      <w:proofErr w:type="spellEnd"/>
      <w:r w:rsidRPr="003326CE">
        <w:rPr>
          <w:rFonts w:ascii="Times New Roman" w:eastAsia="Times New Roman" w:hAnsi="Times New Roman" w:cs="Times New Roman"/>
          <w:color w:val="000000"/>
          <w:sz w:val="24"/>
          <w:szCs w:val="24"/>
          <w:lang w:val="en-US"/>
        </w:rPr>
        <w:t xml:space="preserve">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CC</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was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investigated using a method based on the determination of the amount of </w:t>
      </w:r>
      <w:proofErr w:type="spellStart"/>
      <w:r w:rsidRPr="003326CE">
        <w:rPr>
          <w:rFonts w:ascii="Times New Roman" w:eastAsia="Times New Roman" w:hAnsi="Times New Roman" w:cs="Times New Roman"/>
          <w:color w:val="000000"/>
          <w:sz w:val="24"/>
          <w:szCs w:val="24"/>
          <w:lang w:val="en-US"/>
        </w:rPr>
        <w:t>para-nitroaniline</w:t>
      </w:r>
      <w:proofErr w:type="spellEnd"/>
      <w:r w:rsidRPr="003326CE">
        <w:rPr>
          <w:rFonts w:ascii="Times New Roman" w:eastAsia="Times New Roman" w:hAnsi="Times New Roman" w:cs="Times New Roman"/>
          <w:color w:val="000000"/>
          <w:sz w:val="24"/>
          <w:szCs w:val="24"/>
          <w:lang w:val="en-US"/>
        </w:rPr>
        <w:t xml:space="preserve">, which is </w:t>
      </w:r>
      <w:proofErr w:type="spellStart"/>
      <w:r w:rsidRPr="003326CE">
        <w:rPr>
          <w:rFonts w:ascii="Times New Roman" w:eastAsia="Times New Roman" w:hAnsi="Times New Roman" w:cs="Times New Roman"/>
          <w:color w:val="000000"/>
          <w:sz w:val="24"/>
          <w:szCs w:val="24"/>
          <w:lang w:val="en-US"/>
        </w:rPr>
        <w:t>cleaved</w:t>
      </w:r>
      <w:proofErr w:type="spellEnd"/>
      <w:r w:rsidRPr="003326CE">
        <w:rPr>
          <w:rFonts w:ascii="Times New Roman" w:eastAsia="Times New Roman" w:hAnsi="Times New Roman" w:cs="Times New Roman"/>
          <w:color w:val="000000"/>
          <w:sz w:val="24"/>
          <w:szCs w:val="24"/>
          <w:lang w:val="en-US"/>
        </w:rPr>
        <w:t xml:space="preserve"> by the action of </w:t>
      </w:r>
      <w:proofErr w:type="spellStart"/>
      <w:r w:rsidRPr="003326CE">
        <w:rPr>
          <w:rFonts w:ascii="Times New Roman" w:eastAsia="Times New Roman" w:hAnsi="Times New Roman" w:cs="Times New Roman"/>
          <w:color w:val="000000"/>
          <w:sz w:val="24"/>
          <w:szCs w:val="24"/>
          <w:lang w:val="en-US"/>
        </w:rPr>
        <w:t>calicreatin</w:t>
      </w:r>
      <w:proofErr w:type="spellEnd"/>
      <w:r w:rsidRPr="003326CE">
        <w:rPr>
          <w:rFonts w:ascii="Times New Roman" w:eastAsia="Times New Roman" w:hAnsi="Times New Roman" w:cs="Times New Roman"/>
          <w:color w:val="000000"/>
          <w:sz w:val="24"/>
          <w:szCs w:val="24"/>
          <w:lang w:val="en-US"/>
        </w:rPr>
        <w:t xml:space="preserve"> from the synthetic substrate of the chromosome of the RK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18</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w:t>
      </w:r>
    </w:p>
    <w:p w:rsidR="003326CE" w:rsidRPr="003326CE" w:rsidRDefault="003326CE" w:rsidP="003326CE">
      <w:pPr>
        <w:spacing w:after="0" w:line="326" w:lineRule="atLeast"/>
        <w:ind w:left="720" w:hanging="360"/>
        <w:jc w:val="both"/>
        <w:rPr>
          <w:rFonts w:ascii="Times New Roman" w:eastAsia="Times New Roman" w:hAnsi="Times New Roman" w:cs="Times New Roman"/>
          <w:color w:val="000000"/>
          <w:sz w:val="24"/>
          <w:szCs w:val="24"/>
          <w:lang w:val="en-US"/>
        </w:rPr>
      </w:pPr>
      <w:r w:rsidRPr="003326CE">
        <w:rPr>
          <w:rFonts w:ascii="Symbol" w:eastAsia="Times New Roman" w:hAnsi="Symbol" w:cs="Times New Roman"/>
          <w:color w:val="000000"/>
          <w:sz w:val="24"/>
          <w:szCs w:val="24"/>
        </w:rPr>
        <w:sym w:font="Symbol" w:char="F02D"/>
      </w:r>
      <w:r w:rsidR="0056444D">
        <w:rPr>
          <w:rFonts w:ascii="Times New Roman" w:eastAsia="Times New Roman" w:hAnsi="Times New Roman" w:cs="Times New Roman"/>
          <w:color w:val="000000"/>
          <w:sz w:val="24"/>
          <w:szCs w:val="24"/>
          <w:lang w:val="en-US"/>
        </w:rPr>
        <w:t xml:space="preserve"> </w:t>
      </w:r>
      <w:r w:rsidR="0056444D">
        <w:rPr>
          <w:rFonts w:ascii="Times New Roman" w:eastAsia="Times New Roman" w:hAnsi="Times New Roman" w:cs="Times New Roman"/>
          <w:color w:val="000000"/>
          <w:sz w:val="14"/>
          <w:szCs w:val="14"/>
          <w:lang w:val="en-US"/>
        </w:rPr>
        <w:t xml:space="preserve">   </w:t>
      </w:r>
      <w:proofErr w:type="spellStart"/>
      <w:r w:rsidRPr="003326CE">
        <w:rPr>
          <w:rFonts w:ascii="Times New Roman" w:eastAsia="Times New Roman" w:hAnsi="Times New Roman" w:cs="Times New Roman"/>
          <w:color w:val="000000"/>
          <w:sz w:val="24"/>
          <w:szCs w:val="24"/>
          <w:lang w:val="en-US"/>
        </w:rPr>
        <w:t>Prekalikrein</w:t>
      </w:r>
      <w:proofErr w:type="spellEnd"/>
      <w:r w:rsidRPr="003326CE">
        <w:rPr>
          <w:rFonts w:ascii="Times New Roman" w:eastAsia="Times New Roman" w:hAnsi="Times New Roman" w:cs="Times New Roman"/>
          <w:color w:val="000000"/>
          <w:sz w:val="24"/>
          <w:szCs w:val="24"/>
          <w:lang w:val="en-US"/>
        </w:rPr>
        <w:t xml:space="preserve">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PAC</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was determined using the </w:t>
      </w:r>
      <w:proofErr w:type="spellStart"/>
      <w:r w:rsidRPr="003326CE">
        <w:rPr>
          <w:rFonts w:ascii="Times New Roman" w:eastAsia="Times New Roman" w:hAnsi="Times New Roman" w:cs="Times New Roman"/>
          <w:color w:val="000000"/>
          <w:sz w:val="24"/>
          <w:szCs w:val="24"/>
          <w:lang w:val="en-US"/>
        </w:rPr>
        <w:t>Veremeenko</w:t>
      </w:r>
      <w:proofErr w:type="spellEnd"/>
      <w:r w:rsidRPr="003326CE">
        <w:rPr>
          <w:rFonts w:ascii="Times New Roman" w:eastAsia="Times New Roman" w:hAnsi="Times New Roman" w:cs="Times New Roman"/>
          <w:color w:val="000000"/>
          <w:sz w:val="24"/>
          <w:szCs w:val="24"/>
          <w:lang w:val="en-US"/>
        </w:rPr>
        <w:t xml:space="preserve"> method, which is based on </w:t>
      </w:r>
      <w:proofErr w:type="spellStart"/>
      <w:r w:rsidRPr="003326CE">
        <w:rPr>
          <w:rFonts w:ascii="Times New Roman" w:eastAsia="Times New Roman" w:hAnsi="Times New Roman" w:cs="Times New Roman"/>
          <w:color w:val="000000"/>
          <w:sz w:val="24"/>
          <w:szCs w:val="24"/>
          <w:lang w:val="en-US"/>
        </w:rPr>
        <w:t>coalin</w:t>
      </w:r>
      <w:proofErr w:type="spellEnd"/>
      <w:r w:rsidRPr="003326CE">
        <w:rPr>
          <w:rFonts w:ascii="Times New Roman" w:eastAsia="Times New Roman" w:hAnsi="Times New Roman" w:cs="Times New Roman"/>
          <w:color w:val="000000"/>
          <w:sz w:val="24"/>
          <w:szCs w:val="24"/>
          <w:lang w:val="en-US"/>
        </w:rPr>
        <w:t xml:space="preserve"> activation, </w:t>
      </w:r>
      <w:proofErr w:type="spellStart"/>
      <w:r w:rsidRPr="003326CE">
        <w:rPr>
          <w:rFonts w:ascii="Times New Roman" w:eastAsia="Times New Roman" w:hAnsi="Times New Roman" w:cs="Times New Roman"/>
          <w:color w:val="000000"/>
          <w:sz w:val="24"/>
          <w:szCs w:val="24"/>
          <w:lang w:val="en-US"/>
        </w:rPr>
        <w:t>protamine</w:t>
      </w:r>
      <w:proofErr w:type="spellEnd"/>
      <w:r w:rsidRPr="003326CE">
        <w:rPr>
          <w:rFonts w:ascii="Times New Roman" w:eastAsia="Times New Roman" w:hAnsi="Times New Roman" w:cs="Times New Roman"/>
          <w:color w:val="000000"/>
          <w:sz w:val="24"/>
          <w:szCs w:val="24"/>
          <w:lang w:val="en-US"/>
        </w:rPr>
        <w:t xml:space="preserve"> sulfate incubation, reaction with </w:t>
      </w:r>
      <w:proofErr w:type="spellStart"/>
      <w:r w:rsidRPr="003326CE">
        <w:rPr>
          <w:rFonts w:ascii="Times New Roman" w:eastAsia="Times New Roman" w:hAnsi="Times New Roman" w:cs="Times New Roman"/>
          <w:color w:val="000000"/>
          <w:sz w:val="24"/>
          <w:szCs w:val="24"/>
          <w:lang w:val="en-US"/>
        </w:rPr>
        <w:t>trichloroacetic</w:t>
      </w:r>
      <w:proofErr w:type="spellEnd"/>
      <w:r w:rsidRPr="003326CE">
        <w:rPr>
          <w:rFonts w:ascii="Times New Roman" w:eastAsia="Times New Roman" w:hAnsi="Times New Roman" w:cs="Times New Roman"/>
          <w:color w:val="000000"/>
          <w:sz w:val="24"/>
          <w:szCs w:val="24"/>
          <w:lang w:val="en-US"/>
        </w:rPr>
        <w:t xml:space="preserve"> acid and determination of PAC by </w:t>
      </w:r>
      <w:proofErr w:type="spellStart"/>
      <w:r w:rsidRPr="003326CE">
        <w:rPr>
          <w:rFonts w:ascii="Times New Roman" w:eastAsia="Times New Roman" w:hAnsi="Times New Roman" w:cs="Times New Roman"/>
          <w:color w:val="000000"/>
          <w:sz w:val="24"/>
          <w:szCs w:val="24"/>
          <w:lang w:val="en-US"/>
        </w:rPr>
        <w:t>arginine</w:t>
      </w:r>
      <w:proofErr w:type="spellEnd"/>
      <w:r w:rsidRPr="003326CE">
        <w:rPr>
          <w:rFonts w:ascii="Times New Roman" w:eastAsia="Times New Roman" w:hAnsi="Times New Roman" w:cs="Times New Roman"/>
          <w:color w:val="000000"/>
          <w:sz w:val="24"/>
          <w:szCs w:val="24"/>
          <w:lang w:val="en-US"/>
        </w:rPr>
        <w:t xml:space="preserve"> level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13</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w:t>
      </w:r>
    </w:p>
    <w:p w:rsidR="003326CE" w:rsidRPr="003326CE" w:rsidRDefault="003326CE" w:rsidP="003326CE">
      <w:pPr>
        <w:spacing w:after="0" w:line="326" w:lineRule="atLeast"/>
        <w:ind w:left="720" w:hanging="360"/>
        <w:jc w:val="both"/>
        <w:rPr>
          <w:rFonts w:ascii="Times New Roman" w:eastAsia="Times New Roman" w:hAnsi="Times New Roman" w:cs="Times New Roman"/>
          <w:color w:val="000000"/>
          <w:sz w:val="24"/>
          <w:szCs w:val="24"/>
          <w:lang w:val="en-US"/>
        </w:rPr>
      </w:pPr>
      <w:r w:rsidRPr="003326CE">
        <w:rPr>
          <w:rFonts w:ascii="Symbol" w:eastAsia="Times New Roman" w:hAnsi="Symbol" w:cs="Times New Roman"/>
          <w:color w:val="000000"/>
          <w:sz w:val="24"/>
          <w:szCs w:val="24"/>
        </w:rPr>
        <w:sym w:font="Symbol" w:char="F02D"/>
      </w:r>
      <w:r w:rsidR="0056444D">
        <w:rPr>
          <w:rFonts w:ascii="Times New Roman" w:eastAsia="Times New Roman" w:hAnsi="Times New Roman" w:cs="Times New Roman"/>
          <w:color w:val="000000"/>
          <w:sz w:val="24"/>
          <w:szCs w:val="24"/>
          <w:lang w:val="en-US"/>
        </w:rPr>
        <w:t xml:space="preserve"> </w:t>
      </w:r>
      <w:r w:rsidR="0056444D">
        <w:rPr>
          <w:rFonts w:ascii="Times New Roman" w:eastAsia="Times New Roman" w:hAnsi="Times New Roman" w:cs="Times New Roman"/>
          <w:color w:val="000000"/>
          <w:sz w:val="14"/>
          <w:szCs w:val="14"/>
          <w:lang w:val="en-US"/>
        </w:rPr>
        <w:t xml:space="preserve">   </w:t>
      </w:r>
      <w:r w:rsidRPr="003326CE">
        <w:rPr>
          <w:rFonts w:ascii="Times New Roman" w:eastAsia="Times New Roman" w:hAnsi="Times New Roman" w:cs="Times New Roman"/>
          <w:color w:val="000000"/>
          <w:sz w:val="24"/>
          <w:szCs w:val="24"/>
          <w:lang w:val="en-US"/>
        </w:rPr>
        <w:t>-</w:t>
      </w:r>
      <w:proofErr w:type="spellStart"/>
      <w:proofErr w:type="gramStart"/>
      <w:r w:rsidRPr="003326CE">
        <w:rPr>
          <w:rFonts w:ascii="Times New Roman" w:eastAsia="Times New Roman" w:hAnsi="Times New Roman" w:cs="Times New Roman"/>
          <w:color w:val="000000"/>
          <w:sz w:val="24"/>
          <w:szCs w:val="24"/>
          <w:lang w:val="en-US"/>
        </w:rPr>
        <w:t>inhibitora</w:t>
      </w:r>
      <w:proofErr w:type="spellEnd"/>
      <w:proofErr w:type="gramEnd"/>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activity</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rPr>
        <w:t>α</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16"/>
          <w:vertAlign w:val="subscript"/>
          <w:lang w:val="en-US"/>
        </w:rPr>
        <w:t>1</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protease (</w:t>
      </w:r>
      <w:r w:rsidRPr="003326CE">
        <w:rPr>
          <w:rFonts w:ascii="Times New Roman" w:eastAsia="Times New Roman" w:hAnsi="Times New Roman" w:cs="Times New Roman"/>
          <w:color w:val="000000"/>
          <w:sz w:val="24"/>
          <w:szCs w:val="24"/>
        </w:rPr>
        <w:t>α</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16"/>
          <w:vertAlign w:val="subscript"/>
          <w:lang w:val="en-US"/>
        </w:rPr>
        <w:t>1</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-IP)</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and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rPr>
        <w:t>α</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16"/>
          <w:vertAlign w:val="subscript"/>
          <w:lang w:val="en-US"/>
        </w:rPr>
        <w:t>2</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proofErr w:type="spellStart"/>
      <w:r w:rsidRPr="003326CE">
        <w:rPr>
          <w:rFonts w:ascii="Times New Roman" w:eastAsia="Times New Roman" w:hAnsi="Times New Roman" w:cs="Times New Roman"/>
          <w:color w:val="000000"/>
          <w:sz w:val="24"/>
          <w:szCs w:val="24"/>
          <w:lang w:val="en-US"/>
        </w:rPr>
        <w:t>makrohlobulinu</w:t>
      </w:r>
      <w:proofErr w:type="spellEnd"/>
      <w:r w:rsidRPr="003326CE">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rPr>
        <w:t>α</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16"/>
          <w:vertAlign w:val="subscript"/>
          <w:lang w:val="en-US"/>
        </w:rPr>
        <w:t>2</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-MH)</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determined uniform </w:t>
      </w:r>
      <w:proofErr w:type="spellStart"/>
      <w:r w:rsidRPr="003326CE">
        <w:rPr>
          <w:rFonts w:ascii="Times New Roman" w:eastAsia="Times New Roman" w:hAnsi="Times New Roman" w:cs="Times New Roman"/>
          <w:color w:val="000000"/>
          <w:sz w:val="24"/>
          <w:szCs w:val="24"/>
          <w:lang w:val="en-US"/>
        </w:rPr>
        <w:t>spectrophotometric</w:t>
      </w:r>
      <w:proofErr w:type="spellEnd"/>
      <w:r w:rsidRPr="003326CE">
        <w:rPr>
          <w:rFonts w:ascii="Times New Roman" w:eastAsia="Times New Roman" w:hAnsi="Times New Roman" w:cs="Times New Roman"/>
          <w:color w:val="000000"/>
          <w:sz w:val="24"/>
          <w:szCs w:val="24"/>
          <w:lang w:val="en-US"/>
        </w:rPr>
        <w:t xml:space="preserve"> method for the inhibition of the hydrolysis of N-</w:t>
      </w:r>
      <w:proofErr w:type="spellStart"/>
      <w:r w:rsidRPr="003326CE">
        <w:rPr>
          <w:rFonts w:ascii="Times New Roman" w:eastAsia="Times New Roman" w:hAnsi="Times New Roman" w:cs="Times New Roman"/>
          <w:color w:val="000000"/>
          <w:sz w:val="24"/>
          <w:szCs w:val="24"/>
          <w:lang w:val="en-US"/>
        </w:rPr>
        <w:t>bezolles</w:t>
      </w:r>
      <w:proofErr w:type="spellEnd"/>
      <w:r w:rsidRPr="003326CE">
        <w:rPr>
          <w:rFonts w:ascii="Times New Roman" w:eastAsia="Times New Roman" w:hAnsi="Times New Roman" w:cs="Times New Roman"/>
          <w:color w:val="000000"/>
          <w:sz w:val="24"/>
          <w:szCs w:val="24"/>
          <w:lang w:val="en-US"/>
        </w:rPr>
        <w:t>-L-</w:t>
      </w:r>
      <w:proofErr w:type="spellStart"/>
      <w:r w:rsidRPr="003326CE">
        <w:rPr>
          <w:rFonts w:ascii="Times New Roman" w:eastAsia="Times New Roman" w:hAnsi="Times New Roman" w:cs="Times New Roman"/>
          <w:color w:val="000000"/>
          <w:sz w:val="24"/>
          <w:szCs w:val="24"/>
          <w:lang w:val="en-US"/>
        </w:rPr>
        <w:t>arginine</w:t>
      </w:r>
      <w:proofErr w:type="spellEnd"/>
      <w:r w:rsidRPr="003326CE">
        <w:rPr>
          <w:rFonts w:ascii="Times New Roman" w:eastAsia="Times New Roman" w:hAnsi="Times New Roman" w:cs="Times New Roman"/>
          <w:color w:val="000000"/>
          <w:sz w:val="24"/>
          <w:szCs w:val="24"/>
          <w:lang w:val="en-US"/>
        </w:rPr>
        <w:t xml:space="preserve"> ethyl ester;</w:t>
      </w:r>
    </w:p>
    <w:p w:rsidR="003326CE" w:rsidRPr="003326CE" w:rsidRDefault="003326CE" w:rsidP="003326CE">
      <w:pPr>
        <w:spacing w:after="0" w:line="326" w:lineRule="atLeast"/>
        <w:ind w:left="720" w:hanging="360"/>
        <w:jc w:val="both"/>
        <w:rPr>
          <w:rFonts w:ascii="Times New Roman" w:eastAsia="Times New Roman" w:hAnsi="Times New Roman" w:cs="Times New Roman"/>
          <w:color w:val="000000"/>
          <w:sz w:val="24"/>
          <w:szCs w:val="24"/>
          <w:lang w:val="en-US"/>
        </w:rPr>
      </w:pPr>
      <w:r w:rsidRPr="003326CE">
        <w:rPr>
          <w:rFonts w:ascii="Symbol" w:eastAsia="Times New Roman" w:hAnsi="Symbol" w:cs="Times New Roman"/>
          <w:color w:val="000000"/>
          <w:sz w:val="24"/>
          <w:szCs w:val="24"/>
        </w:rPr>
        <w:sym w:font="Symbol" w:char="F02D"/>
      </w:r>
      <w:r w:rsidR="0056444D">
        <w:rPr>
          <w:rFonts w:ascii="Times New Roman" w:eastAsia="Times New Roman" w:hAnsi="Times New Roman" w:cs="Times New Roman"/>
          <w:color w:val="000000"/>
          <w:sz w:val="24"/>
          <w:szCs w:val="24"/>
          <w:lang w:val="en-US"/>
        </w:rPr>
        <w:t xml:space="preserve"> </w:t>
      </w:r>
      <w:r w:rsidR="0056444D">
        <w:rPr>
          <w:rFonts w:ascii="Times New Roman" w:eastAsia="Times New Roman" w:hAnsi="Times New Roman" w:cs="Times New Roman"/>
          <w:color w:val="000000"/>
          <w:sz w:val="14"/>
          <w:szCs w:val="14"/>
          <w:lang w:val="en-US"/>
        </w:rPr>
        <w:t xml:space="preserve">   </w:t>
      </w:r>
      <w:proofErr w:type="gramStart"/>
      <w:r w:rsidRPr="003326CE">
        <w:rPr>
          <w:rFonts w:ascii="Times New Roman" w:eastAsia="Times New Roman" w:hAnsi="Times New Roman" w:cs="Times New Roman"/>
          <w:color w:val="000000"/>
          <w:sz w:val="24"/>
          <w:szCs w:val="24"/>
          <w:lang w:val="en-US"/>
        </w:rPr>
        <w:t>determination</w:t>
      </w:r>
      <w:proofErr w:type="gramEnd"/>
      <w:r w:rsidRPr="003326CE">
        <w:rPr>
          <w:rFonts w:ascii="Times New Roman" w:eastAsia="Times New Roman" w:hAnsi="Times New Roman" w:cs="Times New Roman"/>
          <w:color w:val="000000"/>
          <w:sz w:val="24"/>
          <w:szCs w:val="24"/>
          <w:lang w:val="en-US"/>
        </w:rPr>
        <w:t xml:space="preserve"> of the activity of </w:t>
      </w:r>
      <w:proofErr w:type="spellStart"/>
      <w:r w:rsidRPr="003326CE">
        <w:rPr>
          <w:rFonts w:ascii="Times New Roman" w:eastAsia="Times New Roman" w:hAnsi="Times New Roman" w:cs="Times New Roman"/>
          <w:color w:val="000000"/>
          <w:sz w:val="24"/>
          <w:szCs w:val="24"/>
          <w:lang w:val="en-US"/>
        </w:rPr>
        <w:t>kininase</w:t>
      </w:r>
      <w:proofErr w:type="spellEnd"/>
      <w:r w:rsidRPr="003326CE">
        <w:rPr>
          <w:rFonts w:ascii="Times New Roman" w:eastAsia="Times New Roman" w:hAnsi="Times New Roman" w:cs="Times New Roman"/>
          <w:color w:val="000000"/>
          <w:sz w:val="24"/>
          <w:szCs w:val="24"/>
          <w:lang w:val="en-US"/>
        </w:rPr>
        <w:t xml:space="preserve">-II was carried out by </w:t>
      </w:r>
      <w:proofErr w:type="spellStart"/>
      <w:r w:rsidRPr="003326CE">
        <w:rPr>
          <w:rFonts w:ascii="Times New Roman" w:eastAsia="Times New Roman" w:hAnsi="Times New Roman" w:cs="Times New Roman"/>
          <w:color w:val="000000"/>
          <w:sz w:val="24"/>
          <w:szCs w:val="24"/>
          <w:lang w:val="en-US"/>
        </w:rPr>
        <w:t>spectrophotometric</w:t>
      </w:r>
      <w:proofErr w:type="spellEnd"/>
      <w:r w:rsidRPr="003326CE">
        <w:rPr>
          <w:rFonts w:ascii="Times New Roman" w:eastAsia="Times New Roman" w:hAnsi="Times New Roman" w:cs="Times New Roman"/>
          <w:color w:val="000000"/>
          <w:sz w:val="24"/>
          <w:szCs w:val="24"/>
          <w:lang w:val="en-US"/>
        </w:rPr>
        <w:t xml:space="preserve"> Folk method by cleavage of </w:t>
      </w:r>
      <w:proofErr w:type="spellStart"/>
      <w:r w:rsidRPr="003326CE">
        <w:rPr>
          <w:rFonts w:ascii="Times New Roman" w:eastAsia="Times New Roman" w:hAnsi="Times New Roman" w:cs="Times New Roman"/>
          <w:color w:val="000000"/>
          <w:sz w:val="24"/>
          <w:szCs w:val="24"/>
          <w:lang w:val="en-US"/>
        </w:rPr>
        <w:t>hippuryl</w:t>
      </w:r>
      <w:proofErr w:type="spellEnd"/>
      <w:r w:rsidRPr="003326CE">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rPr>
        <w:t>β</w:t>
      </w:r>
      <w:r w:rsidRPr="003326CE">
        <w:rPr>
          <w:rFonts w:ascii="Times New Roman" w:eastAsia="Times New Roman" w:hAnsi="Times New Roman" w:cs="Times New Roman"/>
          <w:color w:val="000000"/>
          <w:sz w:val="24"/>
          <w:szCs w:val="24"/>
          <w:lang w:val="en-US"/>
        </w:rPr>
        <w:t>-</w:t>
      </w:r>
      <w:proofErr w:type="spellStart"/>
      <w:r w:rsidRPr="003326CE">
        <w:rPr>
          <w:rFonts w:ascii="Times New Roman" w:eastAsia="Times New Roman" w:hAnsi="Times New Roman" w:cs="Times New Roman"/>
          <w:color w:val="000000"/>
          <w:sz w:val="24"/>
          <w:szCs w:val="24"/>
          <w:lang w:val="en-US"/>
        </w:rPr>
        <w:t>arginine</w:t>
      </w:r>
      <w:proofErr w:type="spellEnd"/>
      <w:r w:rsidRPr="003326CE">
        <w:rPr>
          <w:rFonts w:ascii="Times New Roman" w:eastAsia="Times New Roman" w:hAnsi="Times New Roman" w:cs="Times New Roman"/>
          <w:color w:val="000000"/>
          <w:sz w:val="24"/>
          <w:szCs w:val="24"/>
          <w:lang w:val="en-US"/>
        </w:rPr>
        <w:t xml:space="preserve">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13</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Statistical processing of the obtained data was performed on a personal computer using standard software packages of Microsoft Excel and with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help of</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Statistica</w:t>
      </w:r>
      <w:proofErr w:type="spellEnd"/>
      <w:r w:rsidRPr="003326CE">
        <w:rPr>
          <w:rFonts w:ascii="Times New Roman" w:eastAsia="Times New Roman" w:hAnsi="Times New Roman" w:cs="Times New Roman"/>
          <w:color w:val="000000"/>
          <w:sz w:val="24"/>
          <w:szCs w:val="24"/>
          <w:lang w:val="en-US"/>
        </w:rPr>
        <w:t xml:space="preserve"> for Windows version 6.0 (Stat Soft inc., USA).</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b/>
          <w:bCs/>
          <w:color w:val="000000"/>
          <w:sz w:val="24"/>
          <w:szCs w:val="24"/>
          <w:lang w:val="en-US"/>
        </w:rPr>
        <w:lastRenderedPageBreak/>
        <w:t>RESULTS AND THEIR DISCUSSION</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 xml:space="preserve">By analyzing the lipid metabolism indices before and after treatment in patients of the two study groups, we determined a statistically significant improvement in the entire spectrum of </w:t>
      </w:r>
      <w:proofErr w:type="spellStart"/>
      <w:r w:rsidRPr="003326CE">
        <w:rPr>
          <w:rFonts w:ascii="Times New Roman" w:eastAsia="Times New Roman" w:hAnsi="Times New Roman" w:cs="Times New Roman"/>
          <w:color w:val="000000"/>
          <w:sz w:val="24"/>
          <w:szCs w:val="24"/>
          <w:lang w:val="en-US"/>
        </w:rPr>
        <w:t>lipidogram</w:t>
      </w:r>
      <w:proofErr w:type="spellEnd"/>
      <w:r w:rsidRPr="003326CE">
        <w:rPr>
          <w:rFonts w:ascii="Times New Roman" w:eastAsia="Times New Roman" w:hAnsi="Times New Roman" w:cs="Times New Roman"/>
          <w:color w:val="000000"/>
          <w:sz w:val="24"/>
          <w:szCs w:val="24"/>
          <w:lang w:val="en-US"/>
        </w:rPr>
        <w:t xml:space="preserve"> parameters (p &lt;0.05).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In patients of group II, the percentage changes in </w:t>
      </w:r>
      <w:proofErr w:type="spellStart"/>
      <w:r w:rsidRPr="003326CE">
        <w:rPr>
          <w:rFonts w:ascii="Times New Roman" w:eastAsia="Times New Roman" w:hAnsi="Times New Roman" w:cs="Times New Roman"/>
          <w:color w:val="000000"/>
          <w:sz w:val="24"/>
          <w:szCs w:val="24"/>
          <w:lang w:val="en-US"/>
        </w:rPr>
        <w:t>lipidogram</w:t>
      </w:r>
      <w:proofErr w:type="spellEnd"/>
      <w:r w:rsidRPr="003326CE">
        <w:rPr>
          <w:rFonts w:ascii="Times New Roman" w:eastAsia="Times New Roman" w:hAnsi="Times New Roman" w:cs="Times New Roman"/>
          <w:color w:val="000000"/>
          <w:sz w:val="24"/>
          <w:szCs w:val="24"/>
          <w:lang w:val="en-US"/>
        </w:rPr>
        <w:t xml:space="preserve"> rates were more significant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than in patients of Group I,</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which proves the property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omega-3</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PUFAs to enhance </w:t>
      </w:r>
      <w:proofErr w:type="spellStart"/>
      <w:r w:rsidRPr="003326CE">
        <w:rPr>
          <w:rFonts w:ascii="Times New Roman" w:eastAsia="Times New Roman" w:hAnsi="Times New Roman" w:cs="Times New Roman"/>
          <w:color w:val="000000"/>
          <w:sz w:val="24"/>
          <w:szCs w:val="24"/>
          <w:lang w:val="en-US"/>
        </w:rPr>
        <w:t>thehypopipidemic</w:t>
      </w:r>
      <w:proofErr w:type="spellEnd"/>
      <w:r w:rsidRPr="003326CE">
        <w:rPr>
          <w:rFonts w:ascii="Times New Roman" w:eastAsia="Times New Roman" w:hAnsi="Times New Roman" w:cs="Times New Roman"/>
          <w:color w:val="000000"/>
          <w:sz w:val="24"/>
          <w:szCs w:val="24"/>
          <w:lang w:val="en-US"/>
        </w:rPr>
        <w:t xml:space="preserve"> effect of </w:t>
      </w:r>
      <w:proofErr w:type="spellStart"/>
      <w:r w:rsidRPr="003326CE">
        <w:rPr>
          <w:rFonts w:ascii="Times New Roman" w:eastAsia="Times New Roman" w:hAnsi="Times New Roman" w:cs="Times New Roman"/>
          <w:color w:val="000000"/>
          <w:sz w:val="24"/>
          <w:szCs w:val="24"/>
          <w:lang w:val="en-US"/>
        </w:rPr>
        <w:t>statins</w:t>
      </w:r>
      <w:proofErr w:type="spellEnd"/>
      <w:r w:rsidRPr="003326CE">
        <w:rPr>
          <w:rFonts w:ascii="Times New Roman" w:eastAsia="Times New Roman" w:hAnsi="Times New Roman" w:cs="Times New Roman"/>
          <w:color w:val="000000"/>
          <w:sz w:val="24"/>
          <w:szCs w:val="24"/>
          <w:lang w:val="en-US"/>
        </w:rPr>
        <w:t xml:space="preserve"> (Fig.</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w:t>
      </w:r>
    </w:p>
    <w:p w:rsidR="003326CE" w:rsidRPr="003326CE" w:rsidRDefault="003326CE" w:rsidP="003326CE">
      <w:pPr>
        <w:spacing w:after="0" w:line="380" w:lineRule="atLeast"/>
        <w:ind w:firstLine="708"/>
        <w:jc w:val="center"/>
        <w:rPr>
          <w:rFonts w:ascii="Times New Roman" w:eastAsia="Times New Roman" w:hAnsi="Times New Roman" w:cs="Times New Roman"/>
          <w:color w:val="000000"/>
          <w:sz w:val="28"/>
          <w:szCs w:val="28"/>
        </w:rPr>
      </w:pPr>
      <w:r>
        <w:rPr>
          <w:rFonts w:ascii="Times New Roman" w:hAnsi="Times New Roman"/>
          <w:noProof/>
          <w:sz w:val="28"/>
          <w:szCs w:val="28"/>
        </w:rPr>
        <w:drawing>
          <wp:inline distT="0" distB="0" distL="0" distR="0">
            <wp:extent cx="4977130" cy="253619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326CE" w:rsidRPr="003326CE" w:rsidRDefault="003326CE" w:rsidP="003326CE">
      <w:pPr>
        <w:spacing w:after="0" w:line="326" w:lineRule="atLeast"/>
        <w:ind w:firstLine="708"/>
        <w:jc w:val="center"/>
        <w:rPr>
          <w:rFonts w:ascii="Times New Roman" w:eastAsia="Times New Roman" w:hAnsi="Times New Roman" w:cs="Times New Roman"/>
          <w:color w:val="000000"/>
          <w:sz w:val="24"/>
          <w:szCs w:val="24"/>
          <w:lang w:val="en-US"/>
        </w:rPr>
      </w:pPr>
      <w:proofErr w:type="gramStart"/>
      <w:r w:rsidRPr="003326CE">
        <w:rPr>
          <w:rFonts w:ascii="Times New Roman" w:eastAsia="Times New Roman" w:hAnsi="Times New Roman" w:cs="Times New Roman"/>
          <w:color w:val="000000"/>
          <w:sz w:val="24"/>
          <w:szCs w:val="24"/>
          <w:lang w:val="en-US"/>
        </w:rPr>
        <w:t>Fig</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w:t>
      </w:r>
      <w:proofErr w:type="gramEnd"/>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Percentage reduction of </w:t>
      </w:r>
      <w:proofErr w:type="spellStart"/>
      <w:r w:rsidRPr="003326CE">
        <w:rPr>
          <w:rFonts w:ascii="Times New Roman" w:eastAsia="Times New Roman" w:hAnsi="Times New Roman" w:cs="Times New Roman"/>
          <w:color w:val="000000"/>
          <w:sz w:val="24"/>
          <w:szCs w:val="24"/>
          <w:lang w:val="en-US"/>
        </w:rPr>
        <w:t>lipidogram</w:t>
      </w:r>
      <w:proofErr w:type="spellEnd"/>
      <w:r w:rsidRPr="003326CE">
        <w:rPr>
          <w:rFonts w:ascii="Times New Roman" w:eastAsia="Times New Roman" w:hAnsi="Times New Roman" w:cs="Times New Roman"/>
          <w:color w:val="000000"/>
          <w:sz w:val="24"/>
          <w:szCs w:val="24"/>
          <w:lang w:val="en-US"/>
        </w:rPr>
        <w:t xml:space="preserve"> rates after treatment in patients with CP with concomitant CID in comparative groups</w:t>
      </w:r>
      <w:r w:rsidR="0056444D">
        <w:rPr>
          <w:rFonts w:ascii="Times New Roman" w:eastAsia="Times New Roman" w:hAnsi="Times New Roman" w:cs="Times New Roman"/>
          <w:color w:val="000000"/>
          <w:sz w:val="24"/>
          <w:szCs w:val="24"/>
          <w:lang w:val="en-US"/>
        </w:rPr>
        <w:t>.</w:t>
      </w:r>
    </w:p>
    <w:p w:rsidR="003326CE" w:rsidRPr="003326CE" w:rsidRDefault="0056444D" w:rsidP="003326CE">
      <w:pPr>
        <w:spacing w:after="0" w:line="326" w:lineRule="atLeast"/>
        <w:ind w:firstLine="708"/>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 xml:space="preserve">In particular, under the influence of treatment </w:t>
      </w:r>
      <w:proofErr w:type="spellStart"/>
      <w:r w:rsidRPr="003326CE">
        <w:rPr>
          <w:rFonts w:ascii="Times New Roman" w:eastAsia="Times New Roman" w:hAnsi="Times New Roman" w:cs="Times New Roman"/>
          <w:color w:val="000000"/>
          <w:sz w:val="24"/>
          <w:szCs w:val="24"/>
          <w:lang w:val="en-US"/>
        </w:rPr>
        <w:t>proslidkovuvalos</w:t>
      </w:r>
      <w:proofErr w:type="spellEnd"/>
      <w:r w:rsidRPr="003326CE">
        <w:rPr>
          <w:rFonts w:ascii="Times New Roman" w:eastAsia="Times New Roman" w:hAnsi="Times New Roman" w:cs="Times New Roman"/>
          <w:color w:val="000000"/>
          <w:sz w:val="24"/>
          <w:szCs w:val="24"/>
          <w:lang w:val="en-US"/>
        </w:rPr>
        <w:t xml:space="preserve"> statistically significant reduction of TG in patients as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group,</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and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patients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II group on such indicators to treatment, but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patients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II group, which further took the drug omega-3</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PUFA,</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the level of TG was 15, 70</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lower than in patients with Group I</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 &lt;0.05).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As a result of the treatment, a statistically significant decrease in the levels of LDL-HPV and LDL-C in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two</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treatment groups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was observed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compared with the pre-treatment (p &lt;0.001).</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It should be noted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that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level of LDL and LDL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in patients of group </w:t>
      </w:r>
      <w:r w:rsidRPr="003326CE">
        <w:rPr>
          <w:rFonts w:ascii="Times New Roman" w:eastAsia="Times New Roman" w:hAnsi="Times New Roman" w:cs="Times New Roman"/>
          <w:color w:val="000000"/>
          <w:sz w:val="24"/>
          <w:szCs w:val="24"/>
        </w:rPr>
        <w:t>ІІ</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after treatment was statistically significantly</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lower than those of Group I (p &lt;0.05)</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which proves a significant </w:t>
      </w:r>
      <w:proofErr w:type="spellStart"/>
      <w:r w:rsidRPr="003326CE">
        <w:rPr>
          <w:rFonts w:ascii="Times New Roman" w:eastAsia="Times New Roman" w:hAnsi="Times New Roman" w:cs="Times New Roman"/>
          <w:color w:val="000000"/>
          <w:sz w:val="24"/>
          <w:szCs w:val="24"/>
          <w:lang w:val="en-US"/>
        </w:rPr>
        <w:t>hypolipidemic</w:t>
      </w:r>
      <w:proofErr w:type="spellEnd"/>
      <w:r w:rsidRPr="003326CE">
        <w:rPr>
          <w:rFonts w:ascii="Times New Roman" w:eastAsia="Times New Roman" w:hAnsi="Times New Roman" w:cs="Times New Roman"/>
          <w:color w:val="000000"/>
          <w:sz w:val="24"/>
          <w:szCs w:val="24"/>
          <w:lang w:val="en-US"/>
        </w:rPr>
        <w:t xml:space="preserve"> effect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omega-3</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PUFAs.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The level of HCV after treatment was also statistically significantly lower in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two</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treatment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groups compared to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post-treatment period, but in the second group, the decrease was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more significant and statistically significant in</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these groups in the 1st group (p &lt;0.05)</w:t>
      </w:r>
      <w:r w:rsidR="0056444D">
        <w:rPr>
          <w:rFonts w:ascii="Times New Roman" w:eastAsia="Times New Roman" w:hAnsi="Times New Roman" w:cs="Times New Roman"/>
          <w:color w:val="000000"/>
          <w:sz w:val="24"/>
          <w:szCs w:val="24"/>
          <w:lang w:val="en-US"/>
        </w:rPr>
        <w:t>.</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As for HDL, their concentration under the influence of treatment increased in all groups compared to baseline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 &lt;0</w:t>
      </w:r>
      <w:proofErr w:type="gramStart"/>
      <w:r w:rsidRPr="003326CE">
        <w:rPr>
          <w:rFonts w:ascii="Times New Roman" w:eastAsia="Times New Roman" w:hAnsi="Times New Roman" w:cs="Times New Roman"/>
          <w:color w:val="000000"/>
          <w:sz w:val="24"/>
          <w:szCs w:val="24"/>
          <w:lang w:val="en-US"/>
        </w:rPr>
        <w:t>,05</w:t>
      </w:r>
      <w:proofErr w:type="gramEnd"/>
      <w:r w:rsidRPr="003326CE">
        <w:rPr>
          <w:rFonts w:ascii="Times New Roman" w:eastAsia="Times New Roman" w:hAnsi="Times New Roman" w:cs="Times New Roman"/>
          <w:color w:val="000000"/>
          <w:sz w:val="24"/>
          <w:szCs w:val="24"/>
          <w:lang w:val="en-US"/>
        </w:rPr>
        <w:t>), but in the second group of patients, this increase was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higher</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by</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27.48%</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comparison with patients and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groups.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CA after treatment was statistically significantly reduced in all groups as compared to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time before treatment (p &lt;0.001).</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CA</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after treatment was also more statistically significantly decreased in patients of group II compared to patients in group </w:t>
      </w:r>
      <w:r w:rsidRPr="003326CE">
        <w:rPr>
          <w:rFonts w:ascii="Times New Roman" w:eastAsia="Times New Roman" w:hAnsi="Times New Roman" w:cs="Times New Roman"/>
          <w:color w:val="000000"/>
          <w:sz w:val="24"/>
          <w:szCs w:val="24"/>
        </w:rPr>
        <w:t>І</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(p&gt; 0.05), which</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again proves the direct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influence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omega-3</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PUFAs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on lipid metabolism.</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In the study of the state of indicators of the syndrome P</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OL and AOS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Before treatment in patients with CP in combination with CIC,</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it was found that the level of MA as a marker for the intensification of LPA was significantly higher</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rPr>
        <w:t>І</w:t>
      </w:r>
      <w:r w:rsidRPr="003326CE">
        <w:rPr>
          <w:rFonts w:ascii="Times New Roman" w:eastAsia="Times New Roman" w:hAnsi="Times New Roman" w:cs="Times New Roman"/>
          <w:color w:val="000000"/>
          <w:sz w:val="24"/>
          <w:szCs w:val="24"/>
          <w:lang w:val="en-US"/>
        </w:rPr>
        <w:t xml:space="preserve"> and </w:t>
      </w:r>
      <w:r w:rsidRPr="003326CE">
        <w:rPr>
          <w:rFonts w:ascii="Times New Roman" w:eastAsia="Times New Roman" w:hAnsi="Times New Roman" w:cs="Times New Roman"/>
          <w:color w:val="000000"/>
          <w:sz w:val="24"/>
          <w:szCs w:val="24"/>
        </w:rPr>
        <w:t>ІІ</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study groups compared with the control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and was accordingly (6.35</w:t>
      </w:r>
      <w:r w:rsidR="0056444D">
        <w:rPr>
          <w:rFonts w:ascii="Times New Roman" w:eastAsia="Times New Roman" w:hAnsi="Times New Roman" w:cs="Times New Roman"/>
          <w:color w:val="000000"/>
          <w:sz w:val="24"/>
          <w:szCs w:val="24"/>
          <w:lang w:val="en-US"/>
        </w:rPr>
        <w:t xml:space="preserve"> </w:t>
      </w:r>
      <w:r w:rsidRPr="003326CE">
        <w:rPr>
          <w:rFonts w:ascii="Century Schoolbook" w:eastAsia="Times New Roman" w:hAnsi="Century Schoolbook"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0.07)</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to</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mol</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l and (6.39</w:t>
      </w:r>
      <w:r w:rsidR="0056444D">
        <w:rPr>
          <w:rFonts w:ascii="Times New Roman" w:eastAsia="Times New Roman" w:hAnsi="Times New Roman" w:cs="Times New Roman"/>
          <w:color w:val="000000"/>
          <w:sz w:val="24"/>
          <w:szCs w:val="24"/>
          <w:lang w:val="en-US"/>
        </w:rPr>
        <w:t xml:space="preserve"> </w:t>
      </w:r>
      <w:r w:rsidRPr="003326CE">
        <w:rPr>
          <w:rFonts w:ascii="Century Schoolbook" w:eastAsia="Times New Roman" w:hAnsi="Century Schoolbook"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0.09)</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to</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mol</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After the treatment, the level of MA in group </w:t>
      </w:r>
      <w:r w:rsidRPr="003326CE">
        <w:rPr>
          <w:rFonts w:ascii="Times New Roman" w:eastAsia="Times New Roman" w:hAnsi="Times New Roman" w:cs="Times New Roman"/>
          <w:color w:val="000000"/>
          <w:sz w:val="24"/>
          <w:szCs w:val="24"/>
        </w:rPr>
        <w:t>І</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and significantly decreased by 1.40</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to</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mol</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l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22</w:t>
      </w:r>
      <w:proofErr w:type="gramStart"/>
      <w:r w:rsidRPr="003326CE">
        <w:rPr>
          <w:rFonts w:ascii="Times New Roman" w:eastAsia="Times New Roman" w:hAnsi="Times New Roman" w:cs="Times New Roman"/>
          <w:color w:val="000000"/>
          <w:sz w:val="24"/>
          <w:szCs w:val="24"/>
          <w:lang w:val="en-US"/>
        </w:rPr>
        <w:t>,05</w:t>
      </w:r>
      <w:proofErr w:type="gramEnd"/>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lastRenderedPageBreak/>
        <w:t>while in the second group this indicator has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significantly decreased by 2,22</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to</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mol</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l </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34.75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indicating a more significant </w:t>
      </w:r>
      <w:proofErr w:type="spellStart"/>
      <w:r w:rsidRPr="003326CE">
        <w:rPr>
          <w:rFonts w:ascii="Times New Roman" w:eastAsia="Times New Roman" w:hAnsi="Times New Roman" w:cs="Times New Roman"/>
          <w:color w:val="000000"/>
          <w:sz w:val="24"/>
          <w:szCs w:val="24"/>
          <w:lang w:val="en-US"/>
        </w:rPr>
        <w:t>procoal</w:t>
      </w:r>
      <w:proofErr w:type="spellEnd"/>
      <w:r w:rsidRPr="003326CE">
        <w:rPr>
          <w:rFonts w:ascii="Times New Roman" w:eastAsia="Times New Roman" w:hAnsi="Times New Roman" w:cs="Times New Roman"/>
          <w:color w:val="000000"/>
          <w:sz w:val="24"/>
          <w:szCs w:val="24"/>
          <w:lang w:val="en-US"/>
        </w:rPr>
        <w:t xml:space="preserve"> suppression</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with</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idantic</w:t>
      </w:r>
      <w:proofErr w:type="spellEnd"/>
      <w:r w:rsidRPr="003326CE">
        <w:rPr>
          <w:rFonts w:ascii="Times New Roman" w:eastAsia="Times New Roman" w:hAnsi="Times New Roman" w:cs="Times New Roman"/>
          <w:color w:val="000000"/>
          <w:sz w:val="24"/>
          <w:szCs w:val="24"/>
          <w:lang w:val="en-US"/>
        </w:rPr>
        <w:t xml:space="preserve"> mechanisms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under the influence of receiving the drug</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omega-3</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PUFA</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proofErr w:type="spellStart"/>
      <w:r w:rsidRPr="003326CE">
        <w:rPr>
          <w:rFonts w:ascii="Times New Roman" w:eastAsia="Times New Roman" w:hAnsi="Times New Roman" w:cs="Times New Roman"/>
          <w:color w:val="000000"/>
          <w:sz w:val="24"/>
          <w:szCs w:val="24"/>
          <w:lang w:val="en-US"/>
        </w:rPr>
        <w:t>Omacor</w:t>
      </w:r>
      <w:proofErr w:type="spellEnd"/>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compared to </w:t>
      </w:r>
      <w:proofErr w:type="spellStart"/>
      <w:r w:rsidRPr="003326CE">
        <w:rPr>
          <w:rFonts w:ascii="Times New Roman" w:eastAsia="Times New Roman" w:hAnsi="Times New Roman" w:cs="Times New Roman"/>
          <w:color w:val="000000"/>
          <w:sz w:val="24"/>
          <w:szCs w:val="24"/>
          <w:lang w:val="en-US"/>
        </w:rPr>
        <w:t>rezul</w:t>
      </w:r>
      <w:proofErr w:type="spellEnd"/>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tatamy</w:t>
      </w:r>
      <w:proofErr w:type="spellEnd"/>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conventional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treatment (Fig.</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2</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Also,</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prior to treatment,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there was a significant decrease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efficiency of AOS enzymes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by the level of SOD (Group I</w:t>
      </w:r>
      <w:r w:rsidR="0056444D">
        <w:rPr>
          <w:rFonts w:ascii="Times New Roman" w:eastAsia="Times New Roman" w:hAnsi="Times New Roman" w:cs="Times New Roman"/>
          <w:color w:val="000000"/>
          <w:sz w:val="24"/>
          <w:szCs w:val="24"/>
          <w:lang w:val="en-US"/>
        </w:rPr>
        <w:t xml:space="preserve"> — </w:t>
      </w:r>
      <w:r w:rsidRPr="003326CE">
        <w:rPr>
          <w:rFonts w:ascii="Times New Roman" w:eastAsia="Times New Roman" w:hAnsi="Times New Roman" w:cs="Times New Roman"/>
          <w:color w:val="000000"/>
          <w:sz w:val="24"/>
          <w:szCs w:val="24"/>
          <w:lang w:val="en-US"/>
        </w:rPr>
        <w:t>(39.22 ± 0.47)</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mind.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vehicles;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Group II</w:t>
      </w:r>
      <w:r w:rsidR="0056444D">
        <w:rPr>
          <w:rFonts w:ascii="Times New Roman" w:eastAsia="Times New Roman" w:hAnsi="Times New Roman" w:cs="Times New Roman"/>
          <w:color w:val="000000"/>
          <w:sz w:val="24"/>
          <w:szCs w:val="24"/>
          <w:lang w:val="en-US"/>
        </w:rPr>
        <w:t xml:space="preserve"> — (</w:t>
      </w:r>
      <w:r w:rsidRPr="003326CE">
        <w:rPr>
          <w:rFonts w:ascii="Times New Roman" w:eastAsia="Times New Roman" w:hAnsi="Times New Roman" w:cs="Times New Roman"/>
          <w:color w:val="000000"/>
          <w:sz w:val="24"/>
          <w:szCs w:val="24"/>
          <w:lang w:val="en-US"/>
        </w:rPr>
        <w:t>39.52 ± 0.45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mind.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unit</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andSH</w:t>
      </w:r>
      <w:proofErr w:type="spellEnd"/>
      <w:r w:rsidRPr="003326CE">
        <w:rPr>
          <w:rFonts w:ascii="Times New Roman" w:eastAsia="Times New Roman" w:hAnsi="Times New Roman" w:cs="Times New Roman"/>
          <w:color w:val="000000"/>
          <w:sz w:val="24"/>
          <w:szCs w:val="24"/>
          <w:lang w:val="en-US"/>
        </w:rPr>
        <w:t>-groups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(Group I</w:t>
      </w:r>
      <w:r w:rsidR="0056444D">
        <w:rPr>
          <w:rFonts w:ascii="Times New Roman" w:eastAsia="Times New Roman" w:hAnsi="Times New Roman" w:cs="Times New Roman"/>
          <w:color w:val="000000"/>
          <w:sz w:val="24"/>
          <w:szCs w:val="24"/>
          <w:lang w:val="en-US"/>
        </w:rPr>
        <w:t xml:space="preserve"> — </w:t>
      </w:r>
      <w:r w:rsidRPr="003326CE">
        <w:rPr>
          <w:rFonts w:ascii="Times New Roman" w:eastAsia="Times New Roman" w:hAnsi="Times New Roman" w:cs="Times New Roman"/>
          <w:color w:val="000000"/>
          <w:sz w:val="24"/>
          <w:szCs w:val="24"/>
          <w:lang w:val="en-US"/>
        </w:rPr>
        <w:t>(38.55 ± 0.47)</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mol</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Group II</w:t>
      </w:r>
      <w:r w:rsidR="0056444D">
        <w:rPr>
          <w:rFonts w:ascii="Times New Roman" w:eastAsia="Times New Roman" w:hAnsi="Times New Roman" w:cs="Times New Roman"/>
          <w:color w:val="000000"/>
          <w:sz w:val="24"/>
          <w:szCs w:val="24"/>
          <w:lang w:val="en-US"/>
        </w:rPr>
        <w:t xml:space="preserve"> — (</w:t>
      </w:r>
      <w:r w:rsidRPr="003326CE">
        <w:rPr>
          <w:rFonts w:ascii="Times New Roman" w:eastAsia="Times New Roman" w:hAnsi="Times New Roman" w:cs="Times New Roman"/>
          <w:color w:val="000000"/>
          <w:sz w:val="24"/>
          <w:szCs w:val="24"/>
          <w:lang w:val="en-US"/>
        </w:rPr>
        <w:t>38.52</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0.45)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mol</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both groups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compared to</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control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After treatment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was observed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 significant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increase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Honorable</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ovirne</w:t>
      </w:r>
      <w:proofErr w:type="spellEnd"/>
      <w:r w:rsidRPr="003326CE">
        <w:rPr>
          <w:rFonts w:ascii="Times New Roman" w:eastAsia="Times New Roman" w:hAnsi="Times New Roman" w:cs="Times New Roman"/>
          <w:color w:val="000000"/>
          <w:sz w:val="24"/>
          <w:szCs w:val="24"/>
          <w:lang w:val="en-US"/>
        </w:rPr>
        <w:t xml:space="preserve"> SOD </w:t>
      </w:r>
      <w:proofErr w:type="gramStart"/>
      <w:r w:rsidRPr="003326CE">
        <w:rPr>
          <w:rFonts w:ascii="Times New Roman" w:eastAsia="Times New Roman" w:hAnsi="Times New Roman" w:cs="Times New Roman"/>
          <w:color w:val="000000"/>
          <w:sz w:val="24"/>
          <w:szCs w:val="24"/>
          <w:lang w:val="en-US"/>
        </w:rPr>
        <w:t>activity(</w:t>
      </w:r>
      <w:proofErr w:type="gramEnd"/>
      <w:r w:rsidRPr="003326CE">
        <w:rPr>
          <w:rFonts w:ascii="Times New Roman" w:eastAsia="Times New Roman" w:hAnsi="Times New Roman" w:cs="Times New Roman"/>
          <w:color w:val="000000"/>
          <w:sz w:val="24"/>
          <w:szCs w:val="24"/>
          <w:lang w:val="en-US"/>
        </w:rPr>
        <w:t>by</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24.98%)</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and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increase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ting of SH-groups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(15.81%)</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the second group, while in the first group, these figures increased slightly and unreliable.</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 xml:space="preserve">The level of </w:t>
      </w:r>
      <w:proofErr w:type="spellStart"/>
      <w:r w:rsidRPr="003326CE">
        <w:rPr>
          <w:rFonts w:ascii="Times New Roman" w:eastAsia="Times New Roman" w:hAnsi="Times New Roman" w:cs="Times New Roman"/>
          <w:color w:val="000000"/>
          <w:sz w:val="24"/>
          <w:szCs w:val="24"/>
          <w:lang w:val="en-US"/>
        </w:rPr>
        <w:t>catalase</w:t>
      </w:r>
      <w:proofErr w:type="spellEnd"/>
      <w:r w:rsidRPr="003326CE">
        <w:rPr>
          <w:rFonts w:ascii="Times New Roman" w:eastAsia="Times New Roman" w:hAnsi="Times New Roman" w:cs="Times New Roman"/>
          <w:color w:val="000000"/>
          <w:sz w:val="24"/>
          <w:szCs w:val="24"/>
          <w:lang w:val="en-US"/>
        </w:rPr>
        <w:t xml:space="preserve"> in blood plasma</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before treatment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1st and 2nd group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patients was significantly higher compared to</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control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((55.72</w:t>
      </w:r>
      <w:r w:rsidR="0056444D">
        <w:rPr>
          <w:rFonts w:ascii="Times New Roman" w:eastAsia="Times New Roman" w:hAnsi="Times New Roman" w:cs="Times New Roman"/>
          <w:color w:val="000000"/>
          <w:sz w:val="24"/>
          <w:szCs w:val="24"/>
          <w:lang w:val="en-US"/>
        </w:rPr>
        <w:t xml:space="preserve"> </w:t>
      </w:r>
      <w:r w:rsidRPr="003326CE">
        <w:rPr>
          <w:rFonts w:ascii="Century Schoolbook" w:eastAsia="Times New Roman" w:hAnsi="Century Schoolbook"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1.12)</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and (55.77</w:t>
      </w:r>
      <w:r w:rsidR="0056444D">
        <w:rPr>
          <w:rFonts w:ascii="Times New Roman" w:eastAsia="Times New Roman" w:hAnsi="Times New Roman" w:cs="Times New Roman"/>
          <w:color w:val="000000"/>
          <w:sz w:val="24"/>
          <w:szCs w:val="24"/>
          <w:lang w:val="en-US"/>
        </w:rPr>
        <w:t xml:space="preserve"> </w:t>
      </w:r>
      <w:r w:rsidRPr="003326CE">
        <w:rPr>
          <w:rFonts w:ascii="Century Schoolbook" w:eastAsia="Times New Roman" w:hAnsi="Century Schoolbook"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1.03)</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respectively)</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After treatment, this indicator significantly decreased by</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16.22</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in group </w:t>
      </w:r>
      <w:proofErr w:type="gramStart"/>
      <w:r w:rsidRPr="003326CE">
        <w:rPr>
          <w:rFonts w:ascii="Times New Roman" w:eastAsia="Times New Roman" w:hAnsi="Times New Roman" w:cs="Times New Roman"/>
          <w:color w:val="000000"/>
          <w:sz w:val="24"/>
          <w:szCs w:val="24"/>
          <w:lang w:val="en-US"/>
        </w:rPr>
        <w:t>I</w:t>
      </w:r>
      <w:proofErr w:type="gramEnd"/>
      <w:r w:rsidRPr="003326CE">
        <w:rPr>
          <w:rFonts w:ascii="Times New Roman" w:eastAsia="Times New Roman" w:hAnsi="Times New Roman" w:cs="Times New Roman"/>
          <w:color w:val="000000"/>
          <w:sz w:val="24"/>
          <w:szCs w:val="24"/>
          <w:lang w:val="en-US"/>
        </w:rPr>
        <w:t xml:space="preserve"> and in</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30.68</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the second group, which</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demonstrated the regulatory capacity of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PUFA</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Omacor</w:t>
      </w:r>
      <w:proofErr w:type="spellEnd"/>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preparation for</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AOP</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As for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blood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pressure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level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Groups I and II</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this indicator</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was elevated compared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to control;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after treatment,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level of the CPU</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significantly decreased in the two study groups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13.18</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I</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r</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and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23.48</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the second group</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which proved the anti-inflammatory and corrective properties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PUFAs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the studied combined pathology</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Fig</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2</w:t>
      </w:r>
      <w:r w:rsidR="0056444D">
        <w:rPr>
          <w:rFonts w:ascii="Times New Roman" w:eastAsia="Times New Roman" w:hAnsi="Times New Roman" w:cs="Times New Roman"/>
          <w:color w:val="000000"/>
          <w:sz w:val="24"/>
          <w:szCs w:val="24"/>
          <w:lang w:val="en-US"/>
        </w:rPr>
        <w:t>).</w:t>
      </w:r>
    </w:p>
    <w:p w:rsidR="003326CE" w:rsidRPr="003326CE" w:rsidRDefault="003326CE" w:rsidP="003326CE">
      <w:pPr>
        <w:spacing w:after="0" w:line="326" w:lineRule="atLeast"/>
        <w:ind w:firstLine="708"/>
        <w:jc w:val="center"/>
        <w:rPr>
          <w:rFonts w:ascii="Times New Roman" w:eastAsia="Times New Roman" w:hAnsi="Times New Roman" w:cs="Times New Roman"/>
          <w:color w:val="000000"/>
          <w:sz w:val="24"/>
          <w:szCs w:val="24"/>
        </w:rPr>
      </w:pPr>
      <w:r>
        <w:rPr>
          <w:rFonts w:ascii="Times New Roman" w:hAnsi="Times New Roman"/>
          <w:b/>
          <w:noProof/>
          <w:sz w:val="24"/>
          <w:szCs w:val="24"/>
        </w:rPr>
        <w:drawing>
          <wp:inline distT="0" distB="0" distL="0" distR="0">
            <wp:extent cx="4891405" cy="3019425"/>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326CE" w:rsidRPr="003326CE" w:rsidRDefault="003326CE" w:rsidP="003326CE">
      <w:pPr>
        <w:spacing w:after="0" w:line="326" w:lineRule="atLeast"/>
        <w:ind w:firstLine="708"/>
        <w:jc w:val="center"/>
        <w:rPr>
          <w:rFonts w:ascii="Times New Roman" w:eastAsia="Times New Roman" w:hAnsi="Times New Roman" w:cs="Times New Roman"/>
          <w:color w:val="000000"/>
          <w:sz w:val="24"/>
          <w:szCs w:val="24"/>
          <w:lang w:val="en-US"/>
        </w:rPr>
      </w:pPr>
      <w:proofErr w:type="gramStart"/>
      <w:r w:rsidRPr="003326CE">
        <w:rPr>
          <w:rFonts w:ascii="Times New Roman" w:eastAsia="Times New Roman" w:hAnsi="Times New Roman" w:cs="Times New Roman"/>
          <w:color w:val="000000"/>
          <w:sz w:val="24"/>
          <w:szCs w:val="24"/>
          <w:lang w:val="en-US"/>
        </w:rPr>
        <w:t>Fig.</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2.</w:t>
      </w:r>
      <w:proofErr w:type="gramEnd"/>
      <w:r w:rsidRPr="003326CE">
        <w:rPr>
          <w:rFonts w:ascii="Times New Roman" w:eastAsia="Times New Roman" w:hAnsi="Times New Roman" w:cs="Times New Roman"/>
          <w:color w:val="000000"/>
          <w:sz w:val="24"/>
          <w:szCs w:val="24"/>
          <w:lang w:val="en-US"/>
        </w:rPr>
        <w:t xml:space="preserve"> </w:t>
      </w:r>
      <w:proofErr w:type="gramStart"/>
      <w:r w:rsidRPr="003326CE">
        <w:rPr>
          <w:rFonts w:ascii="Times New Roman" w:eastAsia="Times New Roman" w:hAnsi="Times New Roman" w:cs="Times New Roman"/>
          <w:color w:val="000000"/>
          <w:sz w:val="24"/>
          <w:szCs w:val="24"/>
          <w:lang w:val="en-US"/>
        </w:rPr>
        <w:t>Dynamics of indicators of the system of LPO-AOP after treatment in patients with COP with concomitant CICS in the comparative groups.</w:t>
      </w:r>
      <w:proofErr w:type="gramEnd"/>
    </w:p>
    <w:p w:rsidR="003326CE" w:rsidRPr="003326CE" w:rsidRDefault="0056444D" w:rsidP="003326CE">
      <w:pPr>
        <w:spacing w:after="0" w:line="326" w:lineRule="atLeast"/>
        <w:ind w:firstLine="708"/>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proofErr w:type="gramStart"/>
      <w:r w:rsidRPr="003326CE">
        <w:rPr>
          <w:rFonts w:ascii="Times New Roman" w:eastAsia="Times New Roman" w:hAnsi="Times New Roman" w:cs="Times New Roman"/>
          <w:color w:val="000000"/>
          <w:sz w:val="24"/>
          <w:szCs w:val="24"/>
          <w:lang w:val="en-US"/>
        </w:rPr>
        <w:t>Based on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data</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presented in</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Table.</w:t>
      </w:r>
      <w:proofErr w:type="gramEnd"/>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we can state the higher efficiency of the proposed treatment regimen, enhanced use of the drug</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omega-3 PUFA</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compared with</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standard protocol </w:t>
      </w:r>
      <w:proofErr w:type="spellStart"/>
      <w:r w:rsidRPr="003326CE">
        <w:rPr>
          <w:rFonts w:ascii="Times New Roman" w:eastAsia="Times New Roman" w:hAnsi="Times New Roman" w:cs="Times New Roman"/>
          <w:color w:val="000000"/>
          <w:sz w:val="24"/>
          <w:szCs w:val="24"/>
          <w:lang w:val="en-US"/>
        </w:rPr>
        <w:t>treatment</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Acne</w:t>
      </w:r>
      <w:proofErr w:type="spellEnd"/>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levels dropped by 11.94</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group I and 17.63</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group II, QC decreased by 7.52</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group I and by 12.95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group II, the level of PKC increased by 9.56</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group 1 and 16.62</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group 2 (Table 1).</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w:t>
      </w:r>
      <w:r w:rsidR="0056444D">
        <w:rPr>
          <w:rFonts w:ascii="Times New Roman" w:eastAsia="Times New Roman" w:hAnsi="Times New Roman" w:cs="Times New Roman"/>
          <w:color w:val="000000"/>
          <w:sz w:val="24"/>
          <w:szCs w:val="24"/>
          <w:lang w:val="en-US"/>
        </w:rPr>
        <w:t xml:space="preserve"> </w:t>
      </w:r>
      <w:proofErr w:type="gramStart"/>
      <w:r w:rsidRPr="003326CE">
        <w:rPr>
          <w:rFonts w:ascii="Times New Roman" w:eastAsia="Times New Roman" w:hAnsi="Times New Roman" w:cs="Times New Roman"/>
          <w:color w:val="000000"/>
          <w:sz w:val="24"/>
          <w:szCs w:val="24"/>
          <w:lang w:val="en-US"/>
        </w:rPr>
        <w:t>The</w:t>
      </w:r>
      <w:proofErr w:type="gramEnd"/>
      <w:r w:rsidRPr="003326CE">
        <w:rPr>
          <w:rFonts w:ascii="Times New Roman" w:eastAsia="Times New Roman" w:hAnsi="Times New Roman" w:cs="Times New Roman"/>
          <w:color w:val="000000"/>
          <w:sz w:val="24"/>
          <w:szCs w:val="24"/>
          <w:lang w:val="en-US"/>
        </w:rPr>
        <w:t xml:space="preserve"> levels of these indices after treatment in groups I and II were statistically significantly higher relative to those in the treatment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 &lt;0.05).</w:t>
      </w:r>
    </w:p>
    <w:p w:rsidR="003326CE" w:rsidRPr="003326CE" w:rsidRDefault="0056444D" w:rsidP="003326CE">
      <w:pPr>
        <w:spacing w:after="0" w:line="326" w:lineRule="atLeas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56444D" w:rsidRDefault="0056444D" w:rsidP="003326CE">
      <w:pPr>
        <w:spacing w:after="0" w:line="326" w:lineRule="atLeast"/>
        <w:rPr>
          <w:rFonts w:ascii="Times New Roman" w:eastAsia="Times New Roman" w:hAnsi="Times New Roman" w:cs="Times New Roman"/>
          <w:color w:val="000000"/>
          <w:sz w:val="24"/>
          <w:szCs w:val="24"/>
          <w:lang w:val="en-US"/>
        </w:rPr>
      </w:pPr>
    </w:p>
    <w:p w:rsidR="0056444D" w:rsidRDefault="0056444D" w:rsidP="003326CE">
      <w:pPr>
        <w:spacing w:after="0" w:line="326" w:lineRule="atLeast"/>
        <w:rPr>
          <w:rFonts w:ascii="Times New Roman" w:eastAsia="Times New Roman" w:hAnsi="Times New Roman" w:cs="Times New Roman"/>
          <w:color w:val="000000"/>
          <w:sz w:val="24"/>
          <w:szCs w:val="24"/>
          <w:lang w:val="en-US"/>
        </w:rPr>
      </w:pPr>
    </w:p>
    <w:p w:rsidR="003326CE" w:rsidRPr="003326CE" w:rsidRDefault="003326CE" w:rsidP="003326CE">
      <w:pPr>
        <w:spacing w:after="0" w:line="326" w:lineRule="atLeast"/>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lastRenderedPageBreak/>
        <w:t>Table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1</w:t>
      </w:r>
    </w:p>
    <w:p w:rsidR="003326CE" w:rsidRPr="003326CE" w:rsidRDefault="003326CE" w:rsidP="003326CE">
      <w:pPr>
        <w:spacing w:after="0" w:line="326" w:lineRule="atLeast"/>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b/>
          <w:bCs/>
          <w:color w:val="000000"/>
          <w:sz w:val="24"/>
          <w:szCs w:val="24"/>
          <w:lang w:val="en-US"/>
        </w:rPr>
        <w:t>The state of indicators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b/>
          <w:bCs/>
          <w:color w:val="000000"/>
          <w:sz w:val="24"/>
          <w:szCs w:val="24"/>
          <w:lang w:val="en-US"/>
        </w:rPr>
        <w:t>CCS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b/>
          <w:bCs/>
          <w:color w:val="000000"/>
          <w:sz w:val="24"/>
          <w:szCs w:val="24"/>
          <w:lang w:val="en-US"/>
        </w:rPr>
        <w:t>in patients with CP with concomitant SIC before and after treatment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b/>
          <w:bCs/>
          <w:color w:val="000000"/>
          <w:sz w:val="24"/>
          <w:szCs w:val="24"/>
          <w:lang w:val="en-US"/>
        </w:rPr>
        <w:t>in comparative groups</w:t>
      </w:r>
    </w:p>
    <w:tbl>
      <w:tblPr>
        <w:tblW w:w="0" w:type="auto"/>
        <w:tblCellMar>
          <w:left w:w="0" w:type="dxa"/>
          <w:right w:w="0" w:type="dxa"/>
        </w:tblCellMar>
        <w:tblLook w:val="04A0"/>
      </w:tblPr>
      <w:tblGrid>
        <w:gridCol w:w="1816"/>
        <w:gridCol w:w="1485"/>
        <w:gridCol w:w="1595"/>
        <w:gridCol w:w="1527"/>
        <w:gridCol w:w="1574"/>
        <w:gridCol w:w="1574"/>
      </w:tblGrid>
      <w:tr w:rsidR="003326CE" w:rsidRPr="003326CE" w:rsidTr="003326CE">
        <w:tc>
          <w:tcPr>
            <w:tcW w:w="186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56444D" w:rsidP="003326CE">
            <w:pPr>
              <w:spacing w:after="0" w:line="250" w:lineRule="atLeast"/>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3326CE" w:rsidRPr="003326CE" w:rsidRDefault="003326CE" w:rsidP="003326CE">
            <w:pPr>
              <w:spacing w:after="0" w:line="250" w:lineRule="atLeast"/>
              <w:jc w:val="both"/>
              <w:rPr>
                <w:rFonts w:ascii="Times New Roman" w:eastAsia="Times New Roman" w:hAnsi="Times New Roman" w:cs="Times New Roman"/>
                <w:sz w:val="24"/>
                <w:szCs w:val="24"/>
              </w:rPr>
            </w:pPr>
            <w:proofErr w:type="spellStart"/>
            <w:r w:rsidRPr="003326CE">
              <w:rPr>
                <w:rFonts w:ascii="Times New Roman" w:eastAsia="Times New Roman" w:hAnsi="Times New Roman" w:cs="Times New Roman"/>
                <w:sz w:val="24"/>
                <w:szCs w:val="24"/>
              </w:rPr>
              <w:t>Indicator</w:t>
            </w:r>
            <w:proofErr w:type="spellEnd"/>
          </w:p>
          <w:p w:rsidR="003326CE" w:rsidRPr="003326CE" w:rsidRDefault="003326CE" w:rsidP="003326CE">
            <w:pPr>
              <w:spacing w:after="0" w:line="250" w:lineRule="atLeast"/>
              <w:jc w:val="both"/>
              <w:rPr>
                <w:rFonts w:ascii="Times New Roman" w:eastAsia="Times New Roman" w:hAnsi="Times New Roman" w:cs="Times New Roman"/>
                <w:sz w:val="24"/>
                <w:szCs w:val="24"/>
              </w:rPr>
            </w:pPr>
            <w:proofErr w:type="spellStart"/>
            <w:r w:rsidRPr="003326CE">
              <w:rPr>
                <w:rFonts w:ascii="Times New Roman" w:eastAsia="Times New Roman" w:hAnsi="Times New Roman" w:cs="Times New Roman"/>
                <w:sz w:val="24"/>
                <w:szCs w:val="24"/>
              </w:rPr>
              <w:t>proteolysis</w:t>
            </w:r>
            <w:proofErr w:type="spellEnd"/>
          </w:p>
        </w:tc>
        <w:tc>
          <w:tcPr>
            <w:tcW w:w="799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50" w:lineRule="atLeast"/>
              <w:jc w:val="center"/>
              <w:rPr>
                <w:rFonts w:ascii="Times New Roman" w:eastAsia="Times New Roman" w:hAnsi="Times New Roman" w:cs="Times New Roman"/>
                <w:sz w:val="24"/>
                <w:szCs w:val="24"/>
              </w:rPr>
            </w:pPr>
            <w:proofErr w:type="spellStart"/>
            <w:r w:rsidRPr="003326CE">
              <w:rPr>
                <w:rFonts w:ascii="Times New Roman" w:eastAsia="Times New Roman" w:hAnsi="Times New Roman" w:cs="Times New Roman"/>
                <w:sz w:val="24"/>
                <w:szCs w:val="24"/>
              </w:rPr>
              <w:t>Comparison</w:t>
            </w:r>
            <w:proofErr w:type="spellEnd"/>
            <w:r w:rsidRPr="003326CE">
              <w:rPr>
                <w:rFonts w:ascii="Times New Roman" w:eastAsia="Times New Roman" w:hAnsi="Times New Roman" w:cs="Times New Roman"/>
                <w:sz w:val="24"/>
                <w:szCs w:val="24"/>
              </w:rPr>
              <w:t xml:space="preserve"> </w:t>
            </w:r>
            <w:proofErr w:type="spellStart"/>
            <w:r w:rsidRPr="003326CE">
              <w:rPr>
                <w:rFonts w:ascii="Times New Roman" w:eastAsia="Times New Roman" w:hAnsi="Times New Roman" w:cs="Times New Roman"/>
                <w:sz w:val="24"/>
                <w:szCs w:val="24"/>
              </w:rPr>
              <w:t>Group</w:t>
            </w:r>
            <w:proofErr w:type="spellEnd"/>
          </w:p>
        </w:tc>
      </w:tr>
      <w:tr w:rsidR="003326CE" w:rsidRPr="003326CE" w:rsidTr="003326C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326CE" w:rsidRPr="003326CE" w:rsidRDefault="003326CE" w:rsidP="003326CE">
            <w:pPr>
              <w:spacing w:after="0" w:line="240" w:lineRule="auto"/>
              <w:rPr>
                <w:rFonts w:ascii="Times New Roman" w:eastAsia="Times New Roman" w:hAnsi="Times New Roman" w:cs="Times New Roman"/>
                <w:sz w:val="24"/>
                <w:szCs w:val="24"/>
              </w:rPr>
            </w:pPr>
          </w:p>
        </w:tc>
        <w:tc>
          <w:tcPr>
            <w:tcW w:w="150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56444D" w:rsidP="003326CE">
            <w:pPr>
              <w:spacing w:after="0" w:line="25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326CE" w:rsidRPr="003326CE" w:rsidRDefault="003326CE" w:rsidP="003326CE">
            <w:pPr>
              <w:spacing w:after="0" w:line="250" w:lineRule="atLeast"/>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CONTROL</w:t>
            </w:r>
          </w:p>
          <w:p w:rsidR="003326CE" w:rsidRPr="003326CE" w:rsidRDefault="003326CE" w:rsidP="003326CE">
            <w:pPr>
              <w:spacing w:after="0" w:line="250" w:lineRule="atLeast"/>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w:t>
            </w:r>
            <w:proofErr w:type="spellStart"/>
            <w:r w:rsidRPr="003326CE">
              <w:rPr>
                <w:rFonts w:ascii="Times New Roman" w:eastAsia="Times New Roman" w:hAnsi="Times New Roman" w:cs="Times New Roman"/>
                <w:sz w:val="24"/>
                <w:szCs w:val="24"/>
              </w:rPr>
              <w:t>n</w:t>
            </w:r>
            <w:proofErr w:type="spellEnd"/>
            <w:r w:rsidRPr="003326CE">
              <w:rPr>
                <w:rFonts w:ascii="Times New Roman" w:eastAsia="Times New Roman" w:hAnsi="Times New Roman" w:cs="Times New Roman"/>
                <w:sz w:val="24"/>
                <w:szCs w:val="24"/>
              </w:rPr>
              <w:t xml:space="preserve"> = 20)</w:t>
            </w:r>
          </w:p>
        </w:tc>
        <w:tc>
          <w:tcPr>
            <w:tcW w:w="323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50" w:lineRule="atLeast"/>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 xml:space="preserve">1 </w:t>
            </w:r>
            <w:proofErr w:type="spellStart"/>
            <w:r w:rsidRPr="003326CE">
              <w:rPr>
                <w:rFonts w:ascii="Times New Roman" w:eastAsia="Times New Roman" w:hAnsi="Times New Roman" w:cs="Times New Roman"/>
                <w:sz w:val="24"/>
                <w:szCs w:val="24"/>
              </w:rPr>
              <w:t>group</w:t>
            </w:r>
            <w:proofErr w:type="spellEnd"/>
          </w:p>
          <w:p w:rsidR="003326CE" w:rsidRPr="003326CE" w:rsidRDefault="0056444D" w:rsidP="003326CE">
            <w:pPr>
              <w:spacing w:after="0" w:line="25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sidR="003326CE" w:rsidRPr="003326CE">
              <w:rPr>
                <w:rFonts w:ascii="Times New Roman" w:eastAsia="Times New Roman" w:hAnsi="Times New Roman" w:cs="Times New Roman"/>
                <w:sz w:val="24"/>
                <w:szCs w:val="24"/>
              </w:rPr>
              <w:t>n</w:t>
            </w:r>
            <w:proofErr w:type="spellEnd"/>
            <w:r w:rsidR="003326CE" w:rsidRPr="003326CE">
              <w:rPr>
                <w:rFonts w:ascii="Times New Roman" w:eastAsia="Times New Roman" w:hAnsi="Times New Roman" w:cs="Times New Roman"/>
                <w:sz w:val="24"/>
                <w:szCs w:val="24"/>
              </w:rPr>
              <w:t xml:space="preserve"> = 45</w:t>
            </w:r>
            <w:r>
              <w:rPr>
                <w:rFonts w:ascii="Times New Roman" w:eastAsia="Times New Roman" w:hAnsi="Times New Roman" w:cs="Times New Roman"/>
                <w:sz w:val="24"/>
                <w:szCs w:val="24"/>
              </w:rPr>
              <w:t>)</w:t>
            </w:r>
          </w:p>
        </w:tc>
        <w:tc>
          <w:tcPr>
            <w:tcW w:w="326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50" w:lineRule="atLeast"/>
              <w:jc w:val="center"/>
              <w:rPr>
                <w:rFonts w:ascii="Times New Roman" w:eastAsia="Times New Roman" w:hAnsi="Times New Roman" w:cs="Times New Roman"/>
                <w:sz w:val="24"/>
                <w:szCs w:val="24"/>
              </w:rPr>
            </w:pPr>
            <w:proofErr w:type="spellStart"/>
            <w:r w:rsidRPr="003326CE">
              <w:rPr>
                <w:rFonts w:ascii="Times New Roman" w:eastAsia="Times New Roman" w:hAnsi="Times New Roman" w:cs="Times New Roman"/>
                <w:sz w:val="24"/>
                <w:szCs w:val="24"/>
              </w:rPr>
              <w:t>Group</w:t>
            </w:r>
            <w:proofErr w:type="spellEnd"/>
            <w:r w:rsidRPr="003326CE">
              <w:rPr>
                <w:rFonts w:ascii="Times New Roman" w:eastAsia="Times New Roman" w:hAnsi="Times New Roman" w:cs="Times New Roman"/>
                <w:sz w:val="24"/>
                <w:szCs w:val="24"/>
              </w:rPr>
              <w:t xml:space="preserve"> 2</w:t>
            </w:r>
          </w:p>
          <w:p w:rsidR="003326CE" w:rsidRPr="003326CE" w:rsidRDefault="0056444D" w:rsidP="003326CE">
            <w:pPr>
              <w:spacing w:after="0" w:line="25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sidR="003326CE" w:rsidRPr="003326CE">
              <w:rPr>
                <w:rFonts w:ascii="Times New Roman" w:eastAsia="Times New Roman" w:hAnsi="Times New Roman" w:cs="Times New Roman"/>
                <w:sz w:val="24"/>
                <w:szCs w:val="24"/>
              </w:rPr>
              <w:t>n</w:t>
            </w:r>
            <w:proofErr w:type="spellEnd"/>
            <w:r w:rsidR="003326CE" w:rsidRPr="003326CE">
              <w:rPr>
                <w:rFonts w:ascii="Times New Roman" w:eastAsia="Times New Roman" w:hAnsi="Times New Roman" w:cs="Times New Roman"/>
                <w:sz w:val="24"/>
                <w:szCs w:val="24"/>
              </w:rPr>
              <w:t xml:space="preserve"> = 45</w:t>
            </w:r>
            <w:r>
              <w:rPr>
                <w:rFonts w:ascii="Times New Roman" w:eastAsia="Times New Roman" w:hAnsi="Times New Roman" w:cs="Times New Roman"/>
                <w:sz w:val="24"/>
                <w:szCs w:val="24"/>
              </w:rPr>
              <w:t>)</w:t>
            </w:r>
          </w:p>
        </w:tc>
      </w:tr>
      <w:tr w:rsidR="003326CE" w:rsidRPr="003326CE" w:rsidTr="003326C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326CE" w:rsidRPr="003326CE" w:rsidRDefault="003326CE" w:rsidP="003326CE">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326CE" w:rsidRPr="003326CE" w:rsidRDefault="003326CE" w:rsidP="003326CE">
            <w:pPr>
              <w:spacing w:after="0" w:line="240" w:lineRule="auto"/>
              <w:rPr>
                <w:rFonts w:ascii="Times New Roman" w:eastAsia="Times New Roman" w:hAnsi="Times New Roman" w:cs="Times New Roman"/>
                <w:sz w:val="24"/>
                <w:szCs w:val="24"/>
              </w:rPr>
            </w:pPr>
          </w:p>
        </w:tc>
        <w:tc>
          <w:tcPr>
            <w:tcW w:w="16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56444D" w:rsidRDefault="0056444D" w:rsidP="003326CE">
            <w:pPr>
              <w:spacing w:after="0" w:line="25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before</w:t>
            </w:r>
          </w:p>
          <w:p w:rsidR="003326CE" w:rsidRPr="003326CE" w:rsidRDefault="003326CE" w:rsidP="003326CE">
            <w:pPr>
              <w:spacing w:after="0" w:line="250" w:lineRule="atLeast"/>
              <w:jc w:val="center"/>
              <w:rPr>
                <w:rFonts w:ascii="Times New Roman" w:eastAsia="Times New Roman" w:hAnsi="Times New Roman" w:cs="Times New Roman"/>
                <w:sz w:val="24"/>
                <w:szCs w:val="24"/>
              </w:rPr>
            </w:pPr>
            <w:proofErr w:type="spellStart"/>
            <w:r w:rsidRPr="003326CE">
              <w:rPr>
                <w:rFonts w:ascii="Times New Roman" w:eastAsia="Times New Roman" w:hAnsi="Times New Roman" w:cs="Times New Roman"/>
                <w:sz w:val="24"/>
                <w:szCs w:val="24"/>
              </w:rPr>
              <w:t>treatment</w:t>
            </w:r>
            <w:proofErr w:type="spellEnd"/>
          </w:p>
        </w:tc>
        <w:tc>
          <w:tcPr>
            <w:tcW w:w="1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50" w:lineRule="atLeast"/>
              <w:jc w:val="center"/>
              <w:rPr>
                <w:rFonts w:ascii="Times New Roman" w:eastAsia="Times New Roman" w:hAnsi="Times New Roman" w:cs="Times New Roman"/>
                <w:sz w:val="24"/>
                <w:szCs w:val="24"/>
              </w:rPr>
            </w:pPr>
            <w:proofErr w:type="spellStart"/>
            <w:r w:rsidRPr="003326CE">
              <w:rPr>
                <w:rFonts w:ascii="Times New Roman" w:eastAsia="Times New Roman" w:hAnsi="Times New Roman" w:cs="Times New Roman"/>
                <w:sz w:val="24"/>
                <w:szCs w:val="24"/>
              </w:rPr>
              <w:t>after</w:t>
            </w:r>
            <w:proofErr w:type="spellEnd"/>
            <w:r w:rsidRPr="003326CE">
              <w:rPr>
                <w:rFonts w:ascii="Times New Roman" w:eastAsia="Times New Roman" w:hAnsi="Times New Roman" w:cs="Times New Roman"/>
                <w:sz w:val="24"/>
                <w:szCs w:val="24"/>
              </w:rPr>
              <w:t xml:space="preserve"> </w:t>
            </w:r>
            <w:proofErr w:type="spellStart"/>
            <w:r w:rsidRPr="003326CE">
              <w:rPr>
                <w:rFonts w:ascii="Times New Roman" w:eastAsia="Times New Roman" w:hAnsi="Times New Roman" w:cs="Times New Roman"/>
                <w:sz w:val="24"/>
                <w:szCs w:val="24"/>
              </w:rPr>
              <w:t>treatment</w:t>
            </w:r>
            <w:proofErr w:type="spellEnd"/>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56444D" w:rsidRDefault="0056444D" w:rsidP="003326CE">
            <w:pPr>
              <w:spacing w:after="0" w:line="25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before</w:t>
            </w:r>
          </w:p>
          <w:p w:rsidR="003326CE" w:rsidRPr="003326CE" w:rsidRDefault="003326CE" w:rsidP="003326CE">
            <w:pPr>
              <w:spacing w:after="0" w:line="250" w:lineRule="atLeast"/>
              <w:jc w:val="center"/>
              <w:rPr>
                <w:rFonts w:ascii="Times New Roman" w:eastAsia="Times New Roman" w:hAnsi="Times New Roman" w:cs="Times New Roman"/>
                <w:sz w:val="24"/>
                <w:szCs w:val="24"/>
              </w:rPr>
            </w:pPr>
            <w:proofErr w:type="spellStart"/>
            <w:r w:rsidRPr="003326CE">
              <w:rPr>
                <w:rFonts w:ascii="Times New Roman" w:eastAsia="Times New Roman" w:hAnsi="Times New Roman" w:cs="Times New Roman"/>
                <w:sz w:val="24"/>
                <w:szCs w:val="24"/>
              </w:rPr>
              <w:t>treatment</w:t>
            </w:r>
            <w:proofErr w:type="spellEnd"/>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50" w:lineRule="atLeast"/>
              <w:jc w:val="center"/>
              <w:rPr>
                <w:rFonts w:ascii="Times New Roman" w:eastAsia="Times New Roman" w:hAnsi="Times New Roman" w:cs="Times New Roman"/>
                <w:sz w:val="24"/>
                <w:szCs w:val="24"/>
              </w:rPr>
            </w:pPr>
            <w:proofErr w:type="spellStart"/>
            <w:r w:rsidRPr="003326CE">
              <w:rPr>
                <w:rFonts w:ascii="Times New Roman" w:eastAsia="Times New Roman" w:hAnsi="Times New Roman" w:cs="Times New Roman"/>
                <w:sz w:val="24"/>
                <w:szCs w:val="24"/>
              </w:rPr>
              <w:t>after</w:t>
            </w:r>
            <w:proofErr w:type="spellEnd"/>
            <w:r w:rsidRPr="003326CE">
              <w:rPr>
                <w:rFonts w:ascii="Times New Roman" w:eastAsia="Times New Roman" w:hAnsi="Times New Roman" w:cs="Times New Roman"/>
                <w:sz w:val="24"/>
                <w:szCs w:val="24"/>
              </w:rPr>
              <w:t xml:space="preserve"> </w:t>
            </w:r>
            <w:proofErr w:type="spellStart"/>
            <w:r w:rsidRPr="003326CE">
              <w:rPr>
                <w:rFonts w:ascii="Times New Roman" w:eastAsia="Times New Roman" w:hAnsi="Times New Roman" w:cs="Times New Roman"/>
                <w:sz w:val="24"/>
                <w:szCs w:val="24"/>
              </w:rPr>
              <w:t>treatment</w:t>
            </w:r>
            <w:proofErr w:type="spellEnd"/>
          </w:p>
        </w:tc>
      </w:tr>
      <w:tr w:rsidR="003326CE" w:rsidRPr="003326CE" w:rsidTr="003326CE">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56444D" w:rsidP="003326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PID, </w:t>
            </w:r>
            <w:proofErr w:type="spellStart"/>
            <w:r>
              <w:rPr>
                <w:rFonts w:ascii="Times New Roman" w:eastAsia="Times New Roman" w:hAnsi="Times New Roman" w:cs="Times New Roman"/>
                <w:sz w:val="24"/>
                <w:szCs w:val="24"/>
              </w:rPr>
              <w:t>mmol</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w:t>
            </w:r>
            <w:proofErr w:type="spellEnd"/>
            <w:r>
              <w:rPr>
                <w:rFonts w:ascii="Times New Roman" w:eastAsia="Times New Roman" w:hAnsi="Times New Roman" w:cs="Times New Roman"/>
                <w:sz w:val="24"/>
                <w:szCs w:val="24"/>
              </w:rPr>
              <w:t>·</w:t>
            </w:r>
            <w:proofErr w:type="spellStart"/>
            <w:r w:rsidR="003326CE" w:rsidRPr="003326CE">
              <w:rPr>
                <w:rFonts w:ascii="Times New Roman" w:eastAsia="Times New Roman" w:hAnsi="Times New Roman" w:cs="Times New Roman"/>
                <w:sz w:val="24"/>
                <w:szCs w:val="24"/>
              </w:rPr>
              <w:t>l</w:t>
            </w:r>
            <w:proofErr w:type="spellEnd"/>
            <w:r w:rsidR="003326CE" w:rsidRPr="003326CE">
              <w:rPr>
                <w:rFonts w:ascii="Times New Roman" w:eastAsia="Times New Roman" w:hAnsi="Times New Roman" w:cs="Times New Roman"/>
                <w:sz w:val="24"/>
                <w:szCs w:val="24"/>
              </w:rPr>
              <w:t>)</w:t>
            </w:r>
          </w:p>
        </w:tc>
        <w:tc>
          <w:tcPr>
            <w:tcW w:w="15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50" w:lineRule="atLeast"/>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0.71</w:t>
            </w:r>
            <w:r w:rsidR="0056444D">
              <w:rPr>
                <w:rFonts w:ascii="Times New Roman" w:eastAsia="Times New Roman" w:hAnsi="Times New Roman" w:cs="Times New Roman"/>
                <w:sz w:val="24"/>
                <w:szCs w:val="24"/>
              </w:rPr>
              <w:t xml:space="preserve"> </w:t>
            </w:r>
            <w:r w:rsidRPr="003326CE">
              <w:rPr>
                <w:rFonts w:ascii="Symbol" w:eastAsia="Times New Roman" w:hAnsi="Symbol" w:cs="Times New Roman"/>
                <w:sz w:val="24"/>
                <w:szCs w:val="24"/>
              </w:rPr>
              <w:sym w:font="Symbol" w:char="F0B1"/>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31.83</w:t>
            </w:r>
          </w:p>
        </w:tc>
        <w:tc>
          <w:tcPr>
            <w:tcW w:w="16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55.68 ± 0.93 *</w:t>
            </w:r>
          </w:p>
          <w:p w:rsidR="003326CE" w:rsidRPr="003326CE" w:rsidRDefault="0056444D" w:rsidP="003326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49.03 ± 0.63</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16"/>
                <w:vertAlign w:val="superscript"/>
              </w:rPr>
              <w:t>/</w:t>
            </w:r>
            <w:r w:rsidRPr="003326CE">
              <w:rPr>
                <w:rFonts w:ascii="Times New Roman" w:eastAsia="Times New Roman" w:hAnsi="Times New Roman" w:cs="Times New Roman"/>
                <w:sz w:val="24"/>
                <w:szCs w:val="24"/>
              </w:rPr>
              <w:t>#</w:t>
            </w:r>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55.52 ±</w:t>
            </w:r>
          </w:p>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0.76</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45.73 ± 0.48</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16"/>
                <w:vertAlign w:val="superscript"/>
              </w:rPr>
              <w:t>/</w:t>
            </w:r>
            <w:r w:rsidRPr="003326CE">
              <w:rPr>
                <w:rFonts w:ascii="Times New Roman" w:eastAsia="Times New Roman" w:hAnsi="Times New Roman" w:cs="Times New Roman"/>
                <w:sz w:val="24"/>
                <w:szCs w:val="24"/>
              </w:rPr>
              <w:t>#</w:t>
            </w:r>
          </w:p>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 xml:space="preserve"> </w:t>
            </w:r>
            <w:proofErr w:type="spellStart"/>
            <w:r w:rsidRPr="003326CE">
              <w:rPr>
                <w:rFonts w:ascii="Times New Roman" w:eastAsia="Times New Roman" w:hAnsi="Times New Roman" w:cs="Times New Roman"/>
                <w:sz w:val="24"/>
                <w:szCs w:val="24"/>
              </w:rPr>
              <w:t>p</w:t>
            </w:r>
            <w:proofErr w:type="spellEnd"/>
            <w:r w:rsidRPr="003326CE">
              <w:rPr>
                <w:rFonts w:ascii="Times New Roman" w:eastAsia="Times New Roman" w:hAnsi="Times New Roman" w:cs="Times New Roman"/>
                <w:sz w:val="24"/>
                <w:szCs w:val="24"/>
              </w:rPr>
              <w:t xml:space="preserve"> &lt;0.0</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5</w:t>
            </w:r>
          </w:p>
        </w:tc>
      </w:tr>
      <w:tr w:rsidR="003326CE" w:rsidRPr="003326CE" w:rsidTr="003326CE">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56444D" w:rsidP="003326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QC, μmol/(min·</w:t>
            </w:r>
            <w:r w:rsidR="003326CE" w:rsidRPr="003326CE">
              <w:rPr>
                <w:rFonts w:ascii="Times New Roman" w:eastAsia="Times New Roman" w:hAnsi="Times New Roman" w:cs="Times New Roman"/>
                <w:sz w:val="24"/>
                <w:szCs w:val="24"/>
              </w:rPr>
              <w:t>l)</w:t>
            </w:r>
          </w:p>
        </w:tc>
        <w:tc>
          <w:tcPr>
            <w:tcW w:w="15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50" w:lineRule="atLeast"/>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52.15</w:t>
            </w:r>
            <w:r w:rsidR="0056444D">
              <w:rPr>
                <w:rFonts w:ascii="Times New Roman" w:eastAsia="Times New Roman" w:hAnsi="Times New Roman" w:cs="Times New Roman"/>
                <w:sz w:val="24"/>
                <w:szCs w:val="24"/>
              </w:rPr>
              <w:t xml:space="preserve"> </w:t>
            </w:r>
            <w:r w:rsidRPr="003326CE">
              <w:rPr>
                <w:rFonts w:ascii="Symbol" w:eastAsia="Times New Roman" w:hAnsi="Symbol" w:cs="Times New Roman"/>
                <w:sz w:val="24"/>
                <w:szCs w:val="24"/>
              </w:rPr>
              <w:sym w:font="Symbol" w:char="F0B1"/>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1.43</w:t>
            </w:r>
          </w:p>
        </w:tc>
        <w:tc>
          <w:tcPr>
            <w:tcW w:w="16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177.51 ± 1.62 *</w:t>
            </w:r>
          </w:p>
          <w:p w:rsidR="003326CE" w:rsidRPr="003326CE" w:rsidRDefault="0056444D" w:rsidP="003326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164.16 ± 1.63</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r w:rsidRPr="003326CE">
              <w:rPr>
                <w:rFonts w:ascii="Times New Roman" w:eastAsia="Times New Roman" w:hAnsi="Times New Roman" w:cs="Times New Roman"/>
                <w:sz w:val="16"/>
                <w:vertAlign w:val="superscript"/>
              </w:rPr>
              <w:t>/</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177.26 ±</w:t>
            </w:r>
          </w:p>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1.59</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154.31 ± 0.84</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16"/>
                <w:vertAlign w:val="superscript"/>
              </w:rPr>
              <w:t>/</w:t>
            </w:r>
            <w:r w:rsidRPr="003326CE">
              <w:rPr>
                <w:rFonts w:ascii="Times New Roman" w:eastAsia="Times New Roman" w:hAnsi="Times New Roman" w:cs="Times New Roman"/>
                <w:sz w:val="24"/>
                <w:szCs w:val="24"/>
              </w:rPr>
              <w:t>#</w:t>
            </w:r>
          </w:p>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 xml:space="preserve"> </w:t>
            </w:r>
            <w:proofErr w:type="spellStart"/>
            <w:r w:rsidRPr="003326CE">
              <w:rPr>
                <w:rFonts w:ascii="Times New Roman" w:eastAsia="Times New Roman" w:hAnsi="Times New Roman" w:cs="Times New Roman"/>
                <w:sz w:val="24"/>
                <w:szCs w:val="24"/>
              </w:rPr>
              <w:t>p</w:t>
            </w:r>
            <w:proofErr w:type="spellEnd"/>
            <w:r w:rsidRPr="003326CE">
              <w:rPr>
                <w:rFonts w:ascii="Times New Roman" w:eastAsia="Times New Roman" w:hAnsi="Times New Roman" w:cs="Times New Roman"/>
                <w:sz w:val="24"/>
                <w:szCs w:val="24"/>
              </w:rPr>
              <w:t xml:space="preserve"> &lt;0.0</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5</w:t>
            </w:r>
          </w:p>
        </w:tc>
      </w:tr>
      <w:tr w:rsidR="003326CE" w:rsidRPr="003326CE" w:rsidTr="003326CE">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56444D" w:rsidP="003326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PAC, μmol/(min·</w:t>
            </w:r>
            <w:r w:rsidR="003326CE" w:rsidRPr="003326CE">
              <w:rPr>
                <w:rFonts w:ascii="Times New Roman" w:eastAsia="Times New Roman" w:hAnsi="Times New Roman" w:cs="Times New Roman"/>
                <w:sz w:val="24"/>
                <w:szCs w:val="24"/>
              </w:rPr>
              <w:t>l)</w:t>
            </w:r>
          </w:p>
        </w:tc>
        <w:tc>
          <w:tcPr>
            <w:tcW w:w="15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50" w:lineRule="atLeast"/>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72.57</w:t>
            </w:r>
            <w:r w:rsidR="0056444D">
              <w:rPr>
                <w:rFonts w:ascii="Times New Roman" w:eastAsia="Times New Roman" w:hAnsi="Times New Roman" w:cs="Times New Roman"/>
                <w:sz w:val="24"/>
                <w:szCs w:val="24"/>
              </w:rPr>
              <w:t xml:space="preserve"> </w:t>
            </w:r>
            <w:r w:rsidRPr="003326CE">
              <w:rPr>
                <w:rFonts w:ascii="Symbol" w:eastAsia="Times New Roman" w:hAnsi="Symbol" w:cs="Times New Roman"/>
                <w:sz w:val="24"/>
                <w:szCs w:val="24"/>
              </w:rPr>
              <w:sym w:font="Symbol" w:char="F0B1"/>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1.21</w:t>
            </w:r>
          </w:p>
        </w:tc>
        <w:tc>
          <w:tcPr>
            <w:tcW w:w="16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36.91 ± 0.67 *</w:t>
            </w:r>
          </w:p>
          <w:p w:rsidR="003326CE" w:rsidRPr="003326CE" w:rsidRDefault="0056444D" w:rsidP="003326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40.44 ± 0.73</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16"/>
                <w:vertAlign w:val="superscript"/>
              </w:rPr>
              <w:t>/</w:t>
            </w:r>
            <w:r w:rsidRPr="003326CE">
              <w:rPr>
                <w:rFonts w:ascii="Times New Roman" w:eastAsia="Times New Roman" w:hAnsi="Times New Roman" w:cs="Times New Roman"/>
                <w:sz w:val="24"/>
                <w:szCs w:val="24"/>
              </w:rPr>
              <w:t>#</w:t>
            </w:r>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36.94 ±</w:t>
            </w:r>
          </w:p>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0.67</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43.08 ± 0.80</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16"/>
                <w:vertAlign w:val="superscript"/>
              </w:rPr>
              <w:t>/</w:t>
            </w:r>
            <w:r w:rsidRPr="003326CE">
              <w:rPr>
                <w:rFonts w:ascii="Times New Roman" w:eastAsia="Times New Roman" w:hAnsi="Times New Roman" w:cs="Times New Roman"/>
                <w:sz w:val="24"/>
                <w:szCs w:val="24"/>
              </w:rPr>
              <w:t>#</w:t>
            </w:r>
          </w:p>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 xml:space="preserve"> </w:t>
            </w:r>
            <w:proofErr w:type="spellStart"/>
            <w:r w:rsidRPr="003326CE">
              <w:rPr>
                <w:rFonts w:ascii="Times New Roman" w:eastAsia="Times New Roman" w:hAnsi="Times New Roman" w:cs="Times New Roman"/>
                <w:sz w:val="24"/>
                <w:szCs w:val="24"/>
              </w:rPr>
              <w:t>p</w:t>
            </w:r>
            <w:proofErr w:type="spellEnd"/>
            <w:r w:rsidRPr="003326CE">
              <w:rPr>
                <w:rFonts w:ascii="Times New Roman" w:eastAsia="Times New Roman" w:hAnsi="Times New Roman" w:cs="Times New Roman"/>
                <w:sz w:val="24"/>
                <w:szCs w:val="24"/>
              </w:rPr>
              <w:t xml:space="preserve"> &lt;0.05</w:t>
            </w:r>
          </w:p>
        </w:tc>
      </w:tr>
      <w:tr w:rsidR="003326CE" w:rsidRPr="003326CE" w:rsidTr="003326CE">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α</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16"/>
                <w:vertAlign w:val="subscript"/>
              </w:rPr>
              <w:t>1</w:t>
            </w:r>
            <w:r w:rsidRPr="003326CE">
              <w:rPr>
                <w:rFonts w:ascii="Times New Roman" w:eastAsia="Times New Roman" w:hAnsi="Times New Roman" w:cs="Times New Roman"/>
                <w:sz w:val="24"/>
                <w:szCs w:val="24"/>
              </w:rPr>
              <w:t xml:space="preserve">-IP, </w:t>
            </w:r>
            <w:proofErr w:type="spellStart"/>
            <w:r w:rsidRPr="003326CE">
              <w:rPr>
                <w:rFonts w:ascii="Times New Roman" w:eastAsia="Times New Roman" w:hAnsi="Times New Roman" w:cs="Times New Roman"/>
                <w:sz w:val="24"/>
                <w:szCs w:val="24"/>
              </w:rPr>
              <w:t>g</w:t>
            </w:r>
            <w:proofErr w:type="spellEnd"/>
            <w:r w:rsidR="0056444D">
              <w:rPr>
                <w:rFonts w:ascii="Times New Roman" w:eastAsia="Times New Roman" w:hAnsi="Times New Roman" w:cs="Times New Roman"/>
                <w:sz w:val="24"/>
                <w:szCs w:val="24"/>
              </w:rPr>
              <w:t>/</w:t>
            </w:r>
            <w:proofErr w:type="spellStart"/>
            <w:r w:rsidRPr="003326CE">
              <w:rPr>
                <w:rFonts w:ascii="Times New Roman" w:eastAsia="Times New Roman" w:hAnsi="Times New Roman" w:cs="Times New Roman"/>
                <w:sz w:val="24"/>
                <w:szCs w:val="24"/>
              </w:rPr>
              <w:t>l</w:t>
            </w:r>
            <w:proofErr w:type="spellEnd"/>
          </w:p>
        </w:tc>
        <w:tc>
          <w:tcPr>
            <w:tcW w:w="15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50" w:lineRule="atLeast"/>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1.41</w:t>
            </w:r>
            <w:r w:rsidR="0056444D">
              <w:rPr>
                <w:rFonts w:ascii="Times New Roman" w:eastAsia="Times New Roman" w:hAnsi="Times New Roman" w:cs="Times New Roman"/>
                <w:sz w:val="24"/>
                <w:szCs w:val="24"/>
              </w:rPr>
              <w:t xml:space="preserve"> </w:t>
            </w:r>
            <w:r w:rsidRPr="003326CE">
              <w:rPr>
                <w:rFonts w:ascii="Symbol" w:eastAsia="Times New Roman" w:hAnsi="Symbol" w:cs="Times New Roman"/>
                <w:sz w:val="24"/>
                <w:szCs w:val="24"/>
              </w:rPr>
              <w:t></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0.02</w:t>
            </w:r>
          </w:p>
        </w:tc>
        <w:tc>
          <w:tcPr>
            <w:tcW w:w="16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1.98 ± 0.06 *</w:t>
            </w:r>
          </w:p>
          <w:p w:rsidR="003326CE" w:rsidRPr="003326CE" w:rsidRDefault="0056444D" w:rsidP="003326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1.82 ± 0.01</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w:t>
            </w:r>
            <w:r w:rsidRPr="003326CE">
              <w:rPr>
                <w:rFonts w:ascii="Times New Roman" w:eastAsia="Times New Roman" w:hAnsi="Times New Roman" w:cs="Times New Roman"/>
                <w:sz w:val="24"/>
                <w:szCs w:val="24"/>
              </w:rPr>
              <w:t>#</w:t>
            </w:r>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1.98 ±</w:t>
            </w:r>
          </w:p>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0.02</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1.71 ± 0.01</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w:t>
            </w:r>
            <w:r w:rsidRPr="003326CE">
              <w:rPr>
                <w:rFonts w:ascii="Times New Roman" w:eastAsia="Times New Roman" w:hAnsi="Times New Roman" w:cs="Times New Roman"/>
                <w:sz w:val="24"/>
                <w:szCs w:val="24"/>
              </w:rPr>
              <w:t>#</w:t>
            </w:r>
          </w:p>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 xml:space="preserve"> </w:t>
            </w:r>
            <w:proofErr w:type="spellStart"/>
            <w:r w:rsidRPr="003326CE">
              <w:rPr>
                <w:rFonts w:ascii="Times New Roman" w:eastAsia="Times New Roman" w:hAnsi="Times New Roman" w:cs="Times New Roman"/>
                <w:sz w:val="24"/>
                <w:szCs w:val="24"/>
              </w:rPr>
              <w:t>p</w:t>
            </w:r>
            <w:proofErr w:type="spellEnd"/>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&lt;0.05</w:t>
            </w:r>
          </w:p>
        </w:tc>
      </w:tr>
      <w:tr w:rsidR="003326CE" w:rsidRPr="003326CE" w:rsidTr="003326CE">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α</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16"/>
                <w:vertAlign w:val="subscript"/>
              </w:rPr>
              <w:t>2</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 xml:space="preserve">-MG, </w:t>
            </w:r>
            <w:proofErr w:type="spellStart"/>
            <w:r w:rsidRPr="003326CE">
              <w:rPr>
                <w:rFonts w:ascii="Times New Roman" w:eastAsia="Times New Roman" w:hAnsi="Times New Roman" w:cs="Times New Roman"/>
                <w:sz w:val="24"/>
                <w:szCs w:val="24"/>
              </w:rPr>
              <w:t>g</w:t>
            </w:r>
            <w:proofErr w:type="spellEnd"/>
            <w:r w:rsidR="0056444D">
              <w:rPr>
                <w:rFonts w:ascii="Times New Roman" w:eastAsia="Times New Roman" w:hAnsi="Times New Roman" w:cs="Times New Roman"/>
                <w:sz w:val="24"/>
                <w:szCs w:val="24"/>
              </w:rPr>
              <w:t>/</w:t>
            </w:r>
            <w:proofErr w:type="spellStart"/>
            <w:r w:rsidRPr="003326CE">
              <w:rPr>
                <w:rFonts w:ascii="Times New Roman" w:eastAsia="Times New Roman" w:hAnsi="Times New Roman" w:cs="Times New Roman"/>
                <w:sz w:val="24"/>
                <w:szCs w:val="24"/>
              </w:rPr>
              <w:t>l</w:t>
            </w:r>
            <w:proofErr w:type="spellEnd"/>
          </w:p>
        </w:tc>
        <w:tc>
          <w:tcPr>
            <w:tcW w:w="15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50" w:lineRule="atLeast"/>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1,50</w:t>
            </w:r>
            <w:r w:rsidR="0056444D">
              <w:rPr>
                <w:rFonts w:ascii="Times New Roman" w:eastAsia="Times New Roman" w:hAnsi="Times New Roman" w:cs="Times New Roman"/>
                <w:sz w:val="24"/>
                <w:szCs w:val="24"/>
              </w:rPr>
              <w:t xml:space="preserve"> </w:t>
            </w:r>
            <w:r w:rsidRPr="003326CE">
              <w:rPr>
                <w:rFonts w:ascii="Symbol" w:eastAsia="Times New Roman" w:hAnsi="Symbol" w:cs="Times New Roman"/>
                <w:sz w:val="24"/>
                <w:szCs w:val="24"/>
              </w:rPr>
              <w:sym w:font="Symbol" w:char="F0B1"/>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0,03</w:t>
            </w:r>
          </w:p>
        </w:tc>
        <w:tc>
          <w:tcPr>
            <w:tcW w:w="16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0.45 ± 0.02 *</w:t>
            </w:r>
          </w:p>
          <w:p w:rsidR="003326CE" w:rsidRPr="003326CE" w:rsidRDefault="0056444D" w:rsidP="003326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0.56 ± 0.01</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w:t>
            </w:r>
            <w:r w:rsidRPr="003326CE">
              <w:rPr>
                <w:rFonts w:ascii="Times New Roman" w:eastAsia="Times New Roman" w:hAnsi="Times New Roman" w:cs="Times New Roman"/>
                <w:sz w:val="24"/>
                <w:szCs w:val="24"/>
              </w:rPr>
              <w:t>#</w:t>
            </w:r>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0.45 ± 0.02</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p>
          <w:p w:rsidR="003326CE" w:rsidRPr="003326CE" w:rsidRDefault="0056444D" w:rsidP="003326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0.67 ± 0.01</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w:t>
            </w:r>
            <w:r w:rsidRPr="003326CE">
              <w:rPr>
                <w:rFonts w:ascii="Times New Roman" w:eastAsia="Times New Roman" w:hAnsi="Times New Roman" w:cs="Times New Roman"/>
                <w:sz w:val="24"/>
                <w:szCs w:val="24"/>
              </w:rPr>
              <w:t>#</w:t>
            </w:r>
          </w:p>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 xml:space="preserve"> </w:t>
            </w:r>
            <w:proofErr w:type="spellStart"/>
            <w:r w:rsidRPr="003326CE">
              <w:rPr>
                <w:rFonts w:ascii="Times New Roman" w:eastAsia="Times New Roman" w:hAnsi="Times New Roman" w:cs="Times New Roman"/>
                <w:sz w:val="24"/>
                <w:szCs w:val="24"/>
              </w:rPr>
              <w:t>p</w:t>
            </w:r>
            <w:proofErr w:type="spellEnd"/>
            <w:r w:rsidRPr="003326CE">
              <w:rPr>
                <w:rFonts w:ascii="Times New Roman" w:eastAsia="Times New Roman" w:hAnsi="Times New Roman" w:cs="Times New Roman"/>
                <w:sz w:val="24"/>
                <w:szCs w:val="24"/>
              </w:rPr>
              <w:t xml:space="preserve"> &lt;0.0</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5</w:t>
            </w:r>
          </w:p>
        </w:tc>
      </w:tr>
      <w:tr w:rsidR="003326CE" w:rsidRPr="003326CE" w:rsidTr="003326CE">
        <w:tc>
          <w:tcPr>
            <w:tcW w:w="1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rPr>
                <w:rFonts w:ascii="Times New Roman" w:eastAsia="Times New Roman" w:hAnsi="Times New Roman" w:cs="Times New Roman"/>
                <w:sz w:val="24"/>
                <w:szCs w:val="24"/>
                <w:lang w:val="en-US"/>
              </w:rPr>
            </w:pPr>
            <w:proofErr w:type="spellStart"/>
            <w:r w:rsidRPr="003326CE">
              <w:rPr>
                <w:rFonts w:ascii="Times New Roman" w:eastAsia="Times New Roman" w:hAnsi="Times New Roman" w:cs="Times New Roman"/>
                <w:sz w:val="24"/>
                <w:szCs w:val="24"/>
                <w:lang w:val="en-US"/>
              </w:rPr>
              <w:t>Kininase</w:t>
            </w:r>
            <w:proofErr w:type="spellEnd"/>
            <w:r w:rsidRPr="003326CE">
              <w:rPr>
                <w:rFonts w:ascii="Times New Roman" w:eastAsia="Times New Roman" w:hAnsi="Times New Roman" w:cs="Times New Roman"/>
                <w:sz w:val="24"/>
                <w:szCs w:val="24"/>
                <w:lang w:val="en-US"/>
              </w:rPr>
              <w:t xml:space="preserve">-II, </w:t>
            </w:r>
            <w:r w:rsidRPr="003326CE">
              <w:rPr>
                <w:rFonts w:ascii="Times New Roman" w:eastAsia="Times New Roman" w:hAnsi="Times New Roman" w:cs="Times New Roman"/>
                <w:sz w:val="24"/>
                <w:szCs w:val="24"/>
              </w:rPr>
              <w:t>μ</w:t>
            </w:r>
            <w:r w:rsidRPr="003326CE">
              <w:rPr>
                <w:rFonts w:ascii="Times New Roman" w:eastAsia="Times New Roman" w:hAnsi="Times New Roman" w:cs="Times New Roman"/>
                <w:sz w:val="24"/>
                <w:szCs w:val="24"/>
                <w:lang w:val="en-US"/>
              </w:rPr>
              <w:t>mol</w:t>
            </w:r>
            <w:r w:rsidR="0056444D">
              <w:rPr>
                <w:rFonts w:ascii="Times New Roman" w:eastAsia="Times New Roman" w:hAnsi="Times New Roman" w:cs="Times New Roman"/>
                <w:sz w:val="24"/>
                <w:szCs w:val="24"/>
                <w:lang w:val="en-US"/>
              </w:rPr>
              <w:t>/</w:t>
            </w:r>
            <w:r w:rsidRPr="003326CE">
              <w:rPr>
                <w:rFonts w:ascii="Times New Roman" w:eastAsia="Times New Roman" w:hAnsi="Times New Roman" w:cs="Times New Roman"/>
                <w:sz w:val="24"/>
                <w:szCs w:val="24"/>
                <w:lang w:val="en-US"/>
              </w:rPr>
              <w:t>(min ·</w:t>
            </w:r>
            <w:r w:rsidR="0056444D">
              <w:rPr>
                <w:rFonts w:ascii="Times New Roman" w:eastAsia="Times New Roman" w:hAnsi="Times New Roman" w:cs="Times New Roman"/>
                <w:sz w:val="24"/>
                <w:szCs w:val="24"/>
                <w:lang w:val="en-US"/>
              </w:rPr>
              <w:t xml:space="preserve"> </w:t>
            </w:r>
            <w:r w:rsidRPr="003326CE">
              <w:rPr>
                <w:rFonts w:ascii="Times New Roman" w:eastAsia="Times New Roman" w:hAnsi="Times New Roman" w:cs="Times New Roman"/>
                <w:sz w:val="24"/>
                <w:szCs w:val="24"/>
                <w:lang w:val="en-US"/>
              </w:rPr>
              <w:t>l)</w:t>
            </w:r>
          </w:p>
        </w:tc>
        <w:tc>
          <w:tcPr>
            <w:tcW w:w="15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50" w:lineRule="atLeast"/>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269.84</w:t>
            </w:r>
            <w:r w:rsidR="0056444D">
              <w:rPr>
                <w:rFonts w:ascii="Times New Roman" w:eastAsia="Times New Roman" w:hAnsi="Times New Roman" w:cs="Times New Roman"/>
                <w:sz w:val="24"/>
                <w:szCs w:val="24"/>
              </w:rPr>
              <w:t xml:space="preserve"> </w:t>
            </w:r>
            <w:r w:rsidRPr="003326CE">
              <w:rPr>
                <w:rFonts w:ascii="Symbol" w:eastAsia="Times New Roman" w:hAnsi="Symbol" w:cs="Times New Roman"/>
                <w:sz w:val="24"/>
                <w:szCs w:val="24"/>
              </w:rPr>
              <w:sym w:font="Symbol" w:char="F0B1"/>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1.74</w:t>
            </w:r>
          </w:p>
        </w:tc>
        <w:tc>
          <w:tcPr>
            <w:tcW w:w="16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152.97 ± 2.50 *</w:t>
            </w:r>
          </w:p>
          <w:p w:rsidR="003326CE" w:rsidRPr="003326CE" w:rsidRDefault="0056444D" w:rsidP="003326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165.44 ± 1.16</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r w:rsidRPr="003326CE">
              <w:rPr>
                <w:rFonts w:ascii="Times New Roman" w:eastAsia="Times New Roman" w:hAnsi="Times New Roman" w:cs="Times New Roman"/>
                <w:sz w:val="16"/>
                <w:vertAlign w:val="superscript"/>
              </w:rPr>
              <w:t>/</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152.84 ± 2.00</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p>
          <w:p w:rsidR="003326CE" w:rsidRPr="003326CE" w:rsidRDefault="0056444D" w:rsidP="003326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176.10 ± 2.12</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16"/>
                <w:vertAlign w:val="superscript"/>
              </w:rPr>
              <w:t>/</w:t>
            </w:r>
            <w:r w:rsidRPr="003326CE">
              <w:rPr>
                <w:rFonts w:ascii="Times New Roman" w:eastAsia="Times New Roman" w:hAnsi="Times New Roman" w:cs="Times New Roman"/>
                <w:sz w:val="24"/>
                <w:szCs w:val="24"/>
              </w:rPr>
              <w:t>#</w:t>
            </w:r>
          </w:p>
          <w:p w:rsidR="003326CE" w:rsidRPr="003326CE" w:rsidRDefault="003326CE" w:rsidP="003326CE">
            <w:pPr>
              <w:spacing w:after="0" w:line="240" w:lineRule="auto"/>
              <w:jc w:val="center"/>
              <w:rPr>
                <w:rFonts w:ascii="Times New Roman" w:eastAsia="Times New Roman" w:hAnsi="Times New Roman" w:cs="Times New Roman"/>
                <w:sz w:val="24"/>
                <w:szCs w:val="24"/>
              </w:rPr>
            </w:pPr>
            <w:r w:rsidRPr="003326CE">
              <w:rPr>
                <w:rFonts w:ascii="Times New Roman" w:eastAsia="Times New Roman" w:hAnsi="Times New Roman" w:cs="Times New Roman"/>
                <w:sz w:val="24"/>
                <w:szCs w:val="24"/>
              </w:rPr>
              <w:t>**</w:t>
            </w:r>
            <w:r w:rsidR="0056444D">
              <w:rPr>
                <w:rFonts w:ascii="Times New Roman" w:eastAsia="Times New Roman" w:hAnsi="Times New Roman" w:cs="Times New Roman"/>
                <w:sz w:val="24"/>
                <w:szCs w:val="24"/>
              </w:rPr>
              <w:t xml:space="preserve"> </w:t>
            </w:r>
            <w:proofErr w:type="spellStart"/>
            <w:r w:rsidRPr="003326CE">
              <w:rPr>
                <w:rFonts w:ascii="Times New Roman" w:eastAsia="Times New Roman" w:hAnsi="Times New Roman" w:cs="Times New Roman"/>
                <w:sz w:val="24"/>
                <w:szCs w:val="24"/>
              </w:rPr>
              <w:t>p</w:t>
            </w:r>
            <w:proofErr w:type="spellEnd"/>
            <w:r w:rsidR="0056444D">
              <w:rPr>
                <w:rFonts w:ascii="Times New Roman" w:eastAsia="Times New Roman" w:hAnsi="Times New Roman" w:cs="Times New Roman"/>
                <w:sz w:val="24"/>
                <w:szCs w:val="24"/>
              </w:rPr>
              <w:t xml:space="preserve"> </w:t>
            </w:r>
            <w:r w:rsidRPr="003326CE">
              <w:rPr>
                <w:rFonts w:ascii="Times New Roman" w:eastAsia="Times New Roman" w:hAnsi="Times New Roman" w:cs="Times New Roman"/>
                <w:sz w:val="24"/>
                <w:szCs w:val="24"/>
              </w:rPr>
              <w:t>&lt;0.05</w:t>
            </w:r>
          </w:p>
        </w:tc>
      </w:tr>
      <w:tr w:rsidR="003326CE" w:rsidRPr="0056444D" w:rsidTr="003326CE">
        <w:tc>
          <w:tcPr>
            <w:tcW w:w="9854" w:type="dxa"/>
            <w:gridSpan w:val="6"/>
            <w:tcBorders>
              <w:top w:val="single" w:sz="6" w:space="0" w:color="000000"/>
              <w:left w:val="single" w:sz="6" w:space="0" w:color="FFFFFF"/>
              <w:right w:val="single" w:sz="6" w:space="0" w:color="FFFFFF"/>
            </w:tcBorders>
            <w:tcMar>
              <w:top w:w="0" w:type="dxa"/>
              <w:left w:w="108" w:type="dxa"/>
              <w:bottom w:w="0" w:type="dxa"/>
              <w:right w:w="108" w:type="dxa"/>
            </w:tcMar>
            <w:hideMark/>
          </w:tcPr>
          <w:p w:rsidR="003326CE" w:rsidRPr="003326CE" w:rsidRDefault="003326CE" w:rsidP="003326CE">
            <w:pPr>
              <w:spacing w:after="0" w:line="240" w:lineRule="auto"/>
              <w:jc w:val="both"/>
              <w:rPr>
                <w:rFonts w:ascii="Times New Roman" w:eastAsia="Times New Roman" w:hAnsi="Times New Roman" w:cs="Times New Roman"/>
                <w:sz w:val="24"/>
                <w:szCs w:val="24"/>
                <w:lang w:val="en-US"/>
              </w:rPr>
            </w:pPr>
            <w:r w:rsidRPr="003326CE">
              <w:rPr>
                <w:rFonts w:ascii="Times New Roman" w:eastAsia="Times New Roman" w:hAnsi="Times New Roman" w:cs="Times New Roman"/>
                <w:sz w:val="24"/>
                <w:szCs w:val="24"/>
                <w:lang w:val="en-US"/>
              </w:rPr>
              <w:t>Notes: 1. *</w:t>
            </w:r>
            <w:r w:rsidR="0056444D">
              <w:rPr>
                <w:rFonts w:ascii="Times New Roman" w:eastAsia="Times New Roman" w:hAnsi="Times New Roman" w:cs="Times New Roman"/>
                <w:sz w:val="24"/>
                <w:szCs w:val="24"/>
                <w:lang w:val="en-US"/>
              </w:rPr>
              <w:t xml:space="preserve"> — </w:t>
            </w:r>
            <w:r w:rsidRPr="003326CE">
              <w:rPr>
                <w:rFonts w:ascii="Times New Roman" w:eastAsia="Times New Roman" w:hAnsi="Times New Roman" w:cs="Times New Roman"/>
                <w:sz w:val="24"/>
                <w:szCs w:val="24"/>
                <w:lang w:val="en-US"/>
              </w:rPr>
              <w:t>statistical significance in relation to the control group</w:t>
            </w:r>
            <w:r w:rsidR="0056444D">
              <w:rPr>
                <w:rFonts w:ascii="Times New Roman" w:eastAsia="Times New Roman" w:hAnsi="Times New Roman" w:cs="Times New Roman"/>
                <w:sz w:val="24"/>
                <w:szCs w:val="24"/>
                <w:lang w:val="en-US"/>
              </w:rPr>
              <w:t xml:space="preserve"> </w:t>
            </w:r>
            <w:r w:rsidRPr="003326CE">
              <w:rPr>
                <w:rFonts w:ascii="Times New Roman" w:eastAsia="Times New Roman" w:hAnsi="Times New Roman" w:cs="Times New Roman"/>
                <w:sz w:val="24"/>
                <w:szCs w:val="24"/>
                <w:lang w:val="en-US"/>
              </w:rPr>
              <w:t>(p</w:t>
            </w:r>
            <w:r w:rsidR="0056444D">
              <w:rPr>
                <w:rFonts w:ascii="Times New Roman" w:eastAsia="Times New Roman" w:hAnsi="Times New Roman" w:cs="Times New Roman"/>
                <w:sz w:val="24"/>
                <w:szCs w:val="24"/>
                <w:lang w:val="en-US"/>
              </w:rPr>
              <w:t xml:space="preserve"> </w:t>
            </w:r>
            <w:r w:rsidRPr="003326CE">
              <w:rPr>
                <w:rFonts w:ascii="Times New Roman" w:eastAsia="Times New Roman" w:hAnsi="Times New Roman" w:cs="Times New Roman"/>
                <w:sz w:val="24"/>
                <w:szCs w:val="24"/>
                <w:lang w:val="en-US"/>
              </w:rPr>
              <w:t>&lt;0,05</w:t>
            </w:r>
            <w:r w:rsidR="0056444D">
              <w:rPr>
                <w:rFonts w:ascii="Times New Roman" w:eastAsia="Times New Roman" w:hAnsi="Times New Roman" w:cs="Times New Roman"/>
                <w:sz w:val="24"/>
                <w:szCs w:val="24"/>
                <w:lang w:val="en-US"/>
              </w:rPr>
              <w:t>)</w:t>
            </w:r>
            <w:r w:rsidRPr="003326CE">
              <w:rPr>
                <w:rFonts w:ascii="Times New Roman" w:eastAsia="Times New Roman" w:hAnsi="Times New Roman" w:cs="Times New Roman"/>
                <w:sz w:val="24"/>
                <w:szCs w:val="24"/>
                <w:lang w:val="en-US"/>
              </w:rPr>
              <w:t>;</w:t>
            </w:r>
          </w:p>
          <w:p w:rsidR="003326CE" w:rsidRPr="003326CE" w:rsidRDefault="003326CE" w:rsidP="003326CE">
            <w:pPr>
              <w:spacing w:after="0" w:line="240" w:lineRule="auto"/>
              <w:jc w:val="both"/>
              <w:rPr>
                <w:rFonts w:ascii="Times New Roman" w:eastAsia="Times New Roman" w:hAnsi="Times New Roman" w:cs="Times New Roman"/>
                <w:sz w:val="24"/>
                <w:szCs w:val="24"/>
                <w:lang w:val="en-US"/>
              </w:rPr>
            </w:pPr>
            <w:r w:rsidRPr="003326CE">
              <w:rPr>
                <w:rFonts w:ascii="Times New Roman" w:eastAsia="Times New Roman" w:hAnsi="Times New Roman" w:cs="Times New Roman"/>
                <w:sz w:val="24"/>
                <w:szCs w:val="24"/>
                <w:lang w:val="en-US"/>
              </w:rPr>
              <w:t>2. #</w:t>
            </w:r>
            <w:r w:rsidR="0056444D">
              <w:rPr>
                <w:rFonts w:ascii="Times New Roman" w:eastAsia="Times New Roman" w:hAnsi="Times New Roman" w:cs="Times New Roman"/>
                <w:sz w:val="24"/>
                <w:szCs w:val="24"/>
                <w:lang w:val="en-US"/>
              </w:rPr>
              <w:t xml:space="preserve"> — </w:t>
            </w:r>
            <w:r w:rsidRPr="003326CE">
              <w:rPr>
                <w:rFonts w:ascii="Times New Roman" w:eastAsia="Times New Roman" w:hAnsi="Times New Roman" w:cs="Times New Roman"/>
                <w:sz w:val="24"/>
                <w:szCs w:val="24"/>
                <w:lang w:val="en-US"/>
              </w:rPr>
              <w:t>statistical significance in relation to such indicators after treatment in their group (p &lt;0,05);</w:t>
            </w:r>
          </w:p>
          <w:p w:rsidR="003326CE" w:rsidRPr="003326CE" w:rsidRDefault="003326CE" w:rsidP="0056444D">
            <w:pPr>
              <w:spacing w:after="0" w:line="240" w:lineRule="auto"/>
              <w:jc w:val="both"/>
              <w:rPr>
                <w:rFonts w:ascii="Times New Roman" w:eastAsia="Times New Roman" w:hAnsi="Times New Roman" w:cs="Times New Roman"/>
                <w:sz w:val="24"/>
                <w:szCs w:val="24"/>
                <w:lang w:val="en-US"/>
              </w:rPr>
            </w:pPr>
            <w:r w:rsidRPr="003326CE">
              <w:rPr>
                <w:rFonts w:ascii="Times New Roman" w:eastAsia="Times New Roman" w:hAnsi="Times New Roman" w:cs="Times New Roman"/>
                <w:sz w:val="24"/>
                <w:szCs w:val="24"/>
                <w:lang w:val="en-US"/>
              </w:rPr>
              <w:t>3. **</w:t>
            </w:r>
            <w:r w:rsidR="0056444D">
              <w:rPr>
                <w:rFonts w:ascii="Times New Roman" w:eastAsia="Times New Roman" w:hAnsi="Times New Roman" w:cs="Times New Roman"/>
                <w:sz w:val="24"/>
                <w:szCs w:val="24"/>
                <w:lang w:val="en-US"/>
              </w:rPr>
              <w:t xml:space="preserve"> — s</w:t>
            </w:r>
            <w:r w:rsidRPr="003326CE">
              <w:rPr>
                <w:rFonts w:ascii="Times New Roman" w:eastAsia="Times New Roman" w:hAnsi="Times New Roman" w:cs="Times New Roman"/>
                <w:sz w:val="24"/>
                <w:szCs w:val="24"/>
                <w:lang w:val="en-US"/>
              </w:rPr>
              <w:t>tatistical significance for Group I after treatment.</w:t>
            </w:r>
          </w:p>
        </w:tc>
      </w:tr>
    </w:tbl>
    <w:p w:rsidR="003326CE" w:rsidRPr="003326CE" w:rsidRDefault="0056444D" w:rsidP="003326CE">
      <w:pPr>
        <w:spacing w:after="0" w:line="326" w:lineRule="atLeast"/>
        <w:ind w:firstLine="708"/>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The higher efficacy of the treatment regimen for patients with CP in combination with CICS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enhanced by the use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omega-3 PUFAs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can be judged by</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rPr>
        <w:t>α</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16"/>
          <w:vertAlign w:val="subscript"/>
          <w:lang w:val="en-US"/>
        </w:rPr>
        <w:t>1</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-IP</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and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rPr>
        <w:t>α</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16"/>
          <w:vertAlign w:val="subscript"/>
          <w:lang w:val="en-US"/>
        </w:rPr>
        <w:t>2</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-MG levels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The level of </w:t>
      </w:r>
      <w:r w:rsidRPr="003326CE">
        <w:rPr>
          <w:rFonts w:ascii="Times New Roman" w:eastAsia="Times New Roman" w:hAnsi="Times New Roman" w:cs="Times New Roman"/>
          <w:color w:val="000000"/>
          <w:sz w:val="24"/>
          <w:szCs w:val="24"/>
        </w:rPr>
        <w:t>α</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16"/>
          <w:vertAlign w:val="subscript"/>
          <w:lang w:val="en-US"/>
        </w:rPr>
        <w:t>1</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-IP significantly and statistically significantly decreased in the II group compared with </w:t>
      </w:r>
      <w:proofErr w:type="gramStart"/>
      <w:r w:rsidRPr="003326CE">
        <w:rPr>
          <w:rFonts w:ascii="Times New Roman" w:eastAsia="Times New Roman" w:hAnsi="Times New Roman" w:cs="Times New Roman"/>
          <w:color w:val="000000"/>
          <w:sz w:val="24"/>
          <w:szCs w:val="24"/>
          <w:lang w:val="en-US"/>
        </w:rPr>
        <w:t>the I</w:t>
      </w:r>
      <w:proofErr w:type="gramEnd"/>
      <w:r w:rsidRPr="003326CE">
        <w:rPr>
          <w:rFonts w:ascii="Times New Roman" w:eastAsia="Times New Roman" w:hAnsi="Times New Roman" w:cs="Times New Roman"/>
          <w:color w:val="000000"/>
          <w:sz w:val="24"/>
          <w:szCs w:val="24"/>
          <w:lang w:val="en-US"/>
        </w:rPr>
        <w:t xml:space="preserve"> group by 6.04</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 &lt;0.05).</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Concerning the level of </w:t>
      </w:r>
      <w:r w:rsidRPr="003326CE">
        <w:rPr>
          <w:rFonts w:ascii="Times New Roman" w:eastAsia="Times New Roman" w:hAnsi="Times New Roman" w:cs="Times New Roman"/>
          <w:color w:val="000000"/>
          <w:sz w:val="24"/>
          <w:szCs w:val="24"/>
        </w:rPr>
        <w:t>α</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16"/>
          <w:vertAlign w:val="subscript"/>
          <w:lang w:val="en-US"/>
        </w:rPr>
        <w:t>2</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 xml:space="preserve">-MG and </w:t>
      </w:r>
      <w:proofErr w:type="spellStart"/>
      <w:r w:rsidRPr="003326CE">
        <w:rPr>
          <w:rFonts w:ascii="Times New Roman" w:eastAsia="Times New Roman" w:hAnsi="Times New Roman" w:cs="Times New Roman"/>
          <w:color w:val="000000"/>
          <w:sz w:val="24"/>
          <w:szCs w:val="24"/>
          <w:lang w:val="en-US"/>
        </w:rPr>
        <w:t>kininase</w:t>
      </w:r>
      <w:proofErr w:type="spellEnd"/>
      <w:r w:rsidRPr="003326CE">
        <w:rPr>
          <w:rFonts w:ascii="Times New Roman" w:eastAsia="Times New Roman" w:hAnsi="Times New Roman" w:cs="Times New Roman"/>
          <w:color w:val="000000"/>
          <w:sz w:val="24"/>
          <w:szCs w:val="24"/>
          <w:lang w:val="en-US"/>
        </w:rPr>
        <w:t>-II, their importance in the group of patients who additionally took the drug omega-3 PUFAs, increased statistically significantly by 19.64</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and 6.44</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respectively, in relation to the group of patients receiving only standard protocol treatment (p &lt;0</w:t>
      </w:r>
      <w:proofErr w:type="gramStart"/>
      <w:r w:rsidRPr="003326CE">
        <w:rPr>
          <w:rFonts w:ascii="Times New Roman" w:eastAsia="Times New Roman" w:hAnsi="Times New Roman" w:cs="Times New Roman"/>
          <w:color w:val="000000"/>
          <w:sz w:val="24"/>
          <w:szCs w:val="24"/>
          <w:lang w:val="en-US"/>
        </w:rPr>
        <w:t>,05</w:t>
      </w:r>
      <w:proofErr w:type="gramEnd"/>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w:t>
      </w:r>
      <w:r w:rsidRPr="003326CE">
        <w:rPr>
          <w:rFonts w:ascii="Times New Roman" w:eastAsia="Times New Roman" w:hAnsi="Times New Roman" w:cs="Times New Roman"/>
          <w:color w:val="000000"/>
          <w:sz w:val="24"/>
          <w:szCs w:val="24"/>
          <w:lang w:val="en-US"/>
        </w:rPr>
        <w:t xml:space="preserve"> which again emphasizes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effectiveness and expediency of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use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omega-3 PUFA in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treatment of patients from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gut of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poor by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flow of CP and CIC.</w:t>
      </w:r>
    </w:p>
    <w:p w:rsidR="003326CE" w:rsidRPr="003326CE" w:rsidRDefault="0056444D" w:rsidP="003326CE">
      <w:pPr>
        <w:spacing w:after="0" w:line="326" w:lineRule="atLeast"/>
        <w:ind w:firstLine="708"/>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3326CE" w:rsidRPr="003326CE" w:rsidRDefault="003326CE" w:rsidP="003326CE">
      <w:pPr>
        <w:spacing w:after="0" w:line="326" w:lineRule="atLeast"/>
        <w:ind w:firstLine="708"/>
        <w:rPr>
          <w:rFonts w:ascii="Times New Roman" w:eastAsia="Times New Roman" w:hAnsi="Times New Roman" w:cs="Times New Roman"/>
          <w:color w:val="000000"/>
          <w:sz w:val="24"/>
          <w:szCs w:val="24"/>
        </w:rPr>
      </w:pPr>
      <w:r w:rsidRPr="003326CE">
        <w:rPr>
          <w:rFonts w:ascii="Times New Roman" w:eastAsia="Times New Roman" w:hAnsi="Times New Roman" w:cs="Times New Roman"/>
          <w:b/>
          <w:bCs/>
          <w:color w:val="000000"/>
          <w:sz w:val="24"/>
          <w:szCs w:val="24"/>
        </w:rPr>
        <w:t>CONCLUSIONS</w:t>
      </w:r>
    </w:p>
    <w:p w:rsidR="003326CE" w:rsidRPr="003326CE" w:rsidRDefault="003326CE" w:rsidP="003326CE">
      <w:pPr>
        <w:numPr>
          <w:ilvl w:val="0"/>
          <w:numId w:val="1"/>
        </w:numPr>
        <w:spacing w:after="0" w:line="326" w:lineRule="atLeast"/>
        <w:ind w:left="628" w:firstLine="0"/>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 xml:space="preserve">The addition to the complex therapy of patients with </w:t>
      </w:r>
      <w:proofErr w:type="spellStart"/>
      <w:r w:rsidRPr="003326CE">
        <w:rPr>
          <w:rFonts w:ascii="Times New Roman" w:eastAsia="Times New Roman" w:hAnsi="Times New Roman" w:cs="Times New Roman"/>
          <w:color w:val="000000"/>
          <w:sz w:val="24"/>
          <w:szCs w:val="24"/>
          <w:lang w:val="en-US"/>
        </w:rPr>
        <w:t>comorbid</w:t>
      </w:r>
      <w:proofErr w:type="spellEnd"/>
      <w:r w:rsidRPr="003326CE">
        <w:rPr>
          <w:rFonts w:ascii="Times New Roman" w:eastAsia="Times New Roman" w:hAnsi="Times New Roman" w:cs="Times New Roman"/>
          <w:color w:val="000000"/>
          <w:sz w:val="24"/>
          <w:szCs w:val="24"/>
          <w:lang w:val="en-US"/>
        </w:rPr>
        <w:t xml:space="preserve"> flow of CP and CIHS of the omega-3 PUFA resulted in a more significant increase in </w:t>
      </w:r>
      <w:proofErr w:type="spellStart"/>
      <w:r w:rsidRPr="003326CE">
        <w:rPr>
          <w:rFonts w:ascii="Times New Roman" w:eastAsia="Times New Roman" w:hAnsi="Times New Roman" w:cs="Times New Roman"/>
          <w:color w:val="000000"/>
          <w:sz w:val="24"/>
          <w:szCs w:val="24"/>
          <w:lang w:val="en-US"/>
        </w:rPr>
        <w:t>lipidogram</w:t>
      </w:r>
      <w:proofErr w:type="spellEnd"/>
      <w:r w:rsidRPr="003326CE">
        <w:rPr>
          <w:rFonts w:ascii="Times New Roman" w:eastAsia="Times New Roman" w:hAnsi="Times New Roman" w:cs="Times New Roman"/>
          <w:color w:val="000000"/>
          <w:sz w:val="24"/>
          <w:szCs w:val="24"/>
          <w:lang w:val="en-US"/>
        </w:rPr>
        <w:t xml:space="preserve"> (p &lt;0.05) than in standard protocol treatment.</w:t>
      </w:r>
    </w:p>
    <w:p w:rsidR="003326CE" w:rsidRPr="003326CE" w:rsidRDefault="003326CE" w:rsidP="003326CE">
      <w:pPr>
        <w:numPr>
          <w:ilvl w:val="0"/>
          <w:numId w:val="1"/>
        </w:numPr>
        <w:spacing w:after="0" w:line="326" w:lineRule="atLeast"/>
        <w:ind w:left="628" w:firstLine="0"/>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t>Use in treatment of patients with CP in combination with the drug SIHS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omega-3 PUFAs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t>
      </w:r>
      <w:proofErr w:type="spellStart"/>
      <w:r w:rsidRPr="003326CE">
        <w:rPr>
          <w:rFonts w:ascii="Times New Roman" w:eastAsia="Times New Roman" w:hAnsi="Times New Roman" w:cs="Times New Roman"/>
          <w:color w:val="000000"/>
          <w:sz w:val="24"/>
          <w:szCs w:val="24"/>
          <w:lang w:val="en-US"/>
        </w:rPr>
        <w:t>Omakor</w:t>
      </w:r>
      <w:proofErr w:type="spellEnd"/>
      <w:r w:rsidRPr="003326CE">
        <w:rPr>
          <w:rFonts w:ascii="Times New Roman" w:eastAsia="Times New Roman" w:hAnsi="Times New Roman" w:cs="Times New Roman"/>
          <w:color w:val="000000"/>
          <w:sz w:val="24"/>
          <w:szCs w:val="24"/>
          <w:lang w:val="en-US"/>
        </w:rPr>
        <w:t>)</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spryya</w:t>
      </w:r>
      <w:proofErr w:type="spellEnd"/>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lo</w:t>
      </w:r>
      <w:r w:rsidR="0056444D">
        <w:rPr>
          <w:rFonts w:ascii="Times New Roman" w:eastAsia="Times New Roman" w:hAnsi="Times New Roman" w:cs="Times New Roman"/>
          <w:color w:val="000000"/>
          <w:sz w:val="24"/>
          <w:szCs w:val="24"/>
          <w:lang w:val="en-US"/>
        </w:rPr>
        <w:t xml:space="preserve"> </w:t>
      </w:r>
      <w:proofErr w:type="gramStart"/>
      <w:r w:rsidRPr="003326CE">
        <w:rPr>
          <w:rFonts w:ascii="Times New Roman" w:eastAsia="Times New Roman" w:hAnsi="Times New Roman" w:cs="Times New Roman"/>
          <w:color w:val="000000"/>
          <w:sz w:val="24"/>
          <w:szCs w:val="24"/>
          <w:lang w:val="en-US"/>
        </w:rPr>
        <w:t>More</w:t>
      </w:r>
      <w:proofErr w:type="gramEnd"/>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reliable regression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at</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ksydantno</w:t>
      </w:r>
      <w:proofErr w:type="spellEnd"/>
      <w:r w:rsidRPr="003326CE">
        <w:rPr>
          <w:rFonts w:ascii="Times New Roman" w:eastAsia="Times New Roman" w:hAnsi="Times New Roman" w:cs="Times New Roman"/>
          <w:color w:val="000000"/>
          <w:sz w:val="24"/>
          <w:szCs w:val="24"/>
          <w:lang w:val="en-US"/>
        </w:rPr>
        <w:t>-antioxidant disturbances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compared with standard conventional</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therapy.</w:t>
      </w:r>
    </w:p>
    <w:p w:rsidR="003326CE" w:rsidRPr="003326CE" w:rsidRDefault="003326CE" w:rsidP="003326CE">
      <w:pPr>
        <w:numPr>
          <w:ilvl w:val="0"/>
          <w:numId w:val="1"/>
        </w:numPr>
        <w:spacing w:after="0" w:line="326" w:lineRule="atLeast"/>
        <w:ind w:left="628" w:firstLine="0"/>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color w:val="000000"/>
          <w:sz w:val="24"/>
          <w:szCs w:val="24"/>
          <w:lang w:val="en-US"/>
        </w:rPr>
        <w:lastRenderedPageBreak/>
        <w:t xml:space="preserve">Adding to the complex therapy of patients with </w:t>
      </w:r>
      <w:proofErr w:type="spellStart"/>
      <w:r w:rsidRPr="003326CE">
        <w:rPr>
          <w:rFonts w:ascii="Times New Roman" w:eastAsia="Times New Roman" w:hAnsi="Times New Roman" w:cs="Times New Roman"/>
          <w:color w:val="000000"/>
          <w:sz w:val="24"/>
          <w:szCs w:val="24"/>
          <w:lang w:val="en-US"/>
        </w:rPr>
        <w:t>comorbid</w:t>
      </w:r>
      <w:proofErr w:type="spellEnd"/>
      <w:r w:rsidRPr="003326CE">
        <w:rPr>
          <w:rFonts w:ascii="Times New Roman" w:eastAsia="Times New Roman" w:hAnsi="Times New Roman" w:cs="Times New Roman"/>
          <w:color w:val="000000"/>
          <w:sz w:val="24"/>
          <w:szCs w:val="24"/>
          <w:lang w:val="en-US"/>
        </w:rPr>
        <w:t xml:space="preserve"> course of CP and SIHS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drug</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omega-3 PUFA</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resulted in a higher level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performance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improvement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studied parameters for</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CCR</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&lt;0,05),than the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standard</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basic</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therapy.</w:t>
      </w:r>
    </w:p>
    <w:p w:rsidR="003326CE" w:rsidRPr="003326CE" w:rsidRDefault="003326CE" w:rsidP="003326CE">
      <w:pPr>
        <w:spacing w:after="0" w:line="326" w:lineRule="atLeast"/>
        <w:ind w:firstLine="708"/>
        <w:jc w:val="both"/>
        <w:rPr>
          <w:rFonts w:ascii="Times New Roman" w:eastAsia="Times New Roman" w:hAnsi="Times New Roman" w:cs="Times New Roman"/>
          <w:color w:val="000000"/>
          <w:sz w:val="24"/>
          <w:szCs w:val="24"/>
          <w:lang w:val="en-US"/>
        </w:rPr>
      </w:pPr>
      <w:r w:rsidRPr="003326CE">
        <w:rPr>
          <w:rFonts w:ascii="Times New Roman" w:eastAsia="Times New Roman" w:hAnsi="Times New Roman" w:cs="Times New Roman"/>
          <w:b/>
          <w:bCs/>
          <w:color w:val="000000"/>
          <w:sz w:val="24"/>
          <w:szCs w:val="24"/>
          <w:lang w:val="en-US"/>
        </w:rPr>
        <w:t>In the future, further studies are</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planned to examine the effect of</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omega-3</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PUFAs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on indicators of</w:t>
      </w:r>
      <w:r w:rsidR="0056444D">
        <w:rPr>
          <w:rFonts w:ascii="Times New Roman" w:eastAsia="Times New Roman" w:hAnsi="Times New Roman" w:cs="Times New Roman"/>
          <w:color w:val="000000"/>
          <w:sz w:val="24"/>
          <w:szCs w:val="24"/>
          <w:lang w:val="en-US"/>
        </w:rPr>
        <w:t xml:space="preserve"> </w:t>
      </w:r>
      <w:proofErr w:type="spellStart"/>
      <w:r w:rsidRPr="003326CE">
        <w:rPr>
          <w:rFonts w:ascii="Times New Roman" w:eastAsia="Times New Roman" w:hAnsi="Times New Roman" w:cs="Times New Roman"/>
          <w:color w:val="000000"/>
          <w:sz w:val="24"/>
          <w:szCs w:val="24"/>
          <w:lang w:val="en-US"/>
        </w:rPr>
        <w:t>trophological</w:t>
      </w:r>
      <w:proofErr w:type="spellEnd"/>
      <w:r w:rsidRPr="003326CE">
        <w:rPr>
          <w:rFonts w:ascii="Times New Roman" w:eastAsia="Times New Roman" w:hAnsi="Times New Roman" w:cs="Times New Roman"/>
          <w:color w:val="000000"/>
          <w:sz w:val="24"/>
          <w:szCs w:val="24"/>
          <w:lang w:val="en-US"/>
        </w:rPr>
        <w:t xml:space="preserve"> status</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in patients with</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CP</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with concomitant</w:t>
      </w:r>
      <w:r w:rsidR="0056444D">
        <w:rPr>
          <w:rFonts w:ascii="Times New Roman" w:eastAsia="Times New Roman" w:hAnsi="Times New Roman" w:cs="Times New Roman"/>
          <w:color w:val="000000"/>
          <w:sz w:val="24"/>
          <w:szCs w:val="24"/>
          <w:lang w:val="en-US"/>
        </w:rPr>
        <w:t xml:space="preserve"> </w:t>
      </w:r>
      <w:r w:rsidRPr="003326CE">
        <w:rPr>
          <w:rFonts w:ascii="Times New Roman" w:eastAsia="Times New Roman" w:hAnsi="Times New Roman" w:cs="Times New Roman"/>
          <w:color w:val="000000"/>
          <w:sz w:val="24"/>
          <w:szCs w:val="24"/>
          <w:lang w:val="en-US"/>
        </w:rPr>
        <w:t>SIC</w:t>
      </w:r>
      <w:r w:rsidR="0056444D">
        <w:rPr>
          <w:rFonts w:ascii="Times New Roman" w:eastAsia="Times New Roman" w:hAnsi="Times New Roman" w:cs="Times New Roman"/>
          <w:color w:val="000000"/>
          <w:sz w:val="24"/>
          <w:szCs w:val="24"/>
          <w:lang w:val="en-US"/>
        </w:rPr>
        <w:t>.</w:t>
      </w:r>
    </w:p>
    <w:p w:rsidR="003326CE" w:rsidRPr="003326CE" w:rsidRDefault="0056444D" w:rsidP="003326CE">
      <w:pPr>
        <w:spacing w:after="0" w:line="326" w:lineRule="atLeast"/>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 xml:space="preserve"> </w:t>
      </w:r>
    </w:p>
    <w:p w:rsidR="003326CE" w:rsidRPr="003326CE" w:rsidRDefault="0056444D" w:rsidP="003326CE">
      <w:pPr>
        <w:spacing w:after="0" w:line="326"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en-US"/>
        </w:rPr>
        <w:t>References</w:t>
      </w:r>
      <w:r w:rsidR="003326CE" w:rsidRPr="003326CE">
        <w:rPr>
          <w:rFonts w:ascii="Times New Roman" w:eastAsia="Times New Roman" w:hAnsi="Times New Roman" w:cs="Times New Roman"/>
          <w:b/>
          <w:bCs/>
          <w:color w:val="000000"/>
          <w:sz w:val="24"/>
          <w:szCs w:val="24"/>
        </w:rPr>
        <w:t>:</w:t>
      </w:r>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0" w:name="_Ref500064955"/>
      <w:proofErr w:type="spellStart"/>
      <w:r w:rsidRPr="007F770E">
        <w:rPr>
          <w:rFonts w:ascii="Times New Roman" w:hAnsi="Times New Roman"/>
          <w:iCs/>
          <w:sz w:val="24"/>
          <w:szCs w:val="24"/>
          <w:shd w:val="clear" w:color="auto" w:fill="FFFFFF"/>
          <w:lang w:val="uk-UA"/>
        </w:rPr>
        <w:t>Архій</w:t>
      </w:r>
      <w:proofErr w:type="spellEnd"/>
      <w:r w:rsidRPr="007F770E">
        <w:rPr>
          <w:rFonts w:ascii="Times New Roman" w:hAnsi="Times New Roman"/>
          <w:iCs/>
          <w:sz w:val="24"/>
          <w:szCs w:val="24"/>
          <w:shd w:val="clear" w:color="auto" w:fill="FFFFFF"/>
          <w:lang w:val="uk-UA"/>
        </w:rPr>
        <w:t xml:space="preserve"> Е. Й. Особливості змін процесів травлення, лабораторних та імунологічних показників при хронічних захворюваннях підшлункової залози, поєднаних з ІХС та захворюваннями </w:t>
      </w:r>
      <w:proofErr w:type="spellStart"/>
      <w:r w:rsidRPr="007F770E">
        <w:rPr>
          <w:rFonts w:ascii="Times New Roman" w:hAnsi="Times New Roman"/>
          <w:iCs/>
          <w:sz w:val="24"/>
          <w:szCs w:val="24"/>
          <w:shd w:val="clear" w:color="auto" w:fill="FFFFFF"/>
          <w:lang w:val="uk-UA"/>
        </w:rPr>
        <w:t>гепатобіліарної</w:t>
      </w:r>
      <w:proofErr w:type="spellEnd"/>
      <w:r w:rsidRPr="007F770E">
        <w:rPr>
          <w:rFonts w:ascii="Times New Roman" w:hAnsi="Times New Roman"/>
          <w:iCs/>
          <w:sz w:val="24"/>
          <w:szCs w:val="24"/>
          <w:shd w:val="clear" w:color="auto" w:fill="FFFFFF"/>
          <w:lang w:val="uk-UA"/>
        </w:rPr>
        <w:t xml:space="preserve"> системи / Е. Й. </w:t>
      </w:r>
      <w:proofErr w:type="spellStart"/>
      <w:r w:rsidRPr="007F770E">
        <w:rPr>
          <w:rFonts w:ascii="Times New Roman" w:hAnsi="Times New Roman"/>
          <w:iCs/>
          <w:sz w:val="24"/>
          <w:szCs w:val="24"/>
          <w:shd w:val="clear" w:color="auto" w:fill="FFFFFF"/>
          <w:lang w:val="uk-UA"/>
        </w:rPr>
        <w:t>Архій</w:t>
      </w:r>
      <w:proofErr w:type="spellEnd"/>
      <w:r w:rsidRPr="007F770E">
        <w:rPr>
          <w:rFonts w:ascii="Times New Roman" w:hAnsi="Times New Roman"/>
          <w:iCs/>
          <w:sz w:val="24"/>
          <w:szCs w:val="24"/>
          <w:shd w:val="clear" w:color="auto" w:fill="FFFFFF"/>
          <w:lang w:val="uk-UA"/>
        </w:rPr>
        <w:t xml:space="preserve">, Т. В. </w:t>
      </w:r>
      <w:proofErr w:type="spellStart"/>
      <w:r w:rsidRPr="007F770E">
        <w:rPr>
          <w:rFonts w:ascii="Times New Roman" w:hAnsi="Times New Roman"/>
          <w:iCs/>
          <w:sz w:val="24"/>
          <w:szCs w:val="24"/>
          <w:shd w:val="clear" w:color="auto" w:fill="FFFFFF"/>
          <w:lang w:val="uk-UA"/>
        </w:rPr>
        <w:t>Мишанич</w:t>
      </w:r>
      <w:proofErr w:type="spellEnd"/>
      <w:r w:rsidRPr="007F770E">
        <w:rPr>
          <w:rFonts w:ascii="Times New Roman" w:hAnsi="Times New Roman"/>
          <w:iCs/>
          <w:sz w:val="24"/>
          <w:szCs w:val="24"/>
          <w:shd w:val="clear" w:color="auto" w:fill="FFFFFF"/>
          <w:lang w:val="uk-UA"/>
        </w:rPr>
        <w:t>, О. М. Москаль // Гастроентерологія. — 2012. — Вип. 46. — С. 56–62.</w:t>
      </w:r>
      <w:bookmarkEnd w:id="0"/>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1" w:name="_Ref500064928"/>
      <w:proofErr w:type="spellStart"/>
      <w:r w:rsidRPr="007F770E">
        <w:rPr>
          <w:rFonts w:ascii="Times New Roman" w:hAnsi="Times New Roman"/>
          <w:sz w:val="24"/>
          <w:szCs w:val="24"/>
          <w:shd w:val="clear" w:color="auto" w:fill="FFFFFF"/>
          <w:lang w:val="uk-UA"/>
        </w:rPr>
        <w:t>Бабінець</w:t>
      </w:r>
      <w:proofErr w:type="spellEnd"/>
      <w:r w:rsidRPr="007F770E">
        <w:rPr>
          <w:rFonts w:ascii="Times New Roman" w:hAnsi="Times New Roman"/>
          <w:sz w:val="24"/>
          <w:szCs w:val="24"/>
          <w:shd w:val="clear" w:color="auto" w:fill="FFFFFF"/>
          <w:lang w:val="uk-UA"/>
        </w:rPr>
        <w:t xml:space="preserve"> Л. С. Патогенетичні аспекти хронічного панкреатиту </w:t>
      </w:r>
      <w:proofErr w:type="spellStart"/>
      <w:r w:rsidRPr="007F770E">
        <w:rPr>
          <w:rFonts w:ascii="Times New Roman" w:hAnsi="Times New Roman"/>
          <w:sz w:val="24"/>
          <w:szCs w:val="24"/>
          <w:shd w:val="clear" w:color="auto" w:fill="FFFFFF"/>
          <w:lang w:val="uk-UA"/>
        </w:rPr>
        <w:t>біліарного</w:t>
      </w:r>
      <w:proofErr w:type="spellEnd"/>
      <w:r w:rsidRPr="007F770E">
        <w:rPr>
          <w:rFonts w:ascii="Times New Roman" w:hAnsi="Times New Roman"/>
          <w:sz w:val="24"/>
          <w:szCs w:val="24"/>
          <w:shd w:val="clear" w:color="auto" w:fill="FFFFFF"/>
          <w:lang w:val="uk-UA"/>
        </w:rPr>
        <w:t xml:space="preserve"> </w:t>
      </w:r>
      <w:proofErr w:type="spellStart"/>
      <w:r w:rsidRPr="007F770E">
        <w:rPr>
          <w:rFonts w:ascii="Times New Roman" w:hAnsi="Times New Roman"/>
          <w:sz w:val="24"/>
          <w:szCs w:val="24"/>
          <w:shd w:val="clear" w:color="auto" w:fill="FFFFFF"/>
          <w:lang w:val="uk-UA"/>
        </w:rPr>
        <w:t>генезу</w:t>
      </w:r>
      <w:proofErr w:type="spellEnd"/>
      <w:r w:rsidRPr="007F770E">
        <w:rPr>
          <w:rFonts w:ascii="Times New Roman" w:hAnsi="Times New Roman"/>
          <w:sz w:val="24"/>
          <w:szCs w:val="24"/>
          <w:shd w:val="clear" w:color="auto" w:fill="FFFFFF"/>
          <w:lang w:val="uk-UA"/>
        </w:rPr>
        <w:t xml:space="preserve"> після </w:t>
      </w:r>
      <w:proofErr w:type="spellStart"/>
      <w:r w:rsidRPr="007F770E">
        <w:rPr>
          <w:rFonts w:ascii="Times New Roman" w:hAnsi="Times New Roman"/>
          <w:sz w:val="24"/>
          <w:szCs w:val="24"/>
          <w:shd w:val="clear" w:color="auto" w:fill="FFFFFF"/>
          <w:lang w:val="uk-UA"/>
        </w:rPr>
        <w:t>холецистектомії</w:t>
      </w:r>
      <w:proofErr w:type="spellEnd"/>
      <w:r w:rsidRPr="007F770E">
        <w:rPr>
          <w:rStyle w:val="apple-converted-space"/>
          <w:rFonts w:ascii="Times New Roman" w:hAnsi="Times New Roman"/>
          <w:sz w:val="24"/>
          <w:szCs w:val="24"/>
          <w:shd w:val="clear" w:color="auto" w:fill="FFFFFF"/>
          <w:lang w:val="uk-UA"/>
        </w:rPr>
        <w:t xml:space="preserve"> </w:t>
      </w:r>
      <w:r w:rsidRPr="007F770E">
        <w:rPr>
          <w:rFonts w:ascii="Times New Roman" w:hAnsi="Times New Roman"/>
          <w:iCs/>
          <w:sz w:val="24"/>
          <w:szCs w:val="24"/>
          <w:shd w:val="clear" w:color="auto" w:fill="FFFFFF"/>
          <w:lang w:val="uk-UA"/>
        </w:rPr>
        <w:t xml:space="preserve">/ Л. С. </w:t>
      </w:r>
      <w:proofErr w:type="spellStart"/>
      <w:r w:rsidRPr="007F770E">
        <w:rPr>
          <w:rFonts w:ascii="Times New Roman" w:hAnsi="Times New Roman"/>
          <w:iCs/>
          <w:sz w:val="24"/>
          <w:szCs w:val="24"/>
          <w:shd w:val="clear" w:color="auto" w:fill="FFFFFF"/>
          <w:lang w:val="uk-UA"/>
        </w:rPr>
        <w:t>Бабінець</w:t>
      </w:r>
      <w:proofErr w:type="spellEnd"/>
      <w:r w:rsidRPr="007F770E">
        <w:rPr>
          <w:rFonts w:ascii="Times New Roman" w:hAnsi="Times New Roman"/>
          <w:iCs/>
          <w:sz w:val="24"/>
          <w:szCs w:val="24"/>
          <w:shd w:val="clear" w:color="auto" w:fill="FFFFFF"/>
          <w:lang w:val="uk-UA"/>
        </w:rPr>
        <w:t xml:space="preserve"> // </w:t>
      </w:r>
      <w:proofErr w:type="spellStart"/>
      <w:r w:rsidRPr="007F770E">
        <w:rPr>
          <w:rFonts w:ascii="Times New Roman" w:hAnsi="Times New Roman"/>
          <w:iCs/>
          <w:sz w:val="24"/>
          <w:szCs w:val="24"/>
          <w:shd w:val="clear" w:color="auto" w:fill="FFFFFF"/>
          <w:lang w:val="uk-UA"/>
        </w:rPr>
        <w:t>Вестник</w:t>
      </w:r>
      <w:proofErr w:type="spellEnd"/>
      <w:r w:rsidRPr="007F770E">
        <w:rPr>
          <w:rFonts w:ascii="Times New Roman" w:hAnsi="Times New Roman"/>
          <w:iCs/>
          <w:sz w:val="24"/>
          <w:szCs w:val="24"/>
          <w:shd w:val="clear" w:color="auto" w:fill="FFFFFF"/>
          <w:lang w:val="uk-UA"/>
        </w:rPr>
        <w:t xml:space="preserve"> клуба </w:t>
      </w:r>
      <w:proofErr w:type="spellStart"/>
      <w:r w:rsidRPr="007F770E">
        <w:rPr>
          <w:rFonts w:ascii="Times New Roman" w:hAnsi="Times New Roman"/>
          <w:iCs/>
          <w:sz w:val="24"/>
          <w:szCs w:val="24"/>
          <w:shd w:val="clear" w:color="auto" w:fill="FFFFFF"/>
          <w:lang w:val="uk-UA"/>
        </w:rPr>
        <w:t>панкреатологов</w:t>
      </w:r>
      <w:proofErr w:type="spellEnd"/>
      <w:r w:rsidRPr="007F770E">
        <w:rPr>
          <w:rFonts w:ascii="Times New Roman" w:hAnsi="Times New Roman"/>
          <w:iCs/>
          <w:sz w:val="24"/>
          <w:szCs w:val="24"/>
          <w:shd w:val="clear" w:color="auto" w:fill="FFFFFF"/>
          <w:lang w:val="uk-UA"/>
        </w:rPr>
        <w:t>. — 2014. — № 3. — С. 24–30.</w:t>
      </w:r>
      <w:bookmarkEnd w:id="1"/>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2" w:name="_Ref500064939"/>
      <w:proofErr w:type="spellStart"/>
      <w:r w:rsidRPr="007F770E">
        <w:rPr>
          <w:rFonts w:ascii="Times New Roman" w:hAnsi="Times New Roman"/>
          <w:iCs/>
          <w:sz w:val="24"/>
          <w:szCs w:val="24"/>
          <w:shd w:val="clear" w:color="auto" w:fill="FFFFFF"/>
          <w:lang w:val="uk-UA"/>
        </w:rPr>
        <w:t>Буклис</w:t>
      </w:r>
      <w:proofErr w:type="spellEnd"/>
      <w:r w:rsidRPr="007F770E">
        <w:rPr>
          <w:rFonts w:ascii="Times New Roman" w:hAnsi="Times New Roman"/>
          <w:iCs/>
          <w:sz w:val="24"/>
          <w:szCs w:val="24"/>
          <w:shd w:val="clear" w:color="auto" w:fill="FFFFFF"/>
          <w:lang w:val="uk-UA"/>
        </w:rPr>
        <w:t xml:space="preserve"> Э. Р. </w:t>
      </w:r>
      <w:proofErr w:type="spellStart"/>
      <w:r w:rsidRPr="007F770E">
        <w:rPr>
          <w:rFonts w:ascii="Times New Roman" w:hAnsi="Times New Roman"/>
          <w:iCs/>
          <w:sz w:val="24"/>
          <w:szCs w:val="24"/>
          <w:shd w:val="clear" w:color="auto" w:fill="FFFFFF"/>
          <w:lang w:val="uk-UA"/>
        </w:rPr>
        <w:t>Хронический</w:t>
      </w:r>
      <w:proofErr w:type="spellEnd"/>
      <w:r w:rsidRPr="007F770E">
        <w:rPr>
          <w:rFonts w:ascii="Times New Roman" w:hAnsi="Times New Roman"/>
          <w:iCs/>
          <w:sz w:val="24"/>
          <w:szCs w:val="24"/>
          <w:shd w:val="clear" w:color="auto" w:fill="FFFFFF"/>
          <w:lang w:val="uk-UA"/>
        </w:rPr>
        <w:t xml:space="preserve"> панкреатит: </w:t>
      </w:r>
      <w:proofErr w:type="spellStart"/>
      <w:r w:rsidRPr="007F770E">
        <w:rPr>
          <w:rFonts w:ascii="Times New Roman" w:hAnsi="Times New Roman"/>
          <w:iCs/>
          <w:sz w:val="24"/>
          <w:szCs w:val="24"/>
          <w:shd w:val="clear" w:color="auto" w:fill="FFFFFF"/>
          <w:lang w:val="uk-UA"/>
        </w:rPr>
        <w:t>этиология</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патофизиология</w:t>
      </w:r>
      <w:proofErr w:type="spellEnd"/>
      <w:r w:rsidRPr="007F770E">
        <w:rPr>
          <w:rFonts w:ascii="Times New Roman" w:hAnsi="Times New Roman"/>
          <w:iCs/>
          <w:sz w:val="24"/>
          <w:szCs w:val="24"/>
          <w:shd w:val="clear" w:color="auto" w:fill="FFFFFF"/>
          <w:lang w:val="uk-UA"/>
        </w:rPr>
        <w:t xml:space="preserve"> и </w:t>
      </w:r>
      <w:proofErr w:type="spellStart"/>
      <w:r w:rsidRPr="007F770E">
        <w:rPr>
          <w:rFonts w:ascii="Times New Roman" w:hAnsi="Times New Roman"/>
          <w:iCs/>
          <w:sz w:val="24"/>
          <w:szCs w:val="24"/>
          <w:shd w:val="clear" w:color="auto" w:fill="FFFFFF"/>
          <w:lang w:val="uk-UA"/>
        </w:rPr>
        <w:t>консервативная</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терапия</w:t>
      </w:r>
      <w:proofErr w:type="spellEnd"/>
      <w:r w:rsidRPr="007F770E">
        <w:rPr>
          <w:rFonts w:ascii="Times New Roman" w:hAnsi="Times New Roman"/>
          <w:iCs/>
          <w:sz w:val="24"/>
          <w:szCs w:val="24"/>
          <w:shd w:val="clear" w:color="auto" w:fill="FFFFFF"/>
          <w:lang w:val="uk-UA"/>
        </w:rPr>
        <w:t xml:space="preserve"> / Э. Р. </w:t>
      </w:r>
      <w:proofErr w:type="spellStart"/>
      <w:r w:rsidRPr="007F770E">
        <w:rPr>
          <w:rFonts w:ascii="Times New Roman" w:hAnsi="Times New Roman"/>
          <w:iCs/>
          <w:sz w:val="24"/>
          <w:szCs w:val="24"/>
          <w:shd w:val="clear" w:color="auto" w:fill="FFFFFF"/>
          <w:lang w:val="uk-UA"/>
        </w:rPr>
        <w:t>Буклис</w:t>
      </w:r>
      <w:proofErr w:type="spellEnd"/>
      <w:r w:rsidRPr="007F770E">
        <w:rPr>
          <w:rFonts w:ascii="Times New Roman" w:hAnsi="Times New Roman"/>
          <w:iCs/>
          <w:sz w:val="24"/>
          <w:szCs w:val="24"/>
          <w:shd w:val="clear" w:color="auto" w:fill="FFFFFF"/>
          <w:lang w:val="uk-UA"/>
        </w:rPr>
        <w:t xml:space="preserve">, В. Т. </w:t>
      </w:r>
      <w:proofErr w:type="spellStart"/>
      <w:r w:rsidRPr="007F770E">
        <w:rPr>
          <w:rFonts w:ascii="Times New Roman" w:hAnsi="Times New Roman"/>
          <w:iCs/>
          <w:sz w:val="24"/>
          <w:szCs w:val="24"/>
          <w:shd w:val="clear" w:color="auto" w:fill="FFFFFF"/>
          <w:lang w:val="uk-UA"/>
        </w:rPr>
        <w:t>Ивашкин</w:t>
      </w:r>
      <w:proofErr w:type="spellEnd"/>
      <w:r w:rsidRPr="007F770E">
        <w:rPr>
          <w:rFonts w:ascii="Times New Roman" w:hAnsi="Times New Roman"/>
          <w:iCs/>
          <w:sz w:val="24"/>
          <w:szCs w:val="24"/>
          <w:shd w:val="clear" w:color="auto" w:fill="FFFFFF"/>
          <w:lang w:val="uk-UA"/>
        </w:rPr>
        <w:t xml:space="preserve"> // Рос. журн. </w:t>
      </w:r>
      <w:proofErr w:type="spellStart"/>
      <w:r w:rsidRPr="007F770E">
        <w:rPr>
          <w:rFonts w:ascii="Times New Roman" w:hAnsi="Times New Roman"/>
          <w:iCs/>
          <w:sz w:val="24"/>
          <w:szCs w:val="24"/>
          <w:shd w:val="clear" w:color="auto" w:fill="FFFFFF"/>
          <w:lang w:val="uk-UA"/>
        </w:rPr>
        <w:t>гастроэнтерол</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гепатол</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колопроктол</w:t>
      </w:r>
      <w:proofErr w:type="spellEnd"/>
      <w:r w:rsidRPr="007F770E">
        <w:rPr>
          <w:rFonts w:ascii="Times New Roman" w:hAnsi="Times New Roman"/>
          <w:iCs/>
          <w:sz w:val="24"/>
          <w:szCs w:val="24"/>
          <w:shd w:val="clear" w:color="auto" w:fill="FFFFFF"/>
          <w:lang w:val="uk-UA"/>
        </w:rPr>
        <w:t>. — 2012. — № 6. — С. 79–86.</w:t>
      </w:r>
      <w:bookmarkEnd w:id="2"/>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3" w:name="_Ref500064943"/>
      <w:proofErr w:type="spellStart"/>
      <w:r w:rsidRPr="007F770E">
        <w:rPr>
          <w:rFonts w:ascii="Times New Roman" w:hAnsi="Times New Roman"/>
          <w:iCs/>
          <w:sz w:val="24"/>
          <w:szCs w:val="24"/>
          <w:shd w:val="clear" w:color="auto" w:fill="FFFFFF"/>
          <w:lang w:val="uk-UA"/>
        </w:rPr>
        <w:t>Буклис</w:t>
      </w:r>
      <w:proofErr w:type="spellEnd"/>
      <w:r w:rsidRPr="007F770E">
        <w:rPr>
          <w:rFonts w:ascii="Times New Roman" w:hAnsi="Times New Roman"/>
          <w:iCs/>
          <w:sz w:val="24"/>
          <w:szCs w:val="24"/>
          <w:shd w:val="clear" w:color="auto" w:fill="FFFFFF"/>
          <w:lang w:val="uk-UA"/>
        </w:rPr>
        <w:t xml:space="preserve"> Э. Р. </w:t>
      </w:r>
      <w:proofErr w:type="spellStart"/>
      <w:r w:rsidRPr="007F770E">
        <w:rPr>
          <w:rFonts w:ascii="Times New Roman" w:hAnsi="Times New Roman"/>
          <w:iCs/>
          <w:sz w:val="24"/>
          <w:szCs w:val="24"/>
          <w:shd w:val="clear" w:color="auto" w:fill="FFFFFF"/>
          <w:lang w:val="uk-UA"/>
        </w:rPr>
        <w:t>Хронический</w:t>
      </w:r>
      <w:proofErr w:type="spellEnd"/>
      <w:r w:rsidRPr="007F770E">
        <w:rPr>
          <w:rFonts w:ascii="Times New Roman" w:hAnsi="Times New Roman"/>
          <w:iCs/>
          <w:sz w:val="24"/>
          <w:szCs w:val="24"/>
          <w:shd w:val="clear" w:color="auto" w:fill="FFFFFF"/>
          <w:lang w:val="uk-UA"/>
        </w:rPr>
        <w:t xml:space="preserve"> панкреатит: </w:t>
      </w:r>
      <w:proofErr w:type="spellStart"/>
      <w:r w:rsidRPr="007F770E">
        <w:rPr>
          <w:rFonts w:ascii="Times New Roman" w:hAnsi="Times New Roman"/>
          <w:iCs/>
          <w:sz w:val="24"/>
          <w:szCs w:val="24"/>
          <w:shd w:val="clear" w:color="auto" w:fill="FFFFFF"/>
          <w:lang w:val="uk-UA"/>
        </w:rPr>
        <w:t>этиология</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патофизиология</w:t>
      </w:r>
      <w:proofErr w:type="spellEnd"/>
      <w:r w:rsidRPr="007F770E">
        <w:rPr>
          <w:rFonts w:ascii="Times New Roman" w:hAnsi="Times New Roman"/>
          <w:iCs/>
          <w:sz w:val="24"/>
          <w:szCs w:val="24"/>
          <w:shd w:val="clear" w:color="auto" w:fill="FFFFFF"/>
          <w:lang w:val="uk-UA"/>
        </w:rPr>
        <w:t xml:space="preserve"> и </w:t>
      </w:r>
      <w:proofErr w:type="spellStart"/>
      <w:r w:rsidRPr="007F770E">
        <w:rPr>
          <w:rFonts w:ascii="Times New Roman" w:hAnsi="Times New Roman"/>
          <w:iCs/>
          <w:sz w:val="24"/>
          <w:szCs w:val="24"/>
          <w:shd w:val="clear" w:color="auto" w:fill="FFFFFF"/>
          <w:lang w:val="uk-UA"/>
        </w:rPr>
        <w:t>консервативная</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терапия</w:t>
      </w:r>
      <w:proofErr w:type="spellEnd"/>
      <w:r w:rsidRPr="007F770E">
        <w:rPr>
          <w:rFonts w:ascii="Times New Roman" w:hAnsi="Times New Roman"/>
          <w:iCs/>
          <w:sz w:val="24"/>
          <w:szCs w:val="24"/>
          <w:shd w:val="clear" w:color="auto" w:fill="FFFFFF"/>
          <w:lang w:val="uk-UA"/>
        </w:rPr>
        <w:t xml:space="preserve"> / Э. Р. </w:t>
      </w:r>
      <w:proofErr w:type="spellStart"/>
      <w:r w:rsidRPr="007F770E">
        <w:rPr>
          <w:rFonts w:ascii="Times New Roman" w:hAnsi="Times New Roman"/>
          <w:iCs/>
          <w:sz w:val="24"/>
          <w:szCs w:val="24"/>
          <w:shd w:val="clear" w:color="auto" w:fill="FFFFFF"/>
          <w:lang w:val="uk-UA"/>
        </w:rPr>
        <w:t>Буклис</w:t>
      </w:r>
      <w:proofErr w:type="spellEnd"/>
      <w:r w:rsidRPr="007F770E">
        <w:rPr>
          <w:rFonts w:ascii="Times New Roman" w:hAnsi="Times New Roman"/>
          <w:iCs/>
          <w:sz w:val="24"/>
          <w:szCs w:val="24"/>
          <w:shd w:val="clear" w:color="auto" w:fill="FFFFFF"/>
          <w:lang w:val="uk-UA"/>
        </w:rPr>
        <w:t xml:space="preserve">, В. Т. </w:t>
      </w:r>
      <w:proofErr w:type="spellStart"/>
      <w:r w:rsidRPr="007F770E">
        <w:rPr>
          <w:rFonts w:ascii="Times New Roman" w:hAnsi="Times New Roman"/>
          <w:iCs/>
          <w:sz w:val="24"/>
          <w:szCs w:val="24"/>
          <w:shd w:val="clear" w:color="auto" w:fill="FFFFFF"/>
          <w:lang w:val="uk-UA"/>
        </w:rPr>
        <w:t>Ивашкин</w:t>
      </w:r>
      <w:proofErr w:type="spellEnd"/>
      <w:r w:rsidRPr="007F770E">
        <w:rPr>
          <w:rFonts w:ascii="Times New Roman" w:hAnsi="Times New Roman"/>
          <w:iCs/>
          <w:sz w:val="24"/>
          <w:szCs w:val="24"/>
          <w:shd w:val="clear" w:color="auto" w:fill="FFFFFF"/>
          <w:lang w:val="uk-UA"/>
        </w:rPr>
        <w:t xml:space="preserve"> // Рос. журн. </w:t>
      </w:r>
      <w:proofErr w:type="spellStart"/>
      <w:r w:rsidRPr="007F770E">
        <w:rPr>
          <w:rFonts w:ascii="Times New Roman" w:hAnsi="Times New Roman"/>
          <w:iCs/>
          <w:sz w:val="24"/>
          <w:szCs w:val="24"/>
          <w:shd w:val="clear" w:color="auto" w:fill="FFFFFF"/>
          <w:lang w:val="uk-UA"/>
        </w:rPr>
        <w:t>гастроэнтерол</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гепатол</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колопроктол</w:t>
      </w:r>
      <w:proofErr w:type="spellEnd"/>
      <w:r w:rsidRPr="007F770E">
        <w:rPr>
          <w:rFonts w:ascii="Times New Roman" w:hAnsi="Times New Roman"/>
          <w:iCs/>
          <w:sz w:val="24"/>
          <w:szCs w:val="24"/>
          <w:shd w:val="clear" w:color="auto" w:fill="FFFFFF"/>
          <w:lang w:val="uk-UA"/>
        </w:rPr>
        <w:t>. — 2014. — Т. XVI, № 6. — С. 56–61.</w:t>
      </w:r>
      <w:bookmarkEnd w:id="3"/>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4" w:name="_Ref500065010"/>
      <w:proofErr w:type="spellStart"/>
      <w:r w:rsidRPr="007F770E">
        <w:rPr>
          <w:rFonts w:ascii="Times New Roman" w:hAnsi="Times New Roman"/>
          <w:iCs/>
          <w:sz w:val="24"/>
          <w:szCs w:val="24"/>
          <w:shd w:val="clear" w:color="auto" w:fill="FFFFFF"/>
          <w:lang w:val="uk-UA"/>
        </w:rPr>
        <w:t>Губергиц</w:t>
      </w:r>
      <w:proofErr w:type="spellEnd"/>
      <w:r w:rsidRPr="007F770E">
        <w:rPr>
          <w:rFonts w:ascii="Times New Roman" w:hAnsi="Times New Roman"/>
          <w:iCs/>
          <w:sz w:val="24"/>
          <w:szCs w:val="24"/>
          <w:shd w:val="clear" w:color="auto" w:fill="FFFFFF"/>
          <w:lang w:val="uk-UA"/>
        </w:rPr>
        <w:t xml:space="preserve"> Н. Б. </w:t>
      </w:r>
      <w:proofErr w:type="spellStart"/>
      <w:r w:rsidRPr="007F770E">
        <w:rPr>
          <w:rFonts w:ascii="Times New Roman" w:hAnsi="Times New Roman"/>
          <w:iCs/>
          <w:sz w:val="24"/>
          <w:szCs w:val="24"/>
          <w:shd w:val="clear" w:color="auto" w:fill="FFFFFF"/>
          <w:lang w:val="uk-UA"/>
        </w:rPr>
        <w:t>Клическая</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панкреатология</w:t>
      </w:r>
      <w:proofErr w:type="spellEnd"/>
      <w:r w:rsidRPr="007F770E">
        <w:rPr>
          <w:rFonts w:ascii="Times New Roman" w:hAnsi="Times New Roman"/>
          <w:iCs/>
          <w:sz w:val="24"/>
          <w:szCs w:val="24"/>
          <w:shd w:val="clear" w:color="auto" w:fill="FFFFFF"/>
          <w:lang w:val="uk-UA"/>
        </w:rPr>
        <w:t xml:space="preserve"> / Н. Б. </w:t>
      </w:r>
      <w:proofErr w:type="spellStart"/>
      <w:r w:rsidRPr="007F770E">
        <w:rPr>
          <w:rFonts w:ascii="Times New Roman" w:hAnsi="Times New Roman"/>
          <w:iCs/>
          <w:sz w:val="24"/>
          <w:szCs w:val="24"/>
          <w:shd w:val="clear" w:color="auto" w:fill="FFFFFF"/>
          <w:lang w:val="uk-UA"/>
        </w:rPr>
        <w:t>Губергриц</w:t>
      </w:r>
      <w:proofErr w:type="spellEnd"/>
      <w:r w:rsidRPr="007F770E">
        <w:rPr>
          <w:rFonts w:ascii="Times New Roman" w:hAnsi="Times New Roman"/>
          <w:iCs/>
          <w:sz w:val="24"/>
          <w:szCs w:val="24"/>
          <w:shd w:val="clear" w:color="auto" w:fill="FFFFFF"/>
          <w:lang w:val="uk-UA"/>
        </w:rPr>
        <w:t xml:space="preserve">, Т. М. </w:t>
      </w:r>
      <w:proofErr w:type="spellStart"/>
      <w:r w:rsidRPr="007F770E">
        <w:rPr>
          <w:rFonts w:ascii="Times New Roman" w:hAnsi="Times New Roman"/>
          <w:iCs/>
          <w:sz w:val="24"/>
          <w:szCs w:val="24"/>
          <w:shd w:val="clear" w:color="auto" w:fill="FFFFFF"/>
          <w:lang w:val="uk-UA"/>
        </w:rPr>
        <w:t>Христич</w:t>
      </w:r>
      <w:proofErr w:type="spellEnd"/>
      <w:r w:rsidRPr="007F770E">
        <w:rPr>
          <w:rFonts w:ascii="Times New Roman" w:hAnsi="Times New Roman"/>
          <w:iCs/>
          <w:sz w:val="24"/>
          <w:szCs w:val="24"/>
          <w:shd w:val="clear" w:color="auto" w:fill="FFFFFF"/>
          <w:lang w:val="uk-UA"/>
        </w:rPr>
        <w:t xml:space="preserve">. — </w:t>
      </w:r>
      <w:proofErr w:type="spellStart"/>
      <w:r w:rsidRPr="007F770E">
        <w:rPr>
          <w:rFonts w:ascii="Times New Roman" w:hAnsi="Times New Roman"/>
          <w:iCs/>
          <w:sz w:val="24"/>
          <w:szCs w:val="24"/>
          <w:shd w:val="clear" w:color="auto" w:fill="FFFFFF"/>
          <w:lang w:val="uk-UA"/>
        </w:rPr>
        <w:t>Донецк</w:t>
      </w:r>
      <w:proofErr w:type="spellEnd"/>
      <w:r w:rsidRPr="007F770E">
        <w:rPr>
          <w:rFonts w:ascii="Times New Roman" w:hAnsi="Times New Roman"/>
          <w:iCs/>
          <w:sz w:val="24"/>
          <w:szCs w:val="24"/>
          <w:shd w:val="clear" w:color="auto" w:fill="FFFFFF"/>
          <w:lang w:val="uk-UA"/>
        </w:rPr>
        <w:t xml:space="preserve"> : ООО «</w:t>
      </w:r>
      <w:proofErr w:type="spellStart"/>
      <w:r w:rsidRPr="007F770E">
        <w:rPr>
          <w:rFonts w:ascii="Times New Roman" w:hAnsi="Times New Roman"/>
          <w:iCs/>
          <w:sz w:val="24"/>
          <w:szCs w:val="24"/>
          <w:shd w:val="clear" w:color="auto" w:fill="FFFFFF"/>
          <w:lang w:val="uk-UA"/>
        </w:rPr>
        <w:t>Лебедь</w:t>
      </w:r>
      <w:proofErr w:type="spellEnd"/>
      <w:r w:rsidRPr="007F770E">
        <w:rPr>
          <w:rFonts w:ascii="Times New Roman" w:hAnsi="Times New Roman"/>
          <w:iCs/>
          <w:sz w:val="24"/>
          <w:szCs w:val="24"/>
          <w:shd w:val="clear" w:color="auto" w:fill="FFFFFF"/>
          <w:lang w:val="uk-UA"/>
        </w:rPr>
        <w:t>», 2013. — С. 236.</w:t>
      </w:r>
      <w:bookmarkEnd w:id="4"/>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5" w:name="_Ref500065022"/>
      <w:r w:rsidRPr="007F770E">
        <w:rPr>
          <w:rFonts w:ascii="Times New Roman" w:hAnsi="Times New Roman"/>
          <w:iCs/>
          <w:sz w:val="24"/>
          <w:szCs w:val="24"/>
          <w:shd w:val="clear" w:color="auto" w:fill="FFFFFF"/>
          <w:lang w:val="uk-UA"/>
        </w:rPr>
        <w:t>Дієтологія / За ред. Н. В. Харченко, Г. А. Анохіної. — К. : Меридіан, 2013. — 528 с.</w:t>
      </w:r>
      <w:bookmarkEnd w:id="5"/>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6" w:name="_Ref500064974"/>
      <w:r w:rsidRPr="007F770E">
        <w:rPr>
          <w:rFonts w:ascii="Times New Roman" w:hAnsi="Times New Roman"/>
          <w:iCs/>
          <w:sz w:val="24"/>
          <w:szCs w:val="24"/>
          <w:shd w:val="clear" w:color="auto" w:fill="FFFFFF"/>
          <w:lang w:val="uk-UA"/>
        </w:rPr>
        <w:t xml:space="preserve">Ліпідний </w:t>
      </w:r>
      <w:proofErr w:type="spellStart"/>
      <w:r w:rsidRPr="007F770E">
        <w:rPr>
          <w:rFonts w:ascii="Times New Roman" w:hAnsi="Times New Roman"/>
          <w:iCs/>
          <w:sz w:val="24"/>
          <w:szCs w:val="24"/>
          <w:shd w:val="clear" w:color="auto" w:fill="FFFFFF"/>
          <w:lang w:val="uk-UA"/>
        </w:rPr>
        <w:t>дистрес-синдром</w:t>
      </w:r>
      <w:proofErr w:type="spellEnd"/>
      <w:r w:rsidRPr="007F770E">
        <w:rPr>
          <w:rFonts w:ascii="Times New Roman" w:hAnsi="Times New Roman"/>
          <w:iCs/>
          <w:sz w:val="24"/>
          <w:szCs w:val="24"/>
          <w:shd w:val="clear" w:color="auto" w:fill="FFFFFF"/>
          <w:lang w:val="uk-UA"/>
        </w:rPr>
        <w:t xml:space="preserve">: роль у розвитку та прогресуванні хронічного панкреатиту осіб похилого віку / Т. Б. </w:t>
      </w:r>
      <w:proofErr w:type="spellStart"/>
      <w:r w:rsidRPr="007F770E">
        <w:rPr>
          <w:rFonts w:ascii="Times New Roman" w:hAnsi="Times New Roman"/>
          <w:iCs/>
          <w:sz w:val="24"/>
          <w:szCs w:val="24"/>
          <w:shd w:val="clear" w:color="auto" w:fill="FFFFFF"/>
          <w:lang w:val="uk-UA"/>
        </w:rPr>
        <w:t>Кендзерська</w:t>
      </w:r>
      <w:proofErr w:type="spellEnd"/>
      <w:r w:rsidRPr="007F770E">
        <w:rPr>
          <w:rFonts w:ascii="Times New Roman" w:hAnsi="Times New Roman"/>
          <w:iCs/>
          <w:sz w:val="24"/>
          <w:szCs w:val="24"/>
          <w:shd w:val="clear" w:color="auto" w:fill="FFFFFF"/>
          <w:lang w:val="uk-UA"/>
        </w:rPr>
        <w:t xml:space="preserve">, М. Ю. </w:t>
      </w:r>
      <w:proofErr w:type="spellStart"/>
      <w:r w:rsidRPr="007F770E">
        <w:rPr>
          <w:rFonts w:ascii="Times New Roman" w:hAnsi="Times New Roman"/>
          <w:iCs/>
          <w:sz w:val="24"/>
          <w:szCs w:val="24"/>
          <w:shd w:val="clear" w:color="auto" w:fill="FFFFFF"/>
          <w:lang w:val="uk-UA"/>
        </w:rPr>
        <w:t>Коломоєць</w:t>
      </w:r>
      <w:proofErr w:type="spellEnd"/>
      <w:r w:rsidRPr="007F770E">
        <w:rPr>
          <w:rFonts w:ascii="Times New Roman" w:hAnsi="Times New Roman"/>
          <w:iCs/>
          <w:sz w:val="24"/>
          <w:szCs w:val="24"/>
          <w:shd w:val="clear" w:color="auto" w:fill="FFFFFF"/>
          <w:lang w:val="uk-UA"/>
        </w:rPr>
        <w:t xml:space="preserve">, І. В. </w:t>
      </w:r>
      <w:proofErr w:type="spellStart"/>
      <w:r w:rsidRPr="007F770E">
        <w:rPr>
          <w:rFonts w:ascii="Times New Roman" w:hAnsi="Times New Roman"/>
          <w:iCs/>
          <w:sz w:val="24"/>
          <w:szCs w:val="24"/>
          <w:shd w:val="clear" w:color="auto" w:fill="FFFFFF"/>
          <w:lang w:val="uk-UA"/>
        </w:rPr>
        <w:t>Трефаненко</w:t>
      </w:r>
      <w:proofErr w:type="spellEnd"/>
      <w:r w:rsidRPr="007F770E">
        <w:rPr>
          <w:rFonts w:ascii="Times New Roman" w:hAnsi="Times New Roman"/>
          <w:iCs/>
          <w:sz w:val="24"/>
          <w:szCs w:val="24"/>
          <w:shd w:val="clear" w:color="auto" w:fill="FFFFFF"/>
          <w:lang w:val="uk-UA"/>
        </w:rPr>
        <w:t xml:space="preserve">, О. В. </w:t>
      </w:r>
      <w:proofErr w:type="spellStart"/>
      <w:r w:rsidRPr="007F770E">
        <w:rPr>
          <w:rFonts w:ascii="Times New Roman" w:hAnsi="Times New Roman"/>
          <w:iCs/>
          <w:sz w:val="24"/>
          <w:szCs w:val="24"/>
          <w:shd w:val="clear" w:color="auto" w:fill="FFFFFF"/>
          <w:lang w:val="uk-UA"/>
        </w:rPr>
        <w:t>Андрусяк</w:t>
      </w:r>
      <w:proofErr w:type="spellEnd"/>
      <w:r w:rsidRPr="007F770E">
        <w:rPr>
          <w:rFonts w:ascii="Times New Roman" w:hAnsi="Times New Roman"/>
          <w:iCs/>
          <w:sz w:val="24"/>
          <w:szCs w:val="24"/>
          <w:shd w:val="clear" w:color="auto" w:fill="FFFFFF"/>
          <w:lang w:val="uk-UA"/>
        </w:rPr>
        <w:t xml:space="preserve"> // Терапевтичні читання: алгоритми сучасної діагностики та лікування внутрішніх хвороб: матеріали </w:t>
      </w:r>
      <w:proofErr w:type="spellStart"/>
      <w:r w:rsidRPr="007F770E">
        <w:rPr>
          <w:rFonts w:ascii="Times New Roman" w:hAnsi="Times New Roman"/>
          <w:iCs/>
          <w:sz w:val="24"/>
          <w:szCs w:val="24"/>
          <w:shd w:val="clear" w:color="auto" w:fill="FFFFFF"/>
          <w:lang w:val="uk-UA"/>
        </w:rPr>
        <w:t>наук.-практ</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конф</w:t>
      </w:r>
      <w:proofErr w:type="spellEnd"/>
      <w:r w:rsidRPr="007F770E">
        <w:rPr>
          <w:rFonts w:ascii="Times New Roman" w:hAnsi="Times New Roman"/>
          <w:iCs/>
          <w:sz w:val="24"/>
          <w:szCs w:val="24"/>
          <w:shd w:val="clear" w:color="auto" w:fill="FFFFFF"/>
          <w:lang w:val="uk-UA"/>
        </w:rPr>
        <w:t>. — Х., 2005. — С. 93.</w:t>
      </w:r>
      <w:bookmarkEnd w:id="6"/>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7" w:name="_Ref500064982"/>
      <w:proofErr w:type="spellStart"/>
      <w:r w:rsidRPr="007F770E">
        <w:rPr>
          <w:rFonts w:ascii="Times New Roman" w:hAnsi="Times New Roman"/>
          <w:iCs/>
          <w:sz w:val="24"/>
          <w:szCs w:val="24"/>
          <w:shd w:val="clear" w:color="auto" w:fill="FFFFFF"/>
          <w:lang w:val="uk-UA"/>
        </w:rPr>
        <w:t>Мітченко</w:t>
      </w:r>
      <w:proofErr w:type="spellEnd"/>
      <w:r w:rsidRPr="007F770E">
        <w:rPr>
          <w:rFonts w:ascii="Times New Roman" w:hAnsi="Times New Roman"/>
          <w:iCs/>
          <w:sz w:val="24"/>
          <w:szCs w:val="24"/>
          <w:shd w:val="clear" w:color="auto" w:fill="FFFFFF"/>
          <w:lang w:val="uk-UA"/>
        </w:rPr>
        <w:t xml:space="preserve"> О. І. </w:t>
      </w:r>
      <w:proofErr w:type="spellStart"/>
      <w:r w:rsidRPr="007F770E">
        <w:rPr>
          <w:rFonts w:ascii="Times New Roman" w:hAnsi="Times New Roman"/>
          <w:iCs/>
          <w:sz w:val="24"/>
          <w:szCs w:val="24"/>
          <w:shd w:val="clear" w:color="auto" w:fill="FFFFFF"/>
          <w:lang w:val="uk-UA"/>
        </w:rPr>
        <w:t>Дисліпідемії</w:t>
      </w:r>
      <w:proofErr w:type="spellEnd"/>
      <w:r w:rsidRPr="007F770E">
        <w:rPr>
          <w:rFonts w:ascii="Times New Roman" w:hAnsi="Times New Roman"/>
          <w:iCs/>
          <w:sz w:val="24"/>
          <w:szCs w:val="24"/>
          <w:shd w:val="clear" w:color="auto" w:fill="FFFFFF"/>
          <w:lang w:val="uk-UA"/>
        </w:rPr>
        <w:t xml:space="preserve">: діагностика, профілактика та лікування / О. І. </w:t>
      </w:r>
      <w:proofErr w:type="spellStart"/>
      <w:r w:rsidRPr="007F770E">
        <w:rPr>
          <w:rFonts w:ascii="Times New Roman" w:hAnsi="Times New Roman"/>
          <w:iCs/>
          <w:sz w:val="24"/>
          <w:szCs w:val="24"/>
          <w:shd w:val="clear" w:color="auto" w:fill="FFFFFF"/>
          <w:lang w:val="uk-UA"/>
        </w:rPr>
        <w:t>Мітченко</w:t>
      </w:r>
      <w:proofErr w:type="spellEnd"/>
      <w:r w:rsidRPr="007F770E">
        <w:rPr>
          <w:rFonts w:ascii="Times New Roman" w:hAnsi="Times New Roman"/>
          <w:iCs/>
          <w:sz w:val="24"/>
          <w:szCs w:val="24"/>
          <w:shd w:val="clear" w:color="auto" w:fill="FFFFFF"/>
          <w:lang w:val="uk-UA"/>
        </w:rPr>
        <w:t xml:space="preserve">, М. І. </w:t>
      </w:r>
      <w:proofErr w:type="spellStart"/>
      <w:r w:rsidRPr="007F770E">
        <w:rPr>
          <w:rFonts w:ascii="Times New Roman" w:hAnsi="Times New Roman"/>
          <w:iCs/>
          <w:sz w:val="24"/>
          <w:szCs w:val="24"/>
          <w:shd w:val="clear" w:color="auto" w:fill="FFFFFF"/>
          <w:lang w:val="uk-UA"/>
        </w:rPr>
        <w:t>Лутай</w:t>
      </w:r>
      <w:proofErr w:type="spellEnd"/>
      <w:r w:rsidRPr="007F770E">
        <w:rPr>
          <w:rFonts w:ascii="Times New Roman" w:hAnsi="Times New Roman"/>
          <w:iCs/>
          <w:sz w:val="24"/>
          <w:szCs w:val="24"/>
          <w:shd w:val="clear" w:color="auto" w:fill="FFFFFF"/>
          <w:lang w:val="uk-UA"/>
        </w:rPr>
        <w:t>. — К. : Четверта хвиля, 2007. — 56 с.</w:t>
      </w:r>
      <w:bookmarkEnd w:id="7"/>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8" w:name="_Ref500064936"/>
      <w:proofErr w:type="spellStart"/>
      <w:r w:rsidRPr="007F770E">
        <w:rPr>
          <w:rFonts w:ascii="Times New Roman" w:hAnsi="Times New Roman"/>
          <w:iCs/>
          <w:sz w:val="24"/>
          <w:szCs w:val="24"/>
          <w:shd w:val="clear" w:color="auto" w:fill="FFFFFF"/>
          <w:lang w:val="uk-UA"/>
        </w:rPr>
        <w:t>Свиридюк</w:t>
      </w:r>
      <w:proofErr w:type="spellEnd"/>
      <w:r w:rsidRPr="007F770E">
        <w:rPr>
          <w:rFonts w:ascii="Times New Roman" w:hAnsi="Times New Roman"/>
          <w:iCs/>
          <w:sz w:val="24"/>
          <w:szCs w:val="24"/>
          <w:shd w:val="clear" w:color="auto" w:fill="FFFFFF"/>
          <w:lang w:val="uk-UA"/>
        </w:rPr>
        <w:t xml:space="preserve"> В. З. </w:t>
      </w:r>
      <w:proofErr w:type="spellStart"/>
      <w:r w:rsidRPr="007F770E">
        <w:rPr>
          <w:rFonts w:ascii="Times New Roman" w:hAnsi="Times New Roman"/>
          <w:iCs/>
          <w:sz w:val="24"/>
          <w:szCs w:val="24"/>
          <w:shd w:val="clear" w:color="auto" w:fill="FFFFFF"/>
          <w:lang w:val="uk-UA"/>
        </w:rPr>
        <w:t>Поліморбідність</w:t>
      </w:r>
      <w:proofErr w:type="spellEnd"/>
      <w:r w:rsidRPr="007F770E">
        <w:rPr>
          <w:rFonts w:ascii="Times New Roman" w:hAnsi="Times New Roman"/>
          <w:iCs/>
          <w:sz w:val="24"/>
          <w:szCs w:val="24"/>
          <w:shd w:val="clear" w:color="auto" w:fill="FFFFFF"/>
          <w:lang w:val="uk-UA"/>
        </w:rPr>
        <w:t xml:space="preserve"> пацієнтів з хворобами органів травлення та шляхи її подолання / В. З. </w:t>
      </w:r>
      <w:proofErr w:type="spellStart"/>
      <w:r w:rsidRPr="007F770E">
        <w:rPr>
          <w:rFonts w:ascii="Times New Roman" w:hAnsi="Times New Roman"/>
          <w:iCs/>
          <w:sz w:val="24"/>
          <w:szCs w:val="24"/>
          <w:shd w:val="clear" w:color="auto" w:fill="FFFFFF"/>
          <w:lang w:val="uk-UA"/>
        </w:rPr>
        <w:t>Свиридюк</w:t>
      </w:r>
      <w:proofErr w:type="spellEnd"/>
      <w:r w:rsidRPr="007F770E">
        <w:rPr>
          <w:rFonts w:ascii="Times New Roman" w:hAnsi="Times New Roman"/>
          <w:iCs/>
          <w:sz w:val="24"/>
          <w:szCs w:val="24"/>
          <w:shd w:val="clear" w:color="auto" w:fill="FFFFFF"/>
          <w:lang w:val="uk-UA"/>
        </w:rPr>
        <w:t xml:space="preserve"> // Сучасна гастроентерологія. — 2011. — № 4. — С. 24–29.</w:t>
      </w:r>
      <w:bookmarkEnd w:id="8"/>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9" w:name="_Ref500064990"/>
      <w:proofErr w:type="spellStart"/>
      <w:r w:rsidRPr="007F770E">
        <w:rPr>
          <w:rFonts w:ascii="Times New Roman" w:hAnsi="Times New Roman"/>
          <w:iCs/>
          <w:sz w:val="24"/>
          <w:szCs w:val="24"/>
          <w:shd w:val="clear" w:color="auto" w:fill="FFFFFF"/>
          <w:lang w:val="uk-UA"/>
        </w:rPr>
        <w:t>Скібчик</w:t>
      </w:r>
      <w:proofErr w:type="spellEnd"/>
      <w:r w:rsidRPr="007F770E">
        <w:rPr>
          <w:rFonts w:ascii="Times New Roman" w:hAnsi="Times New Roman"/>
          <w:iCs/>
          <w:sz w:val="24"/>
          <w:szCs w:val="24"/>
          <w:shd w:val="clear" w:color="auto" w:fill="FFFFFF"/>
          <w:lang w:val="uk-UA"/>
        </w:rPr>
        <w:t xml:space="preserve"> В. А. </w:t>
      </w:r>
      <w:proofErr w:type="spellStart"/>
      <w:r w:rsidRPr="007F770E">
        <w:rPr>
          <w:rFonts w:ascii="Times New Roman" w:hAnsi="Times New Roman"/>
          <w:iCs/>
          <w:sz w:val="24"/>
          <w:szCs w:val="24"/>
          <w:shd w:val="clear" w:color="auto" w:fill="FFFFFF"/>
          <w:lang w:val="uk-UA"/>
        </w:rPr>
        <w:t>Ефективість</w:t>
      </w:r>
      <w:proofErr w:type="spellEnd"/>
      <w:r w:rsidRPr="007F770E">
        <w:rPr>
          <w:rFonts w:ascii="Times New Roman" w:hAnsi="Times New Roman"/>
          <w:iCs/>
          <w:sz w:val="24"/>
          <w:szCs w:val="24"/>
          <w:shd w:val="clear" w:color="auto" w:fill="FFFFFF"/>
          <w:lang w:val="uk-UA"/>
        </w:rPr>
        <w:t xml:space="preserve"> омега-3 при лікуванні </w:t>
      </w:r>
      <w:proofErr w:type="spellStart"/>
      <w:r w:rsidRPr="007F770E">
        <w:rPr>
          <w:rFonts w:ascii="Times New Roman" w:hAnsi="Times New Roman"/>
          <w:iCs/>
          <w:sz w:val="24"/>
          <w:szCs w:val="24"/>
          <w:shd w:val="clear" w:color="auto" w:fill="FFFFFF"/>
          <w:lang w:val="uk-UA"/>
        </w:rPr>
        <w:t>дисліпідемії</w:t>
      </w:r>
      <w:proofErr w:type="spellEnd"/>
      <w:r w:rsidRPr="007F770E">
        <w:rPr>
          <w:rFonts w:ascii="Times New Roman" w:hAnsi="Times New Roman"/>
          <w:iCs/>
          <w:sz w:val="24"/>
          <w:szCs w:val="24"/>
          <w:shd w:val="clear" w:color="auto" w:fill="FFFFFF"/>
          <w:lang w:val="uk-UA"/>
        </w:rPr>
        <w:t xml:space="preserve"> у хворих, які перенесли інфаркт міокарда / В. А. </w:t>
      </w:r>
      <w:proofErr w:type="spellStart"/>
      <w:r w:rsidRPr="007F770E">
        <w:rPr>
          <w:rFonts w:ascii="Times New Roman" w:hAnsi="Times New Roman"/>
          <w:iCs/>
          <w:sz w:val="24"/>
          <w:szCs w:val="24"/>
          <w:shd w:val="clear" w:color="auto" w:fill="FFFFFF"/>
          <w:lang w:val="uk-UA"/>
        </w:rPr>
        <w:t>Скібчик</w:t>
      </w:r>
      <w:proofErr w:type="spellEnd"/>
      <w:r w:rsidRPr="007F770E">
        <w:rPr>
          <w:rFonts w:ascii="Times New Roman" w:hAnsi="Times New Roman"/>
          <w:iCs/>
          <w:sz w:val="24"/>
          <w:szCs w:val="24"/>
          <w:shd w:val="clear" w:color="auto" w:fill="FFFFFF"/>
          <w:lang w:val="uk-UA"/>
        </w:rPr>
        <w:t xml:space="preserve">, Т. М. </w:t>
      </w:r>
      <w:proofErr w:type="spellStart"/>
      <w:r w:rsidRPr="007F770E">
        <w:rPr>
          <w:rFonts w:ascii="Times New Roman" w:hAnsi="Times New Roman"/>
          <w:iCs/>
          <w:sz w:val="24"/>
          <w:szCs w:val="24"/>
          <w:shd w:val="clear" w:color="auto" w:fill="FFFFFF"/>
          <w:lang w:val="uk-UA"/>
        </w:rPr>
        <w:t>Соломенчук</w:t>
      </w:r>
      <w:proofErr w:type="spellEnd"/>
      <w:r w:rsidRPr="007F770E">
        <w:rPr>
          <w:rFonts w:ascii="Times New Roman" w:hAnsi="Times New Roman"/>
          <w:iCs/>
          <w:sz w:val="24"/>
          <w:szCs w:val="24"/>
          <w:shd w:val="clear" w:color="auto" w:fill="FFFFFF"/>
          <w:lang w:val="uk-UA"/>
        </w:rPr>
        <w:t xml:space="preserve"> // Сімейна медицина. — 2014. — № 2. — С. 57–60.</w:t>
      </w:r>
      <w:bookmarkEnd w:id="9"/>
    </w:p>
    <w:p w:rsidR="0056444D" w:rsidRPr="007F770E" w:rsidRDefault="0056444D" w:rsidP="0056444D">
      <w:pPr>
        <w:numPr>
          <w:ilvl w:val="0"/>
          <w:numId w:val="4"/>
        </w:numPr>
        <w:spacing w:after="0" w:line="360" w:lineRule="auto"/>
        <w:jc w:val="both"/>
        <w:rPr>
          <w:rFonts w:ascii="Times New Roman" w:hAnsi="Times New Roman"/>
          <w:sz w:val="24"/>
          <w:szCs w:val="24"/>
          <w:lang w:val="uk-UA"/>
        </w:rPr>
      </w:pPr>
      <w:bookmarkStart w:id="10" w:name="_Ref500065018"/>
      <w:proofErr w:type="spellStart"/>
      <w:r w:rsidRPr="007F770E">
        <w:rPr>
          <w:rFonts w:ascii="Times New Roman" w:hAnsi="Times New Roman"/>
          <w:sz w:val="24"/>
          <w:szCs w:val="24"/>
          <w:lang w:val="uk-UA"/>
        </w:rPr>
        <w:t>Суровикина</w:t>
      </w:r>
      <w:proofErr w:type="spellEnd"/>
      <w:r w:rsidRPr="007F770E">
        <w:rPr>
          <w:rFonts w:ascii="Times New Roman" w:hAnsi="Times New Roman"/>
          <w:sz w:val="24"/>
          <w:szCs w:val="24"/>
          <w:lang w:val="uk-UA"/>
        </w:rPr>
        <w:t xml:space="preserve"> М. С. </w:t>
      </w:r>
      <w:proofErr w:type="spellStart"/>
      <w:r w:rsidRPr="007F770E">
        <w:rPr>
          <w:rFonts w:ascii="Times New Roman" w:hAnsi="Times New Roman"/>
          <w:sz w:val="24"/>
          <w:szCs w:val="24"/>
          <w:lang w:val="uk-UA"/>
        </w:rPr>
        <w:t>Калликреин-кининовая</w:t>
      </w:r>
      <w:proofErr w:type="spellEnd"/>
      <w:r w:rsidRPr="007F770E">
        <w:rPr>
          <w:rFonts w:ascii="Times New Roman" w:hAnsi="Times New Roman"/>
          <w:sz w:val="24"/>
          <w:szCs w:val="24"/>
          <w:lang w:val="uk-UA"/>
        </w:rPr>
        <w:t xml:space="preserve"> система крови и </w:t>
      </w:r>
      <w:proofErr w:type="spellStart"/>
      <w:r w:rsidRPr="007F770E">
        <w:rPr>
          <w:rFonts w:ascii="Times New Roman" w:hAnsi="Times New Roman"/>
          <w:sz w:val="24"/>
          <w:szCs w:val="24"/>
          <w:lang w:val="uk-UA"/>
        </w:rPr>
        <w:t>ее</w:t>
      </w:r>
      <w:proofErr w:type="spellEnd"/>
      <w:r w:rsidRPr="007F770E">
        <w:rPr>
          <w:rFonts w:ascii="Times New Roman" w:hAnsi="Times New Roman"/>
          <w:sz w:val="24"/>
          <w:szCs w:val="24"/>
          <w:lang w:val="uk-UA"/>
        </w:rPr>
        <w:t xml:space="preserve"> </w:t>
      </w:r>
      <w:proofErr w:type="spellStart"/>
      <w:r w:rsidRPr="007F770E">
        <w:rPr>
          <w:rFonts w:ascii="Times New Roman" w:hAnsi="Times New Roman"/>
          <w:sz w:val="24"/>
          <w:szCs w:val="24"/>
          <w:lang w:val="uk-UA"/>
        </w:rPr>
        <w:t>активность</w:t>
      </w:r>
      <w:proofErr w:type="spellEnd"/>
      <w:r w:rsidRPr="007F770E">
        <w:rPr>
          <w:rFonts w:ascii="Times New Roman" w:hAnsi="Times New Roman"/>
          <w:sz w:val="24"/>
          <w:szCs w:val="24"/>
          <w:lang w:val="uk-UA"/>
        </w:rPr>
        <w:t xml:space="preserve"> при </w:t>
      </w:r>
      <w:proofErr w:type="spellStart"/>
      <w:r w:rsidRPr="007F770E">
        <w:rPr>
          <w:rFonts w:ascii="Times New Roman" w:hAnsi="Times New Roman"/>
          <w:sz w:val="24"/>
          <w:szCs w:val="24"/>
          <w:lang w:val="uk-UA"/>
        </w:rPr>
        <w:t>атеросклерозе</w:t>
      </w:r>
      <w:proofErr w:type="spellEnd"/>
      <w:r w:rsidRPr="007F770E">
        <w:rPr>
          <w:rFonts w:ascii="Times New Roman" w:hAnsi="Times New Roman"/>
          <w:sz w:val="24"/>
          <w:szCs w:val="24"/>
          <w:lang w:val="uk-UA"/>
        </w:rPr>
        <w:t xml:space="preserve"> </w:t>
      </w:r>
      <w:proofErr w:type="spellStart"/>
      <w:r w:rsidRPr="007F770E">
        <w:rPr>
          <w:rFonts w:ascii="Times New Roman" w:hAnsi="Times New Roman"/>
          <w:sz w:val="24"/>
          <w:szCs w:val="24"/>
          <w:lang w:val="uk-UA"/>
        </w:rPr>
        <w:t>сосудов</w:t>
      </w:r>
      <w:proofErr w:type="spellEnd"/>
      <w:r w:rsidRPr="007F770E">
        <w:rPr>
          <w:rFonts w:ascii="Times New Roman" w:hAnsi="Times New Roman"/>
          <w:sz w:val="24"/>
          <w:szCs w:val="24"/>
          <w:lang w:val="uk-UA"/>
        </w:rPr>
        <w:t xml:space="preserve"> </w:t>
      </w:r>
      <w:proofErr w:type="spellStart"/>
      <w:r w:rsidRPr="007F770E">
        <w:rPr>
          <w:rFonts w:ascii="Times New Roman" w:hAnsi="Times New Roman"/>
          <w:sz w:val="24"/>
          <w:szCs w:val="24"/>
          <w:lang w:val="uk-UA"/>
        </w:rPr>
        <w:t>мозга</w:t>
      </w:r>
      <w:proofErr w:type="spellEnd"/>
      <w:r w:rsidRPr="007F770E">
        <w:rPr>
          <w:rFonts w:ascii="Times New Roman" w:hAnsi="Times New Roman"/>
          <w:sz w:val="24"/>
          <w:szCs w:val="24"/>
          <w:lang w:val="uk-UA"/>
        </w:rPr>
        <w:t xml:space="preserve"> и </w:t>
      </w:r>
      <w:proofErr w:type="spellStart"/>
      <w:r w:rsidRPr="007F770E">
        <w:rPr>
          <w:rFonts w:ascii="Times New Roman" w:hAnsi="Times New Roman"/>
          <w:sz w:val="24"/>
          <w:szCs w:val="24"/>
          <w:lang w:val="uk-UA"/>
        </w:rPr>
        <w:t>сердца</w:t>
      </w:r>
      <w:proofErr w:type="spellEnd"/>
      <w:r w:rsidRPr="007F770E">
        <w:rPr>
          <w:rFonts w:ascii="Times New Roman" w:hAnsi="Times New Roman"/>
          <w:sz w:val="24"/>
          <w:szCs w:val="24"/>
          <w:lang w:val="uk-UA"/>
        </w:rPr>
        <w:t xml:space="preserve"> / М. С. </w:t>
      </w:r>
      <w:proofErr w:type="spellStart"/>
      <w:r w:rsidRPr="007F770E">
        <w:rPr>
          <w:rFonts w:ascii="Times New Roman" w:hAnsi="Times New Roman"/>
          <w:sz w:val="24"/>
          <w:szCs w:val="24"/>
          <w:lang w:val="uk-UA"/>
        </w:rPr>
        <w:t>Суровикина</w:t>
      </w:r>
      <w:proofErr w:type="spellEnd"/>
      <w:r w:rsidRPr="007F770E">
        <w:rPr>
          <w:rFonts w:ascii="Times New Roman" w:hAnsi="Times New Roman"/>
          <w:sz w:val="24"/>
          <w:szCs w:val="24"/>
          <w:lang w:val="uk-UA"/>
        </w:rPr>
        <w:t xml:space="preserve"> // </w:t>
      </w:r>
      <w:proofErr w:type="spellStart"/>
      <w:r w:rsidRPr="007F770E">
        <w:rPr>
          <w:rFonts w:ascii="Times New Roman" w:hAnsi="Times New Roman"/>
          <w:sz w:val="24"/>
          <w:szCs w:val="24"/>
          <w:lang w:val="uk-UA"/>
        </w:rPr>
        <w:t>Клиническая</w:t>
      </w:r>
      <w:proofErr w:type="spellEnd"/>
      <w:r w:rsidRPr="007F770E">
        <w:rPr>
          <w:rFonts w:ascii="Times New Roman" w:hAnsi="Times New Roman"/>
          <w:sz w:val="24"/>
          <w:szCs w:val="24"/>
          <w:lang w:val="uk-UA"/>
        </w:rPr>
        <w:t xml:space="preserve"> </w:t>
      </w:r>
      <w:proofErr w:type="spellStart"/>
      <w:r w:rsidRPr="007F770E">
        <w:rPr>
          <w:rFonts w:ascii="Times New Roman" w:hAnsi="Times New Roman"/>
          <w:sz w:val="24"/>
          <w:szCs w:val="24"/>
          <w:lang w:val="uk-UA"/>
        </w:rPr>
        <w:t>геронтология</w:t>
      </w:r>
      <w:proofErr w:type="spellEnd"/>
      <w:r w:rsidRPr="007F770E">
        <w:rPr>
          <w:rFonts w:ascii="Times New Roman" w:hAnsi="Times New Roman"/>
          <w:sz w:val="24"/>
          <w:szCs w:val="24"/>
          <w:lang w:val="uk-UA"/>
        </w:rPr>
        <w:t>. — 2004. — № 12. — С. 27–37.</w:t>
      </w:r>
      <w:bookmarkEnd w:id="10"/>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11" w:name="_Ref500064932"/>
      <w:r w:rsidRPr="007F770E">
        <w:rPr>
          <w:rFonts w:ascii="Times New Roman" w:hAnsi="Times New Roman"/>
          <w:iCs/>
          <w:sz w:val="24"/>
          <w:szCs w:val="24"/>
          <w:shd w:val="clear" w:color="auto" w:fill="FFFFFF"/>
          <w:lang w:val="uk-UA"/>
        </w:rPr>
        <w:lastRenderedPageBreak/>
        <w:t xml:space="preserve">Філіппов Ю. О. Основні показники гастроентерологічної захворюваності в Україні / Ю. О. Філіппов, І. Ю. </w:t>
      </w:r>
      <w:proofErr w:type="spellStart"/>
      <w:r w:rsidRPr="007F770E">
        <w:rPr>
          <w:rFonts w:ascii="Times New Roman" w:hAnsi="Times New Roman"/>
          <w:iCs/>
          <w:sz w:val="24"/>
          <w:szCs w:val="24"/>
          <w:shd w:val="clear" w:color="auto" w:fill="FFFFFF"/>
          <w:lang w:val="uk-UA"/>
        </w:rPr>
        <w:t>Скирда</w:t>
      </w:r>
      <w:proofErr w:type="spellEnd"/>
      <w:r w:rsidRPr="007F770E">
        <w:rPr>
          <w:rFonts w:ascii="Times New Roman" w:hAnsi="Times New Roman"/>
          <w:iCs/>
          <w:sz w:val="24"/>
          <w:szCs w:val="24"/>
          <w:shd w:val="clear" w:color="auto" w:fill="FFFFFF"/>
          <w:lang w:val="uk-UA"/>
        </w:rPr>
        <w:t xml:space="preserve">, Л. М. </w:t>
      </w:r>
      <w:proofErr w:type="spellStart"/>
      <w:r w:rsidRPr="007F770E">
        <w:rPr>
          <w:rFonts w:ascii="Times New Roman" w:hAnsi="Times New Roman"/>
          <w:iCs/>
          <w:sz w:val="24"/>
          <w:szCs w:val="24"/>
          <w:shd w:val="clear" w:color="auto" w:fill="FFFFFF"/>
          <w:lang w:val="uk-UA"/>
        </w:rPr>
        <w:t>Петречук</w:t>
      </w:r>
      <w:proofErr w:type="spellEnd"/>
      <w:r w:rsidRPr="007F770E">
        <w:rPr>
          <w:rFonts w:ascii="Times New Roman" w:hAnsi="Times New Roman"/>
          <w:iCs/>
          <w:sz w:val="24"/>
          <w:szCs w:val="24"/>
          <w:shd w:val="clear" w:color="auto" w:fill="FFFFFF"/>
          <w:lang w:val="uk-UA"/>
        </w:rPr>
        <w:t xml:space="preserve"> // Гастроентерологія : </w:t>
      </w:r>
      <w:proofErr w:type="spellStart"/>
      <w:r w:rsidRPr="007F770E">
        <w:rPr>
          <w:rFonts w:ascii="Times New Roman" w:hAnsi="Times New Roman"/>
          <w:iCs/>
          <w:sz w:val="24"/>
          <w:szCs w:val="24"/>
          <w:shd w:val="clear" w:color="auto" w:fill="FFFFFF"/>
          <w:lang w:val="uk-UA"/>
        </w:rPr>
        <w:t>міжвід</w:t>
      </w:r>
      <w:proofErr w:type="spellEnd"/>
      <w:r w:rsidRPr="007F770E">
        <w:rPr>
          <w:rFonts w:ascii="Times New Roman" w:hAnsi="Times New Roman"/>
          <w:iCs/>
          <w:sz w:val="24"/>
          <w:szCs w:val="24"/>
          <w:shd w:val="clear" w:color="auto" w:fill="FFFFFF"/>
          <w:lang w:val="uk-UA"/>
        </w:rPr>
        <w:t xml:space="preserve">. зб. — </w:t>
      </w:r>
      <w:proofErr w:type="spellStart"/>
      <w:r w:rsidRPr="007F770E">
        <w:rPr>
          <w:rFonts w:ascii="Times New Roman" w:hAnsi="Times New Roman"/>
          <w:iCs/>
          <w:sz w:val="24"/>
          <w:szCs w:val="24"/>
          <w:shd w:val="clear" w:color="auto" w:fill="FFFFFF"/>
          <w:lang w:val="uk-UA"/>
        </w:rPr>
        <w:t>Діпропетровськ</w:t>
      </w:r>
      <w:proofErr w:type="spellEnd"/>
      <w:r w:rsidRPr="007F770E">
        <w:rPr>
          <w:rFonts w:ascii="Times New Roman" w:hAnsi="Times New Roman"/>
          <w:iCs/>
          <w:sz w:val="24"/>
          <w:szCs w:val="24"/>
          <w:shd w:val="clear" w:color="auto" w:fill="FFFFFF"/>
          <w:lang w:val="uk-UA"/>
        </w:rPr>
        <w:t>, 2010. — Вип. 37. — с. 3–9.</w:t>
      </w:r>
      <w:bookmarkEnd w:id="11"/>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12" w:name="_Ref500065013"/>
      <w:r w:rsidRPr="007F770E">
        <w:rPr>
          <w:rFonts w:ascii="Times New Roman" w:hAnsi="Times New Roman"/>
          <w:iCs/>
          <w:sz w:val="24"/>
          <w:szCs w:val="24"/>
          <w:shd w:val="clear" w:color="auto" w:fill="FFFFFF"/>
          <w:lang w:val="uk-UA"/>
        </w:rPr>
        <w:t xml:space="preserve">Харченко Н. В. </w:t>
      </w:r>
      <w:proofErr w:type="spellStart"/>
      <w:r w:rsidRPr="007F770E">
        <w:rPr>
          <w:rFonts w:ascii="Times New Roman" w:hAnsi="Times New Roman"/>
          <w:iCs/>
          <w:sz w:val="24"/>
          <w:szCs w:val="24"/>
          <w:shd w:val="clear" w:color="auto" w:fill="FFFFFF"/>
          <w:lang w:val="uk-UA"/>
        </w:rPr>
        <w:t>Вільнорадикальне</w:t>
      </w:r>
      <w:proofErr w:type="spellEnd"/>
      <w:r w:rsidRPr="007F770E">
        <w:rPr>
          <w:rFonts w:ascii="Times New Roman" w:hAnsi="Times New Roman"/>
          <w:iCs/>
          <w:sz w:val="24"/>
          <w:szCs w:val="24"/>
          <w:shd w:val="clear" w:color="auto" w:fill="FFFFFF"/>
          <w:lang w:val="uk-UA"/>
        </w:rPr>
        <w:t xml:space="preserve"> окиснення та стан антиоксидантного захисту у хворих на хронічні гепатити / Н. В. Харченко // Гастроентерологія: </w:t>
      </w:r>
      <w:proofErr w:type="spellStart"/>
      <w:r w:rsidRPr="007F770E">
        <w:rPr>
          <w:rFonts w:ascii="Times New Roman" w:hAnsi="Times New Roman"/>
          <w:iCs/>
          <w:sz w:val="24"/>
          <w:szCs w:val="24"/>
          <w:shd w:val="clear" w:color="auto" w:fill="FFFFFF"/>
          <w:lang w:val="uk-UA"/>
        </w:rPr>
        <w:t>міжвід</w:t>
      </w:r>
      <w:proofErr w:type="spellEnd"/>
      <w:r w:rsidRPr="007F770E">
        <w:rPr>
          <w:rFonts w:ascii="Times New Roman" w:hAnsi="Times New Roman"/>
          <w:iCs/>
          <w:sz w:val="24"/>
          <w:szCs w:val="24"/>
          <w:shd w:val="clear" w:color="auto" w:fill="FFFFFF"/>
          <w:lang w:val="uk-UA"/>
        </w:rPr>
        <w:t>. збірник. — Дніпропетровськ, 2013. — Вип. 32. — С. 504–509.</w:t>
      </w:r>
      <w:bookmarkEnd w:id="12"/>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13" w:name="_Ref500064979"/>
      <w:r w:rsidRPr="007F770E">
        <w:rPr>
          <w:rFonts w:ascii="Times New Roman" w:hAnsi="Times New Roman"/>
          <w:iCs/>
          <w:sz w:val="24"/>
          <w:szCs w:val="24"/>
          <w:shd w:val="clear" w:color="auto" w:fill="FFFFFF"/>
          <w:lang w:val="uk-UA"/>
        </w:rPr>
        <w:t>Харченко Н. В. Нові підходи до корекції порушень ліпідного обміну у хворих з хронічним панкреатитом / Н. В. Харченко, С. В. Анохіна, С. В. Бойко // Сучасна гастроентерологія. — 2013. — №1 (27). — С. 36–39.</w:t>
      </w:r>
      <w:bookmarkEnd w:id="13"/>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14" w:name="_Ref500064959"/>
      <w:proofErr w:type="spellStart"/>
      <w:r w:rsidRPr="007F770E">
        <w:rPr>
          <w:rFonts w:ascii="Times New Roman" w:hAnsi="Times New Roman"/>
          <w:iCs/>
          <w:sz w:val="24"/>
          <w:szCs w:val="24"/>
          <w:shd w:val="clear" w:color="auto" w:fill="FFFFFF"/>
          <w:lang w:val="uk-UA"/>
        </w:rPr>
        <w:t>Христич</w:t>
      </w:r>
      <w:proofErr w:type="spellEnd"/>
      <w:r w:rsidRPr="007F770E">
        <w:rPr>
          <w:rFonts w:ascii="Times New Roman" w:hAnsi="Times New Roman"/>
          <w:iCs/>
          <w:sz w:val="24"/>
          <w:szCs w:val="24"/>
          <w:shd w:val="clear" w:color="auto" w:fill="FFFFFF"/>
          <w:lang w:val="uk-UA"/>
        </w:rPr>
        <w:t xml:space="preserve"> Т. М. Ліпідний спектр крові при хронічному панкреатиті за </w:t>
      </w:r>
      <w:proofErr w:type="spellStart"/>
      <w:r w:rsidRPr="007F770E">
        <w:rPr>
          <w:rFonts w:ascii="Times New Roman" w:hAnsi="Times New Roman"/>
          <w:iCs/>
          <w:sz w:val="24"/>
          <w:szCs w:val="24"/>
          <w:shd w:val="clear" w:color="auto" w:fill="FFFFFF"/>
          <w:lang w:val="uk-UA"/>
        </w:rPr>
        <w:t>коморбідності</w:t>
      </w:r>
      <w:proofErr w:type="spellEnd"/>
      <w:r w:rsidRPr="007F770E">
        <w:rPr>
          <w:rFonts w:ascii="Times New Roman" w:hAnsi="Times New Roman"/>
          <w:iCs/>
          <w:sz w:val="24"/>
          <w:szCs w:val="24"/>
          <w:shd w:val="clear" w:color="auto" w:fill="FFFFFF"/>
          <w:lang w:val="uk-UA"/>
        </w:rPr>
        <w:t xml:space="preserve"> з ішемічною хворобою серця / Т. М. </w:t>
      </w:r>
      <w:proofErr w:type="spellStart"/>
      <w:r w:rsidRPr="007F770E">
        <w:rPr>
          <w:rFonts w:ascii="Times New Roman" w:hAnsi="Times New Roman"/>
          <w:iCs/>
          <w:sz w:val="24"/>
          <w:szCs w:val="24"/>
          <w:shd w:val="clear" w:color="auto" w:fill="FFFFFF"/>
          <w:lang w:val="uk-UA"/>
        </w:rPr>
        <w:t>Христич</w:t>
      </w:r>
      <w:proofErr w:type="spellEnd"/>
      <w:r w:rsidRPr="007F770E">
        <w:rPr>
          <w:rFonts w:ascii="Times New Roman" w:hAnsi="Times New Roman"/>
          <w:iCs/>
          <w:sz w:val="24"/>
          <w:szCs w:val="24"/>
          <w:shd w:val="clear" w:color="auto" w:fill="FFFFFF"/>
          <w:lang w:val="uk-UA"/>
        </w:rPr>
        <w:t xml:space="preserve"> // Гастроентерологія. — 2014. — №3 (53). — С. 56–63.</w:t>
      </w:r>
      <w:bookmarkEnd w:id="14"/>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15" w:name="_Ref500064963"/>
      <w:proofErr w:type="spellStart"/>
      <w:r w:rsidRPr="007F770E">
        <w:rPr>
          <w:rFonts w:ascii="Times New Roman" w:hAnsi="Times New Roman"/>
          <w:iCs/>
          <w:sz w:val="24"/>
          <w:szCs w:val="24"/>
          <w:shd w:val="clear" w:color="auto" w:fill="FFFFFF"/>
          <w:lang w:val="uk-UA"/>
        </w:rPr>
        <w:t>Христич</w:t>
      </w:r>
      <w:proofErr w:type="spellEnd"/>
      <w:r w:rsidRPr="007F770E">
        <w:rPr>
          <w:rFonts w:ascii="Times New Roman" w:hAnsi="Times New Roman"/>
          <w:iCs/>
          <w:sz w:val="24"/>
          <w:szCs w:val="24"/>
          <w:shd w:val="clear" w:color="auto" w:fill="FFFFFF"/>
          <w:lang w:val="uk-UA"/>
        </w:rPr>
        <w:t xml:space="preserve"> Т. Н. </w:t>
      </w:r>
      <w:proofErr w:type="spellStart"/>
      <w:r w:rsidRPr="007F770E">
        <w:rPr>
          <w:rFonts w:ascii="Times New Roman" w:hAnsi="Times New Roman"/>
          <w:iCs/>
          <w:sz w:val="24"/>
          <w:szCs w:val="24"/>
          <w:shd w:val="clear" w:color="auto" w:fill="FFFFFF"/>
          <w:lang w:val="uk-UA"/>
        </w:rPr>
        <w:t>Дисметаболические</w:t>
      </w:r>
      <w:proofErr w:type="spellEnd"/>
      <w:r w:rsidRPr="007F770E">
        <w:rPr>
          <w:rFonts w:ascii="Times New Roman" w:hAnsi="Times New Roman"/>
          <w:iCs/>
          <w:sz w:val="24"/>
          <w:szCs w:val="24"/>
          <w:shd w:val="clear" w:color="auto" w:fill="FFFFFF"/>
          <w:lang w:val="uk-UA"/>
        </w:rPr>
        <w:t xml:space="preserve"> форми </w:t>
      </w:r>
      <w:proofErr w:type="spellStart"/>
      <w:r w:rsidRPr="007F770E">
        <w:rPr>
          <w:rFonts w:ascii="Times New Roman" w:hAnsi="Times New Roman"/>
          <w:iCs/>
          <w:sz w:val="24"/>
          <w:szCs w:val="24"/>
          <w:shd w:val="clear" w:color="auto" w:fill="FFFFFF"/>
          <w:lang w:val="uk-UA"/>
        </w:rPr>
        <w:t>хронического</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панкреатита</w:t>
      </w:r>
      <w:proofErr w:type="spellEnd"/>
      <w:r w:rsidRPr="007F770E">
        <w:rPr>
          <w:rFonts w:ascii="Times New Roman" w:hAnsi="Times New Roman"/>
          <w:iCs/>
          <w:sz w:val="24"/>
          <w:szCs w:val="24"/>
          <w:shd w:val="clear" w:color="auto" w:fill="FFFFFF"/>
          <w:lang w:val="uk-UA"/>
        </w:rPr>
        <w:t xml:space="preserve"> / Т. Н. </w:t>
      </w:r>
      <w:proofErr w:type="spellStart"/>
      <w:r w:rsidRPr="007F770E">
        <w:rPr>
          <w:rFonts w:ascii="Times New Roman" w:hAnsi="Times New Roman"/>
          <w:iCs/>
          <w:sz w:val="24"/>
          <w:szCs w:val="24"/>
          <w:shd w:val="clear" w:color="auto" w:fill="FFFFFF"/>
          <w:lang w:val="uk-UA"/>
        </w:rPr>
        <w:t>Христич</w:t>
      </w:r>
      <w:proofErr w:type="spellEnd"/>
      <w:r w:rsidRPr="007F770E">
        <w:rPr>
          <w:rFonts w:ascii="Times New Roman" w:hAnsi="Times New Roman"/>
          <w:iCs/>
          <w:sz w:val="24"/>
          <w:szCs w:val="24"/>
          <w:shd w:val="clear" w:color="auto" w:fill="FFFFFF"/>
          <w:lang w:val="uk-UA"/>
        </w:rPr>
        <w:t xml:space="preserve">, Т. Б. </w:t>
      </w:r>
      <w:proofErr w:type="spellStart"/>
      <w:r w:rsidRPr="007F770E">
        <w:rPr>
          <w:rFonts w:ascii="Times New Roman" w:hAnsi="Times New Roman"/>
          <w:iCs/>
          <w:sz w:val="24"/>
          <w:szCs w:val="24"/>
          <w:shd w:val="clear" w:color="auto" w:fill="FFFFFF"/>
          <w:lang w:val="uk-UA"/>
        </w:rPr>
        <w:t>Кендзерская</w:t>
      </w:r>
      <w:proofErr w:type="spellEnd"/>
      <w:r w:rsidRPr="007F770E">
        <w:rPr>
          <w:rFonts w:ascii="Times New Roman" w:hAnsi="Times New Roman"/>
          <w:iCs/>
          <w:sz w:val="24"/>
          <w:szCs w:val="24"/>
          <w:shd w:val="clear" w:color="auto" w:fill="FFFFFF"/>
          <w:lang w:val="uk-UA"/>
        </w:rPr>
        <w:t xml:space="preserve">, И. В. </w:t>
      </w:r>
      <w:proofErr w:type="spellStart"/>
      <w:r w:rsidRPr="007F770E">
        <w:rPr>
          <w:rFonts w:ascii="Times New Roman" w:hAnsi="Times New Roman"/>
          <w:iCs/>
          <w:sz w:val="24"/>
          <w:szCs w:val="24"/>
          <w:shd w:val="clear" w:color="auto" w:fill="FFFFFF"/>
          <w:lang w:val="uk-UA"/>
        </w:rPr>
        <w:t>Трефаненко</w:t>
      </w:r>
      <w:proofErr w:type="spellEnd"/>
      <w:r w:rsidRPr="007F770E">
        <w:rPr>
          <w:rFonts w:ascii="Times New Roman" w:hAnsi="Times New Roman"/>
          <w:iCs/>
          <w:sz w:val="24"/>
          <w:szCs w:val="24"/>
          <w:shd w:val="clear" w:color="auto" w:fill="FFFFFF"/>
          <w:lang w:val="uk-UA"/>
        </w:rPr>
        <w:t xml:space="preserve"> // Сучасна </w:t>
      </w:r>
      <w:proofErr w:type="spellStart"/>
      <w:r w:rsidRPr="007F770E">
        <w:rPr>
          <w:rFonts w:ascii="Times New Roman" w:hAnsi="Times New Roman"/>
          <w:iCs/>
          <w:sz w:val="24"/>
          <w:szCs w:val="24"/>
          <w:shd w:val="clear" w:color="auto" w:fill="FFFFFF"/>
          <w:lang w:val="uk-UA"/>
        </w:rPr>
        <w:t>гастроентерология</w:t>
      </w:r>
      <w:proofErr w:type="spellEnd"/>
      <w:r w:rsidRPr="007F770E">
        <w:rPr>
          <w:rFonts w:ascii="Times New Roman" w:hAnsi="Times New Roman"/>
          <w:iCs/>
          <w:sz w:val="24"/>
          <w:szCs w:val="24"/>
          <w:shd w:val="clear" w:color="auto" w:fill="FFFFFF"/>
          <w:lang w:val="uk-UA"/>
        </w:rPr>
        <w:t>. — 2004. — № 6 (20). — С. 79–84.</w:t>
      </w:r>
      <w:bookmarkEnd w:id="15"/>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16" w:name="_Ref500065007"/>
      <w:r w:rsidRPr="007F770E">
        <w:rPr>
          <w:rFonts w:ascii="Times New Roman" w:hAnsi="Times New Roman"/>
          <w:iCs/>
          <w:sz w:val="24"/>
          <w:szCs w:val="24"/>
          <w:shd w:val="clear" w:color="auto" w:fill="FFFFFF"/>
          <w:lang w:val="uk-UA"/>
        </w:rPr>
        <w:t>Хронічний панкреатит. Адаптована клінічна настанова, заснована на доказах. 2014 // Новини медицини та фармації. — 2014. — № 521. — С. 48–71.</w:t>
      </w:r>
      <w:bookmarkEnd w:id="16"/>
    </w:p>
    <w:p w:rsidR="0056444D" w:rsidRPr="007F770E"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17" w:name="_Ref500064996"/>
      <w:r w:rsidRPr="007F770E">
        <w:rPr>
          <w:rFonts w:ascii="Times New Roman" w:hAnsi="Times New Roman"/>
          <w:iCs/>
          <w:sz w:val="24"/>
          <w:szCs w:val="24"/>
          <w:shd w:val="clear" w:color="auto" w:fill="FFFFFF"/>
          <w:lang w:val="uk-UA"/>
        </w:rPr>
        <w:t xml:space="preserve">ESPEN </w:t>
      </w:r>
      <w:proofErr w:type="spellStart"/>
      <w:r w:rsidRPr="007F770E">
        <w:rPr>
          <w:rFonts w:ascii="Times New Roman" w:hAnsi="Times New Roman"/>
          <w:iCs/>
          <w:sz w:val="24"/>
          <w:szCs w:val="24"/>
          <w:shd w:val="clear" w:color="auto" w:fill="FFFFFF"/>
          <w:lang w:val="uk-UA"/>
        </w:rPr>
        <w:t>guidelines</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on</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enteral</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nutrition</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pancreas</w:t>
      </w:r>
      <w:proofErr w:type="spellEnd"/>
      <w:r w:rsidRPr="007F770E">
        <w:rPr>
          <w:rFonts w:ascii="Times New Roman" w:hAnsi="Times New Roman"/>
          <w:iCs/>
          <w:sz w:val="24"/>
          <w:szCs w:val="24"/>
          <w:shd w:val="clear" w:color="auto" w:fill="FFFFFF"/>
          <w:lang w:val="uk-UA"/>
        </w:rPr>
        <w:t xml:space="preserve"> / R.</w:t>
      </w:r>
      <w:r w:rsidRPr="007F770E">
        <w:rPr>
          <w:rFonts w:ascii="Times New Roman" w:hAnsi="Times New Roman"/>
          <w:iCs/>
          <w:sz w:val="24"/>
          <w:szCs w:val="24"/>
          <w:shd w:val="clear" w:color="auto" w:fill="FFFFFF"/>
          <w:lang w:val="en-US"/>
        </w:rPr>
        <w:t xml:space="preserve"> </w:t>
      </w:r>
      <w:proofErr w:type="spellStart"/>
      <w:r w:rsidRPr="007F770E">
        <w:rPr>
          <w:rFonts w:ascii="Times New Roman" w:hAnsi="Times New Roman"/>
          <w:iCs/>
          <w:sz w:val="24"/>
          <w:szCs w:val="24"/>
          <w:shd w:val="clear" w:color="auto" w:fill="FFFFFF"/>
          <w:lang w:val="uk-UA"/>
        </w:rPr>
        <w:t>Meier</w:t>
      </w:r>
      <w:proofErr w:type="spellEnd"/>
      <w:r w:rsidRPr="007F770E">
        <w:rPr>
          <w:rFonts w:ascii="Times New Roman" w:hAnsi="Times New Roman"/>
          <w:iCs/>
          <w:sz w:val="24"/>
          <w:szCs w:val="24"/>
          <w:shd w:val="clear" w:color="auto" w:fill="FFFFFF"/>
          <w:lang w:val="uk-UA"/>
        </w:rPr>
        <w:t>, J.</w:t>
      </w:r>
      <w:r w:rsidRPr="007F770E">
        <w:rPr>
          <w:rFonts w:ascii="Times New Roman" w:hAnsi="Times New Roman"/>
          <w:iCs/>
          <w:sz w:val="24"/>
          <w:szCs w:val="24"/>
          <w:shd w:val="clear" w:color="auto" w:fill="FFFFFF"/>
          <w:lang w:val="en-US"/>
        </w:rPr>
        <w:t xml:space="preserve"> </w:t>
      </w:r>
      <w:proofErr w:type="spellStart"/>
      <w:r w:rsidRPr="007F770E">
        <w:rPr>
          <w:rFonts w:ascii="Times New Roman" w:hAnsi="Times New Roman"/>
          <w:iCs/>
          <w:sz w:val="24"/>
          <w:szCs w:val="24"/>
          <w:shd w:val="clear" w:color="auto" w:fill="FFFFFF"/>
          <w:lang w:val="uk-UA"/>
        </w:rPr>
        <w:t>Ockeng</w:t>
      </w:r>
      <w:proofErr w:type="spellEnd"/>
      <w:r w:rsidRPr="007F770E">
        <w:rPr>
          <w:rFonts w:ascii="Times New Roman" w:hAnsi="Times New Roman"/>
          <w:iCs/>
          <w:sz w:val="24"/>
          <w:szCs w:val="24"/>
          <w:shd w:val="clear" w:color="auto" w:fill="FFFFFF"/>
          <w:lang w:val="uk-UA"/>
        </w:rPr>
        <w:t>, M.</w:t>
      </w:r>
      <w:r w:rsidRPr="007F770E">
        <w:rPr>
          <w:rFonts w:ascii="Times New Roman" w:hAnsi="Times New Roman"/>
          <w:iCs/>
          <w:sz w:val="24"/>
          <w:szCs w:val="24"/>
          <w:shd w:val="clear" w:color="auto" w:fill="FFFFFF"/>
          <w:lang w:val="en-US"/>
        </w:rPr>
        <w:t xml:space="preserve"> </w:t>
      </w:r>
      <w:proofErr w:type="spellStart"/>
      <w:r w:rsidRPr="007F770E">
        <w:rPr>
          <w:rFonts w:ascii="Times New Roman" w:hAnsi="Times New Roman"/>
          <w:iCs/>
          <w:sz w:val="24"/>
          <w:szCs w:val="24"/>
          <w:shd w:val="clear" w:color="auto" w:fill="FFFFFF"/>
          <w:lang w:val="uk-UA"/>
        </w:rPr>
        <w:t>Pertkiewicz</w:t>
      </w:r>
      <w:proofErr w:type="spellEnd"/>
      <w:r w:rsidRPr="007F770E">
        <w:rPr>
          <w:rFonts w:ascii="Times New Roman" w:hAnsi="Times New Roman"/>
          <w:iCs/>
          <w:sz w:val="24"/>
          <w:szCs w:val="24"/>
          <w:shd w:val="clear" w:color="auto" w:fill="FFFFFF"/>
          <w:lang w:val="uk-UA"/>
        </w:rPr>
        <w:t xml:space="preserve"> </w:t>
      </w:r>
      <w:r w:rsidRPr="007F770E">
        <w:rPr>
          <w:rFonts w:ascii="Times New Roman" w:hAnsi="Times New Roman"/>
          <w:iCs/>
          <w:sz w:val="24"/>
          <w:szCs w:val="24"/>
          <w:shd w:val="clear" w:color="auto" w:fill="FFFFFF"/>
          <w:lang w:val="en-US"/>
        </w:rPr>
        <w:t>[</w:t>
      </w:r>
      <w:proofErr w:type="spellStart"/>
      <w:r w:rsidRPr="007F770E">
        <w:rPr>
          <w:rFonts w:ascii="Times New Roman" w:hAnsi="Times New Roman"/>
          <w:iCs/>
          <w:sz w:val="24"/>
          <w:szCs w:val="24"/>
          <w:shd w:val="clear" w:color="auto" w:fill="FFFFFF"/>
          <w:lang w:val="uk-UA"/>
        </w:rPr>
        <w:t>et</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al</w:t>
      </w:r>
      <w:proofErr w:type="spellEnd"/>
      <w:r w:rsidRPr="007F770E">
        <w:rPr>
          <w:rFonts w:ascii="Times New Roman" w:hAnsi="Times New Roman"/>
          <w:iCs/>
          <w:sz w:val="24"/>
          <w:szCs w:val="24"/>
          <w:shd w:val="clear" w:color="auto" w:fill="FFFFFF"/>
          <w:lang w:val="uk-UA"/>
        </w:rPr>
        <w:t>.</w:t>
      </w:r>
      <w:r w:rsidRPr="007F770E">
        <w:rPr>
          <w:rFonts w:ascii="Times New Roman" w:hAnsi="Times New Roman"/>
          <w:iCs/>
          <w:sz w:val="24"/>
          <w:szCs w:val="24"/>
          <w:shd w:val="clear" w:color="auto" w:fill="FFFFFF"/>
          <w:lang w:val="en-US"/>
        </w:rPr>
        <w:t>]</w:t>
      </w:r>
      <w:r w:rsidRPr="007F770E">
        <w:rPr>
          <w:rFonts w:ascii="Times New Roman" w:hAnsi="Times New Roman"/>
          <w:iCs/>
          <w:sz w:val="24"/>
          <w:szCs w:val="24"/>
          <w:shd w:val="clear" w:color="auto" w:fill="FFFFFF"/>
          <w:lang w:val="uk-UA"/>
        </w:rPr>
        <w:t xml:space="preserve"> // </w:t>
      </w:r>
      <w:proofErr w:type="spellStart"/>
      <w:r w:rsidRPr="007F770E">
        <w:rPr>
          <w:rFonts w:ascii="Times New Roman" w:hAnsi="Times New Roman"/>
          <w:iCs/>
          <w:sz w:val="24"/>
          <w:szCs w:val="24"/>
          <w:shd w:val="clear" w:color="auto" w:fill="FFFFFF"/>
          <w:lang w:val="uk-UA"/>
        </w:rPr>
        <w:t>Clin</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Nutr</w:t>
      </w:r>
      <w:proofErr w:type="spellEnd"/>
      <w:r w:rsidRPr="007F770E">
        <w:rPr>
          <w:rFonts w:ascii="Times New Roman" w:hAnsi="Times New Roman"/>
          <w:iCs/>
          <w:sz w:val="24"/>
          <w:szCs w:val="24"/>
          <w:shd w:val="clear" w:color="auto" w:fill="FFFFFF"/>
          <w:lang w:val="uk-UA"/>
        </w:rPr>
        <w:t xml:space="preserve">. — 2013. — </w:t>
      </w:r>
      <w:r w:rsidRPr="007F770E">
        <w:rPr>
          <w:rFonts w:ascii="Times New Roman" w:hAnsi="Times New Roman"/>
          <w:iCs/>
          <w:sz w:val="24"/>
          <w:szCs w:val="24"/>
          <w:shd w:val="clear" w:color="auto" w:fill="FFFFFF"/>
          <w:lang w:val="en-US"/>
        </w:rPr>
        <w:t>Vol.</w:t>
      </w:r>
      <w:r w:rsidRPr="007F770E">
        <w:rPr>
          <w:rFonts w:ascii="Times New Roman" w:hAnsi="Times New Roman"/>
          <w:iCs/>
          <w:sz w:val="24"/>
          <w:szCs w:val="24"/>
          <w:shd w:val="clear" w:color="auto" w:fill="FFFFFF"/>
          <w:lang w:val="uk-UA"/>
        </w:rPr>
        <w:t xml:space="preserve"> 25. — Р. 275</w:t>
      </w:r>
      <w:r w:rsidRPr="007F770E">
        <w:rPr>
          <w:rFonts w:ascii="Times New Roman" w:hAnsi="Times New Roman"/>
          <w:iCs/>
          <w:sz w:val="24"/>
          <w:szCs w:val="24"/>
          <w:shd w:val="clear" w:color="auto" w:fill="FFFFFF"/>
          <w:lang w:val="en-US"/>
        </w:rPr>
        <w:t>–</w:t>
      </w:r>
      <w:r w:rsidRPr="007F770E">
        <w:rPr>
          <w:rFonts w:ascii="Times New Roman" w:hAnsi="Times New Roman"/>
          <w:iCs/>
          <w:sz w:val="24"/>
          <w:szCs w:val="24"/>
          <w:shd w:val="clear" w:color="auto" w:fill="FFFFFF"/>
          <w:lang w:val="uk-UA"/>
        </w:rPr>
        <w:t>284.</w:t>
      </w:r>
      <w:bookmarkEnd w:id="17"/>
    </w:p>
    <w:p w:rsidR="0056444D" w:rsidRPr="0056444D"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bookmarkStart w:id="18" w:name="_Ref500065001"/>
      <w:proofErr w:type="spellStart"/>
      <w:r w:rsidRPr="007F770E">
        <w:rPr>
          <w:rFonts w:ascii="Times New Roman" w:hAnsi="Times New Roman"/>
          <w:iCs/>
          <w:sz w:val="24"/>
          <w:szCs w:val="24"/>
          <w:shd w:val="clear" w:color="auto" w:fill="FFFFFF"/>
          <w:lang w:val="uk-UA"/>
        </w:rPr>
        <w:t>High</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prevalence</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of</w:t>
      </w:r>
      <w:proofErr w:type="spellEnd"/>
      <w:r w:rsidRPr="007F770E">
        <w:rPr>
          <w:rFonts w:ascii="Times New Roman" w:hAnsi="Times New Roman"/>
          <w:iCs/>
          <w:sz w:val="24"/>
          <w:szCs w:val="24"/>
          <w:shd w:val="clear" w:color="auto" w:fill="FFFFFF"/>
          <w:lang w:val="uk-UA"/>
        </w:rPr>
        <w:t xml:space="preserve"> low-</w:t>
      </w:r>
      <w:proofErr w:type="spellStart"/>
      <w:r w:rsidRPr="007F770E">
        <w:rPr>
          <w:rFonts w:ascii="Times New Roman" w:hAnsi="Times New Roman"/>
          <w:iCs/>
          <w:sz w:val="24"/>
          <w:szCs w:val="24"/>
          <w:shd w:val="clear" w:color="auto" w:fill="FFFFFF"/>
          <w:lang w:val="uk-UA"/>
        </w:rPr>
        <w:t>trauma</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fracture</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in</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chronic</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pancreatitis</w:t>
      </w:r>
      <w:proofErr w:type="spellEnd"/>
      <w:r w:rsidRPr="007F770E">
        <w:rPr>
          <w:rFonts w:ascii="Times New Roman" w:hAnsi="Times New Roman"/>
          <w:iCs/>
          <w:sz w:val="24"/>
          <w:szCs w:val="24"/>
          <w:shd w:val="clear" w:color="auto" w:fill="FFFFFF"/>
          <w:lang w:val="uk-UA"/>
        </w:rPr>
        <w:t xml:space="preserve"> / A. S. </w:t>
      </w:r>
      <w:proofErr w:type="spellStart"/>
      <w:r w:rsidRPr="007F770E">
        <w:rPr>
          <w:rFonts w:ascii="Times New Roman" w:hAnsi="Times New Roman"/>
          <w:iCs/>
          <w:sz w:val="24"/>
          <w:szCs w:val="24"/>
          <w:shd w:val="clear" w:color="auto" w:fill="FFFFFF"/>
          <w:lang w:val="uk-UA"/>
        </w:rPr>
        <w:t>Tignor</w:t>
      </w:r>
      <w:proofErr w:type="spellEnd"/>
      <w:r w:rsidRPr="007F770E">
        <w:rPr>
          <w:rFonts w:ascii="Times New Roman" w:hAnsi="Times New Roman"/>
          <w:iCs/>
          <w:sz w:val="24"/>
          <w:szCs w:val="24"/>
          <w:shd w:val="clear" w:color="auto" w:fill="FFFFFF"/>
          <w:lang w:val="uk-UA"/>
        </w:rPr>
        <w:t xml:space="preserve">, B. U. </w:t>
      </w:r>
      <w:proofErr w:type="spellStart"/>
      <w:r w:rsidRPr="007F770E">
        <w:rPr>
          <w:rFonts w:ascii="Times New Roman" w:hAnsi="Times New Roman"/>
          <w:iCs/>
          <w:sz w:val="24"/>
          <w:szCs w:val="24"/>
          <w:shd w:val="clear" w:color="auto" w:fill="FFFFFF"/>
          <w:lang w:val="uk-UA"/>
        </w:rPr>
        <w:t>Wu</w:t>
      </w:r>
      <w:proofErr w:type="spellEnd"/>
      <w:r w:rsidRPr="007F770E">
        <w:rPr>
          <w:rFonts w:ascii="Times New Roman" w:hAnsi="Times New Roman"/>
          <w:iCs/>
          <w:sz w:val="24"/>
          <w:szCs w:val="24"/>
          <w:shd w:val="clear" w:color="auto" w:fill="FFFFFF"/>
          <w:lang w:val="uk-UA"/>
        </w:rPr>
        <w:t xml:space="preserve">, T. L. </w:t>
      </w:r>
      <w:proofErr w:type="spellStart"/>
      <w:r w:rsidRPr="007F770E">
        <w:rPr>
          <w:rFonts w:ascii="Times New Roman" w:hAnsi="Times New Roman"/>
          <w:iCs/>
          <w:sz w:val="24"/>
          <w:szCs w:val="24"/>
          <w:shd w:val="clear" w:color="auto" w:fill="FFFFFF"/>
          <w:lang w:val="uk-UA"/>
        </w:rPr>
        <w:t>Whitlock</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et</w:t>
      </w:r>
      <w:proofErr w:type="spellEnd"/>
      <w:r w:rsidRPr="007F770E">
        <w:rPr>
          <w:rFonts w:ascii="Times New Roman" w:hAnsi="Times New Roman"/>
          <w:iCs/>
          <w:sz w:val="24"/>
          <w:szCs w:val="24"/>
          <w:shd w:val="clear" w:color="auto" w:fill="FFFFFF"/>
          <w:lang w:val="uk-UA"/>
        </w:rPr>
        <w:t xml:space="preserve"> </w:t>
      </w:r>
      <w:proofErr w:type="spellStart"/>
      <w:r w:rsidRPr="007F770E">
        <w:rPr>
          <w:rFonts w:ascii="Times New Roman" w:hAnsi="Times New Roman"/>
          <w:iCs/>
          <w:sz w:val="24"/>
          <w:szCs w:val="24"/>
          <w:shd w:val="clear" w:color="auto" w:fill="FFFFFF"/>
          <w:lang w:val="uk-UA"/>
        </w:rPr>
        <w:t>al</w:t>
      </w:r>
      <w:proofErr w:type="spellEnd"/>
      <w:r w:rsidRPr="007F770E">
        <w:rPr>
          <w:rFonts w:ascii="Times New Roman" w:hAnsi="Times New Roman"/>
          <w:iCs/>
          <w:sz w:val="24"/>
          <w:szCs w:val="24"/>
          <w:shd w:val="clear" w:color="auto" w:fill="FFFFFF"/>
          <w:lang w:val="uk-UA"/>
        </w:rPr>
        <w:t xml:space="preserve">.] // J. </w:t>
      </w:r>
      <w:proofErr w:type="spellStart"/>
      <w:r w:rsidRPr="007F770E">
        <w:rPr>
          <w:rFonts w:ascii="Times New Roman" w:hAnsi="Times New Roman"/>
          <w:iCs/>
          <w:sz w:val="24"/>
          <w:szCs w:val="24"/>
          <w:shd w:val="clear" w:color="auto" w:fill="FFFFFF"/>
          <w:lang w:val="uk-UA"/>
        </w:rPr>
        <w:t>Gastroenterol</w:t>
      </w:r>
      <w:proofErr w:type="spellEnd"/>
      <w:r w:rsidRPr="007F770E">
        <w:rPr>
          <w:rFonts w:ascii="Times New Roman" w:hAnsi="Times New Roman"/>
          <w:iCs/>
          <w:sz w:val="24"/>
          <w:szCs w:val="24"/>
          <w:shd w:val="clear" w:color="auto" w:fill="FFFFFF"/>
          <w:lang w:val="uk-UA"/>
        </w:rPr>
        <w:t xml:space="preserve">. — 2010. — </w:t>
      </w:r>
      <w:proofErr w:type="spellStart"/>
      <w:r w:rsidRPr="007F770E">
        <w:rPr>
          <w:rFonts w:ascii="Times New Roman" w:hAnsi="Times New Roman"/>
          <w:iCs/>
          <w:sz w:val="24"/>
          <w:szCs w:val="24"/>
          <w:shd w:val="clear" w:color="auto" w:fill="FFFFFF"/>
          <w:lang w:val="en-US"/>
        </w:rPr>
        <w:t>Vol</w:t>
      </w:r>
      <w:proofErr w:type="spellEnd"/>
      <w:r w:rsidRPr="007F770E">
        <w:rPr>
          <w:rFonts w:ascii="Times New Roman" w:hAnsi="Times New Roman"/>
          <w:iCs/>
          <w:sz w:val="24"/>
          <w:szCs w:val="24"/>
          <w:shd w:val="clear" w:color="auto" w:fill="FFFFFF"/>
          <w:lang w:val="uk-UA"/>
        </w:rPr>
        <w:t>. 105. — Р. 80</w:t>
      </w:r>
      <w:r w:rsidRPr="007F770E">
        <w:rPr>
          <w:rFonts w:ascii="Times New Roman" w:hAnsi="Times New Roman"/>
          <w:iCs/>
          <w:sz w:val="24"/>
          <w:szCs w:val="24"/>
          <w:shd w:val="clear" w:color="auto" w:fill="FFFFFF"/>
          <w:lang w:val="en-US"/>
        </w:rPr>
        <w:t>–</w:t>
      </w:r>
      <w:r w:rsidRPr="007F770E">
        <w:rPr>
          <w:rFonts w:ascii="Times New Roman" w:hAnsi="Times New Roman"/>
          <w:iCs/>
          <w:sz w:val="24"/>
          <w:szCs w:val="24"/>
          <w:shd w:val="clear" w:color="auto" w:fill="FFFFFF"/>
          <w:lang w:val="uk-UA"/>
        </w:rPr>
        <w:t>86.</w:t>
      </w:r>
      <w:bookmarkStart w:id="19" w:name="_Ref500064986"/>
      <w:bookmarkEnd w:id="18"/>
    </w:p>
    <w:p w:rsidR="003326CE" w:rsidRPr="0056444D" w:rsidRDefault="0056444D" w:rsidP="0056444D">
      <w:pPr>
        <w:numPr>
          <w:ilvl w:val="0"/>
          <w:numId w:val="4"/>
        </w:numPr>
        <w:spacing w:after="0" w:line="360" w:lineRule="auto"/>
        <w:jc w:val="both"/>
        <w:rPr>
          <w:rFonts w:ascii="Times New Roman" w:hAnsi="Times New Roman"/>
          <w:iCs/>
          <w:sz w:val="24"/>
          <w:szCs w:val="24"/>
          <w:shd w:val="clear" w:color="auto" w:fill="FFFFFF"/>
          <w:lang w:val="uk-UA"/>
        </w:rPr>
      </w:pPr>
      <w:r w:rsidRPr="0056444D">
        <w:rPr>
          <w:rFonts w:ascii="Times New Roman" w:hAnsi="Times New Roman"/>
          <w:iCs/>
          <w:sz w:val="24"/>
          <w:szCs w:val="24"/>
          <w:shd w:val="clear" w:color="auto" w:fill="FFFFFF"/>
          <w:lang w:val="en-US"/>
        </w:rPr>
        <w:t xml:space="preserve">The M-ANNHEIM classification of chronic pancreatitis: introduction of a unifying classification system based on a review of previous classifications of the disease / A. Schneider, J. M. </w:t>
      </w:r>
      <w:proofErr w:type="spellStart"/>
      <w:r w:rsidRPr="0056444D">
        <w:rPr>
          <w:rFonts w:ascii="Times New Roman" w:hAnsi="Times New Roman"/>
          <w:iCs/>
          <w:sz w:val="24"/>
          <w:szCs w:val="24"/>
          <w:shd w:val="clear" w:color="auto" w:fill="FFFFFF"/>
          <w:lang w:val="en-US"/>
        </w:rPr>
        <w:t>Löhr</w:t>
      </w:r>
      <w:proofErr w:type="spellEnd"/>
      <w:r w:rsidRPr="0056444D">
        <w:rPr>
          <w:rFonts w:ascii="Times New Roman" w:hAnsi="Times New Roman"/>
          <w:iCs/>
          <w:sz w:val="24"/>
          <w:szCs w:val="24"/>
          <w:shd w:val="clear" w:color="auto" w:fill="FFFFFF"/>
          <w:lang w:val="en-US"/>
        </w:rPr>
        <w:t xml:space="preserve">, M. V. Singer [et al.] // J. </w:t>
      </w:r>
      <w:proofErr w:type="spellStart"/>
      <w:r w:rsidRPr="0056444D">
        <w:rPr>
          <w:rFonts w:ascii="Times New Roman" w:hAnsi="Times New Roman"/>
          <w:iCs/>
          <w:sz w:val="24"/>
          <w:szCs w:val="24"/>
          <w:shd w:val="clear" w:color="auto" w:fill="FFFFFF"/>
          <w:lang w:val="en-US"/>
        </w:rPr>
        <w:t>Gastroenterol</w:t>
      </w:r>
      <w:proofErr w:type="spellEnd"/>
      <w:r w:rsidRPr="0056444D">
        <w:rPr>
          <w:rFonts w:ascii="Times New Roman" w:hAnsi="Times New Roman"/>
          <w:iCs/>
          <w:sz w:val="24"/>
          <w:szCs w:val="24"/>
          <w:shd w:val="clear" w:color="auto" w:fill="FFFFFF"/>
          <w:lang w:val="en-US"/>
        </w:rPr>
        <w:t xml:space="preserve">. — 2014. — Vol. 42. — </w:t>
      </w:r>
      <w:proofErr w:type="gramStart"/>
      <w:r w:rsidRPr="0056444D">
        <w:rPr>
          <w:rFonts w:ascii="Times New Roman" w:hAnsi="Times New Roman"/>
          <w:iCs/>
          <w:sz w:val="24"/>
          <w:szCs w:val="24"/>
          <w:shd w:val="clear" w:color="auto" w:fill="FFFFFF"/>
          <w:lang w:val="en-US"/>
        </w:rPr>
        <w:t>Р. 101</w:t>
      </w:r>
      <w:proofErr w:type="gramEnd"/>
      <w:r w:rsidRPr="0056444D">
        <w:rPr>
          <w:rFonts w:ascii="Times New Roman" w:hAnsi="Times New Roman"/>
          <w:iCs/>
          <w:sz w:val="24"/>
          <w:szCs w:val="24"/>
          <w:shd w:val="clear" w:color="auto" w:fill="FFFFFF"/>
          <w:lang w:val="en-US"/>
        </w:rPr>
        <w:t>–119.</w:t>
      </w:r>
      <w:bookmarkEnd w:id="19"/>
    </w:p>
    <w:p w:rsidR="003326CE" w:rsidRPr="0056444D" w:rsidRDefault="0056444D" w:rsidP="0056444D">
      <w:pPr>
        <w:spacing w:after="0" w:line="326" w:lineRule="atLeast"/>
        <w:ind w:left="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56444D" w:rsidRPr="00F0103F" w:rsidRDefault="0056444D" w:rsidP="0056444D">
      <w:pPr>
        <w:spacing w:after="0" w:line="360" w:lineRule="auto"/>
        <w:jc w:val="center"/>
        <w:rPr>
          <w:rFonts w:ascii="Times New Roman" w:hAnsi="Times New Roman"/>
          <w:b/>
          <w:sz w:val="24"/>
          <w:szCs w:val="24"/>
          <w:lang w:val="en-US"/>
        </w:rPr>
      </w:pPr>
      <w:proofErr w:type="spellStart"/>
      <w:r w:rsidRPr="00F0103F">
        <w:rPr>
          <w:rFonts w:ascii="Times New Roman" w:hAnsi="Times New Roman"/>
          <w:b/>
          <w:sz w:val="24"/>
          <w:szCs w:val="24"/>
          <w:lang w:val="en-US"/>
        </w:rPr>
        <w:t>Pleiotropic</w:t>
      </w:r>
      <w:proofErr w:type="spellEnd"/>
      <w:r w:rsidRPr="00F0103F">
        <w:rPr>
          <w:rFonts w:ascii="Times New Roman" w:hAnsi="Times New Roman"/>
          <w:b/>
          <w:sz w:val="24"/>
          <w:szCs w:val="24"/>
          <w:lang w:val="en-US"/>
        </w:rPr>
        <w:t xml:space="preserve"> effects of omega-3 polyunsaturated fatty acids in complex treatment of patients with </w:t>
      </w:r>
      <w:proofErr w:type="spellStart"/>
      <w:r w:rsidRPr="00F0103F">
        <w:rPr>
          <w:rFonts w:ascii="Times New Roman" w:hAnsi="Times New Roman"/>
          <w:b/>
          <w:sz w:val="24"/>
          <w:szCs w:val="24"/>
          <w:lang w:val="en-US"/>
        </w:rPr>
        <w:t>comorbidity</w:t>
      </w:r>
      <w:proofErr w:type="spellEnd"/>
      <w:r w:rsidRPr="00F0103F">
        <w:rPr>
          <w:rFonts w:ascii="Times New Roman" w:hAnsi="Times New Roman"/>
          <w:b/>
          <w:sz w:val="24"/>
          <w:szCs w:val="24"/>
          <w:lang w:val="en-US"/>
        </w:rPr>
        <w:t xml:space="preserve"> of chronic pancreatitis and stable coronary artery disease</w:t>
      </w:r>
    </w:p>
    <w:p w:rsidR="0056444D" w:rsidRPr="007F770E" w:rsidRDefault="0056444D" w:rsidP="0056444D">
      <w:pPr>
        <w:spacing w:after="0" w:line="360" w:lineRule="auto"/>
        <w:jc w:val="center"/>
        <w:rPr>
          <w:rFonts w:ascii="Times New Roman" w:hAnsi="Times New Roman"/>
          <w:sz w:val="24"/>
          <w:szCs w:val="24"/>
          <w:lang w:val="en-US"/>
        </w:rPr>
      </w:pPr>
      <w:r w:rsidRPr="007F770E">
        <w:rPr>
          <w:rFonts w:ascii="Times New Roman" w:hAnsi="Times New Roman"/>
          <w:sz w:val="24"/>
          <w:szCs w:val="24"/>
          <w:lang w:val="en-US"/>
        </w:rPr>
        <w:t>L.</w:t>
      </w:r>
      <w:r w:rsidRPr="00F0103F">
        <w:rPr>
          <w:rFonts w:ascii="Times New Roman" w:hAnsi="Times New Roman"/>
          <w:sz w:val="24"/>
          <w:szCs w:val="24"/>
          <w:lang w:val="en-US"/>
        </w:rPr>
        <w:t xml:space="preserve"> </w:t>
      </w:r>
      <w:r w:rsidRPr="007F770E">
        <w:rPr>
          <w:rFonts w:ascii="Times New Roman" w:hAnsi="Times New Roman"/>
          <w:sz w:val="24"/>
          <w:szCs w:val="24"/>
          <w:lang w:val="en-US"/>
        </w:rPr>
        <w:t>S.</w:t>
      </w:r>
      <w:r w:rsidRPr="00F0103F">
        <w:rPr>
          <w:rFonts w:ascii="Times New Roman" w:hAnsi="Times New Roman"/>
          <w:sz w:val="24"/>
          <w:szCs w:val="24"/>
          <w:lang w:val="en-US"/>
        </w:rPr>
        <w:t xml:space="preserve"> </w:t>
      </w:r>
      <w:proofErr w:type="spellStart"/>
      <w:r w:rsidRPr="007F770E">
        <w:rPr>
          <w:rFonts w:ascii="Times New Roman" w:hAnsi="Times New Roman"/>
          <w:sz w:val="24"/>
          <w:szCs w:val="24"/>
          <w:lang w:val="en-US"/>
        </w:rPr>
        <w:t>Babinets</w:t>
      </w:r>
      <w:proofErr w:type="spellEnd"/>
      <w:r w:rsidRPr="007F770E">
        <w:rPr>
          <w:rFonts w:ascii="Times New Roman" w:hAnsi="Times New Roman"/>
          <w:sz w:val="24"/>
          <w:szCs w:val="24"/>
          <w:lang w:val="en-US"/>
        </w:rPr>
        <w:t>, N.</w:t>
      </w:r>
      <w:r w:rsidRPr="00F0103F">
        <w:rPr>
          <w:rFonts w:ascii="Times New Roman" w:hAnsi="Times New Roman"/>
          <w:sz w:val="24"/>
          <w:szCs w:val="24"/>
          <w:lang w:val="en-US"/>
        </w:rPr>
        <w:t xml:space="preserve"> </w:t>
      </w:r>
      <w:r w:rsidRPr="007F770E">
        <w:rPr>
          <w:rFonts w:ascii="Times New Roman" w:hAnsi="Times New Roman"/>
          <w:sz w:val="24"/>
          <w:szCs w:val="24"/>
          <w:lang w:val="en-US"/>
        </w:rPr>
        <w:t>A.</w:t>
      </w:r>
      <w:r w:rsidRPr="00F0103F">
        <w:rPr>
          <w:rFonts w:ascii="Times New Roman" w:hAnsi="Times New Roman"/>
          <w:sz w:val="24"/>
          <w:szCs w:val="24"/>
          <w:lang w:val="en-US"/>
        </w:rPr>
        <w:t xml:space="preserve"> </w:t>
      </w:r>
      <w:proofErr w:type="spellStart"/>
      <w:r w:rsidRPr="007F770E">
        <w:rPr>
          <w:rFonts w:ascii="Times New Roman" w:hAnsi="Times New Roman"/>
          <w:sz w:val="24"/>
          <w:szCs w:val="24"/>
          <w:lang w:val="en-US"/>
        </w:rPr>
        <w:t>Melnyk</w:t>
      </w:r>
      <w:proofErr w:type="spellEnd"/>
    </w:p>
    <w:p w:rsidR="0056444D" w:rsidRPr="007F770E" w:rsidRDefault="0056444D" w:rsidP="0056444D">
      <w:pPr>
        <w:spacing w:after="0" w:line="360" w:lineRule="auto"/>
        <w:jc w:val="center"/>
        <w:rPr>
          <w:rFonts w:ascii="Times New Roman" w:hAnsi="Times New Roman"/>
          <w:sz w:val="24"/>
          <w:szCs w:val="24"/>
          <w:lang w:val="en-US"/>
        </w:rPr>
      </w:pPr>
      <w:proofErr w:type="spellStart"/>
      <w:r w:rsidRPr="00F0103F">
        <w:rPr>
          <w:rFonts w:ascii="Times New Roman" w:hAnsi="Times New Roman"/>
          <w:iCs/>
          <w:sz w:val="24"/>
          <w:szCs w:val="24"/>
          <w:lang w:val="en-US"/>
        </w:rPr>
        <w:t>Ternopil</w:t>
      </w:r>
      <w:proofErr w:type="spellEnd"/>
      <w:r w:rsidRPr="00F0103F">
        <w:rPr>
          <w:rFonts w:ascii="Times New Roman" w:hAnsi="Times New Roman"/>
          <w:iCs/>
          <w:sz w:val="24"/>
          <w:szCs w:val="24"/>
          <w:lang w:val="en-US"/>
        </w:rPr>
        <w:t xml:space="preserve"> State Medical University n. a. I. Y. </w:t>
      </w:r>
      <w:proofErr w:type="spellStart"/>
      <w:r w:rsidRPr="00F0103F">
        <w:rPr>
          <w:rFonts w:ascii="Times New Roman" w:hAnsi="Times New Roman"/>
          <w:iCs/>
          <w:sz w:val="24"/>
          <w:szCs w:val="24"/>
          <w:lang w:val="en-US"/>
        </w:rPr>
        <w:t>Gorbachevsky</w:t>
      </w:r>
      <w:proofErr w:type="spellEnd"/>
      <w:r w:rsidRPr="00F0103F">
        <w:rPr>
          <w:rFonts w:ascii="Times New Roman" w:hAnsi="Times New Roman"/>
          <w:iCs/>
          <w:sz w:val="24"/>
          <w:szCs w:val="24"/>
          <w:lang w:val="en-US"/>
        </w:rPr>
        <w:t>, Ukraine</w:t>
      </w:r>
    </w:p>
    <w:p w:rsidR="0056444D" w:rsidRPr="00F0103F" w:rsidRDefault="0056444D" w:rsidP="0056444D">
      <w:pPr>
        <w:spacing w:after="0" w:line="360" w:lineRule="auto"/>
        <w:jc w:val="center"/>
        <w:rPr>
          <w:rFonts w:ascii="Times New Roman" w:hAnsi="Times New Roman"/>
          <w:sz w:val="24"/>
          <w:szCs w:val="24"/>
          <w:lang w:val="en-US"/>
        </w:rPr>
      </w:pPr>
    </w:p>
    <w:p w:rsidR="0056444D" w:rsidRPr="00F0103F" w:rsidRDefault="0056444D" w:rsidP="0056444D">
      <w:pPr>
        <w:spacing w:after="0" w:line="360" w:lineRule="auto"/>
        <w:ind w:firstLine="708"/>
        <w:jc w:val="both"/>
        <w:rPr>
          <w:rFonts w:ascii="Times New Roman" w:hAnsi="Times New Roman"/>
          <w:sz w:val="24"/>
          <w:szCs w:val="24"/>
          <w:lang w:val="en-US"/>
        </w:rPr>
      </w:pPr>
      <w:r w:rsidRPr="007F770E">
        <w:rPr>
          <w:rFonts w:ascii="Times New Roman" w:hAnsi="Times New Roman"/>
          <w:b/>
          <w:sz w:val="24"/>
          <w:szCs w:val="24"/>
          <w:lang w:val="en-US"/>
        </w:rPr>
        <w:t>Key</w:t>
      </w:r>
      <w:r>
        <w:rPr>
          <w:rFonts w:ascii="Times New Roman" w:hAnsi="Times New Roman"/>
          <w:b/>
          <w:sz w:val="24"/>
          <w:szCs w:val="24"/>
          <w:lang w:val="en-US"/>
        </w:rPr>
        <w:t xml:space="preserve"> </w:t>
      </w:r>
      <w:r w:rsidRPr="007F770E">
        <w:rPr>
          <w:rFonts w:ascii="Times New Roman" w:hAnsi="Times New Roman"/>
          <w:b/>
          <w:sz w:val="24"/>
          <w:szCs w:val="24"/>
          <w:lang w:val="en-US"/>
        </w:rPr>
        <w:t>words</w:t>
      </w:r>
      <w:r w:rsidRPr="007F770E">
        <w:rPr>
          <w:rFonts w:ascii="Times New Roman" w:hAnsi="Times New Roman"/>
          <w:sz w:val="24"/>
          <w:szCs w:val="24"/>
          <w:lang w:val="en-US"/>
        </w:rPr>
        <w:t>: chronic pancreatitis</w:t>
      </w:r>
      <w:r w:rsidRPr="00F0103F">
        <w:rPr>
          <w:rFonts w:ascii="Times New Roman" w:hAnsi="Times New Roman"/>
          <w:sz w:val="24"/>
          <w:szCs w:val="24"/>
          <w:lang w:val="en-US"/>
        </w:rPr>
        <w:t>,</w:t>
      </w:r>
      <w:r w:rsidRPr="007F770E">
        <w:rPr>
          <w:rFonts w:ascii="Times New Roman" w:hAnsi="Times New Roman"/>
          <w:sz w:val="24"/>
          <w:szCs w:val="24"/>
          <w:lang w:val="en-US"/>
        </w:rPr>
        <w:t xml:space="preserve"> stable coronary artery disease</w:t>
      </w:r>
      <w:r w:rsidRPr="00F0103F">
        <w:rPr>
          <w:rFonts w:ascii="Times New Roman" w:hAnsi="Times New Roman"/>
          <w:sz w:val="24"/>
          <w:szCs w:val="24"/>
          <w:lang w:val="en-US"/>
        </w:rPr>
        <w:t>,</w:t>
      </w:r>
      <w:r w:rsidRPr="007F770E">
        <w:rPr>
          <w:rFonts w:ascii="Times New Roman" w:hAnsi="Times New Roman"/>
          <w:sz w:val="24"/>
          <w:szCs w:val="24"/>
          <w:lang w:val="en-US"/>
        </w:rPr>
        <w:t xml:space="preserve"> omega-3 </w:t>
      </w:r>
      <w:proofErr w:type="spellStart"/>
      <w:r w:rsidRPr="007F770E">
        <w:rPr>
          <w:rFonts w:ascii="Times New Roman" w:hAnsi="Times New Roman"/>
          <w:sz w:val="24"/>
          <w:szCs w:val="24"/>
          <w:lang w:val="en-US"/>
        </w:rPr>
        <w:t>рolyunsaturat</w:t>
      </w:r>
      <w:r>
        <w:rPr>
          <w:rFonts w:ascii="Times New Roman" w:hAnsi="Times New Roman"/>
          <w:sz w:val="24"/>
          <w:szCs w:val="24"/>
          <w:lang w:val="en-US"/>
        </w:rPr>
        <w:t>ed</w:t>
      </w:r>
      <w:proofErr w:type="spellEnd"/>
      <w:r>
        <w:rPr>
          <w:rFonts w:ascii="Times New Roman" w:hAnsi="Times New Roman"/>
          <w:sz w:val="24"/>
          <w:szCs w:val="24"/>
          <w:lang w:val="en-US"/>
        </w:rPr>
        <w:t xml:space="preserve"> fatty acids</w:t>
      </w:r>
      <w:r w:rsidRPr="00F0103F">
        <w:rPr>
          <w:rFonts w:ascii="Times New Roman" w:hAnsi="Times New Roman"/>
          <w:sz w:val="24"/>
          <w:szCs w:val="24"/>
          <w:lang w:val="en-US"/>
        </w:rPr>
        <w:t xml:space="preserve">, </w:t>
      </w:r>
      <w:proofErr w:type="spellStart"/>
      <w:r>
        <w:rPr>
          <w:rFonts w:ascii="Times New Roman" w:hAnsi="Times New Roman"/>
          <w:sz w:val="24"/>
          <w:szCs w:val="24"/>
          <w:lang w:val="en-US"/>
        </w:rPr>
        <w:t>comorbidity</w:t>
      </w:r>
      <w:proofErr w:type="spellEnd"/>
      <w:r>
        <w:rPr>
          <w:rFonts w:ascii="Times New Roman" w:hAnsi="Times New Roman"/>
          <w:sz w:val="24"/>
          <w:szCs w:val="24"/>
          <w:lang w:val="en-US"/>
        </w:rPr>
        <w:t>, treatment</w:t>
      </w:r>
    </w:p>
    <w:p w:rsidR="003326CE" w:rsidRPr="003326CE" w:rsidRDefault="0056444D" w:rsidP="0056444D">
      <w:pPr>
        <w:spacing w:after="0" w:line="326" w:lineRule="atLeast"/>
        <w:ind w:firstLine="708"/>
        <w:jc w:val="both"/>
        <w:rPr>
          <w:rFonts w:ascii="Times New Roman" w:eastAsia="Times New Roman" w:hAnsi="Times New Roman" w:cs="Times New Roman"/>
          <w:color w:val="000000"/>
          <w:sz w:val="24"/>
          <w:szCs w:val="24"/>
          <w:lang w:val="en-US"/>
        </w:rPr>
      </w:pPr>
      <w:r w:rsidRPr="007F770E">
        <w:rPr>
          <w:rFonts w:ascii="Times New Roman" w:hAnsi="Times New Roman"/>
          <w:sz w:val="24"/>
          <w:szCs w:val="24"/>
          <w:lang w:val="en-US"/>
        </w:rPr>
        <w:t xml:space="preserve">Polyunsaturated fatty acids (PUFAs) of the class omega-3 are </w:t>
      </w:r>
      <w:r>
        <w:rPr>
          <w:rFonts w:ascii="Times New Roman" w:hAnsi="Times New Roman"/>
          <w:sz w:val="24"/>
          <w:szCs w:val="24"/>
          <w:lang w:val="en-US"/>
        </w:rPr>
        <w:t xml:space="preserve">the </w:t>
      </w:r>
      <w:r w:rsidRPr="007F770E">
        <w:rPr>
          <w:rFonts w:ascii="Times New Roman" w:hAnsi="Times New Roman"/>
          <w:sz w:val="24"/>
          <w:szCs w:val="24"/>
          <w:lang w:val="en-US"/>
        </w:rPr>
        <w:t xml:space="preserve">substances that have a </w:t>
      </w:r>
      <w:proofErr w:type="spellStart"/>
      <w:r w:rsidRPr="007F770E">
        <w:rPr>
          <w:rFonts w:ascii="Times New Roman" w:hAnsi="Times New Roman"/>
          <w:sz w:val="24"/>
          <w:szCs w:val="24"/>
          <w:lang w:val="en-US"/>
        </w:rPr>
        <w:t>polytropic</w:t>
      </w:r>
      <w:proofErr w:type="spellEnd"/>
      <w:r w:rsidRPr="007F770E">
        <w:rPr>
          <w:rFonts w:ascii="Times New Roman" w:hAnsi="Times New Roman"/>
          <w:sz w:val="24"/>
          <w:szCs w:val="24"/>
          <w:lang w:val="en-US"/>
        </w:rPr>
        <w:t xml:space="preserve"> </w:t>
      </w:r>
      <w:r>
        <w:rPr>
          <w:rFonts w:ascii="Times New Roman" w:hAnsi="Times New Roman"/>
          <w:sz w:val="24"/>
          <w:szCs w:val="24"/>
          <w:lang w:val="en-US"/>
        </w:rPr>
        <w:t>effect</w:t>
      </w:r>
      <w:r w:rsidRPr="007F770E">
        <w:rPr>
          <w:rFonts w:ascii="Times New Roman" w:hAnsi="Times New Roman"/>
          <w:sz w:val="24"/>
          <w:szCs w:val="24"/>
          <w:lang w:val="en-US"/>
        </w:rPr>
        <w:t xml:space="preserve"> on </w:t>
      </w:r>
      <w:r>
        <w:rPr>
          <w:rFonts w:ascii="Times New Roman" w:hAnsi="Times New Roman"/>
          <w:sz w:val="24"/>
          <w:szCs w:val="24"/>
          <w:lang w:val="en-US"/>
        </w:rPr>
        <w:t>different</w:t>
      </w:r>
      <w:r w:rsidRPr="007F770E">
        <w:rPr>
          <w:rFonts w:ascii="Times New Roman" w:hAnsi="Times New Roman"/>
          <w:sz w:val="24"/>
          <w:szCs w:val="24"/>
          <w:lang w:val="en-US"/>
        </w:rPr>
        <w:t xml:space="preserve"> processes in the </w:t>
      </w:r>
      <w:r>
        <w:rPr>
          <w:rFonts w:ascii="Times New Roman" w:hAnsi="Times New Roman"/>
          <w:sz w:val="24"/>
          <w:szCs w:val="24"/>
          <w:lang w:val="en-US"/>
        </w:rPr>
        <w:t xml:space="preserve">human </w:t>
      </w:r>
      <w:r w:rsidRPr="007F770E">
        <w:rPr>
          <w:rFonts w:ascii="Times New Roman" w:hAnsi="Times New Roman"/>
          <w:sz w:val="24"/>
          <w:szCs w:val="24"/>
          <w:lang w:val="en-US"/>
        </w:rPr>
        <w:t xml:space="preserve">body. The aim </w:t>
      </w:r>
      <w:r>
        <w:rPr>
          <w:rFonts w:ascii="Times New Roman" w:hAnsi="Times New Roman"/>
          <w:sz w:val="24"/>
          <w:szCs w:val="24"/>
          <w:lang w:val="en-US"/>
        </w:rPr>
        <w:t>is</w:t>
      </w:r>
      <w:r w:rsidRPr="007F770E">
        <w:rPr>
          <w:rFonts w:ascii="Times New Roman" w:hAnsi="Times New Roman"/>
          <w:sz w:val="24"/>
          <w:szCs w:val="24"/>
          <w:lang w:val="en-US"/>
        </w:rPr>
        <w:t xml:space="preserve"> to </w:t>
      </w:r>
      <w:r>
        <w:rPr>
          <w:rFonts w:ascii="Times New Roman" w:hAnsi="Times New Roman"/>
          <w:sz w:val="24"/>
          <w:szCs w:val="24"/>
          <w:lang w:val="en-US"/>
        </w:rPr>
        <w:t>study</w:t>
      </w:r>
      <w:r w:rsidRPr="007F770E">
        <w:rPr>
          <w:rFonts w:ascii="Times New Roman" w:hAnsi="Times New Roman"/>
          <w:sz w:val="24"/>
          <w:szCs w:val="24"/>
          <w:lang w:val="en-US"/>
        </w:rPr>
        <w:t xml:space="preserve"> the effectiveness of course treatment with omega-3 PUFAs for co</w:t>
      </w:r>
      <w:r>
        <w:rPr>
          <w:rFonts w:ascii="Times New Roman" w:hAnsi="Times New Roman"/>
          <w:sz w:val="24"/>
          <w:szCs w:val="24"/>
          <w:lang w:val="en-US"/>
        </w:rPr>
        <w:t xml:space="preserve">rrection of lipid, </w:t>
      </w:r>
      <w:proofErr w:type="spellStart"/>
      <w:r>
        <w:rPr>
          <w:rFonts w:ascii="Times New Roman" w:hAnsi="Times New Roman"/>
          <w:sz w:val="24"/>
          <w:szCs w:val="24"/>
          <w:lang w:val="en-US"/>
        </w:rPr>
        <w:t>prooxidative</w:t>
      </w:r>
      <w:proofErr w:type="spellEnd"/>
      <w:r>
        <w:rPr>
          <w:rFonts w:ascii="Times New Roman" w:hAnsi="Times New Roman"/>
          <w:sz w:val="24"/>
          <w:szCs w:val="24"/>
          <w:lang w:val="en-US"/>
        </w:rPr>
        <w:t>-</w:t>
      </w:r>
      <w:r w:rsidRPr="007F770E">
        <w:rPr>
          <w:rFonts w:ascii="Times New Roman" w:hAnsi="Times New Roman"/>
          <w:sz w:val="24"/>
          <w:szCs w:val="24"/>
          <w:lang w:val="en-US"/>
        </w:rPr>
        <w:t xml:space="preserve">antioxidant </w:t>
      </w:r>
      <w:r w:rsidRPr="007F770E">
        <w:rPr>
          <w:rFonts w:ascii="Times New Roman" w:hAnsi="Times New Roman"/>
          <w:sz w:val="24"/>
          <w:szCs w:val="24"/>
          <w:lang w:val="en-US"/>
        </w:rPr>
        <w:lastRenderedPageBreak/>
        <w:t xml:space="preserve">disorders and imbalance in the </w:t>
      </w:r>
      <w:proofErr w:type="spellStart"/>
      <w:r w:rsidRPr="007F770E">
        <w:rPr>
          <w:rFonts w:ascii="Times New Roman" w:hAnsi="Times New Roman"/>
          <w:sz w:val="24"/>
          <w:szCs w:val="24"/>
          <w:lang w:val="en-US"/>
        </w:rPr>
        <w:t>kallikrein-kinin</w:t>
      </w:r>
      <w:proofErr w:type="spellEnd"/>
      <w:r w:rsidRPr="007F770E">
        <w:rPr>
          <w:rFonts w:ascii="Times New Roman" w:hAnsi="Times New Roman"/>
          <w:sz w:val="24"/>
          <w:szCs w:val="24"/>
          <w:lang w:val="en-US"/>
        </w:rPr>
        <w:t xml:space="preserve"> system (KKS) in patients with a </w:t>
      </w:r>
      <w:proofErr w:type="spellStart"/>
      <w:r w:rsidRPr="007F770E">
        <w:rPr>
          <w:rFonts w:ascii="Times New Roman" w:hAnsi="Times New Roman"/>
          <w:sz w:val="24"/>
          <w:szCs w:val="24"/>
          <w:lang w:val="en-US"/>
        </w:rPr>
        <w:t>comorbidity</w:t>
      </w:r>
      <w:proofErr w:type="spellEnd"/>
      <w:r w:rsidRPr="007F770E">
        <w:rPr>
          <w:rFonts w:ascii="Times New Roman" w:hAnsi="Times New Roman"/>
          <w:sz w:val="24"/>
          <w:szCs w:val="24"/>
          <w:lang w:val="en-US"/>
        </w:rPr>
        <w:t xml:space="preserve"> of chronic pancreatitis (CP) and stable coronary artery disease (SCAD). The study included 90 patients with CP </w:t>
      </w:r>
      <w:r>
        <w:rPr>
          <w:rFonts w:ascii="Times New Roman" w:hAnsi="Times New Roman"/>
          <w:sz w:val="24"/>
          <w:szCs w:val="24"/>
          <w:lang w:val="en-US"/>
        </w:rPr>
        <w:t>combined</w:t>
      </w:r>
      <w:r w:rsidRPr="007F770E">
        <w:rPr>
          <w:rFonts w:ascii="Times New Roman" w:hAnsi="Times New Roman"/>
          <w:sz w:val="24"/>
          <w:szCs w:val="24"/>
          <w:lang w:val="en-US"/>
        </w:rPr>
        <w:t xml:space="preserve"> with SCAD who were divided into two groups (depending on the treatment program): I group (45 patients) received standard protocol treatment (SPT); group II (45 patients) additionally </w:t>
      </w:r>
      <w:r>
        <w:rPr>
          <w:rFonts w:ascii="Times New Roman" w:hAnsi="Times New Roman"/>
          <w:sz w:val="24"/>
          <w:szCs w:val="24"/>
          <w:lang w:val="en-US"/>
        </w:rPr>
        <w:t xml:space="preserve">to </w:t>
      </w:r>
      <w:r w:rsidRPr="007F770E">
        <w:rPr>
          <w:rFonts w:ascii="Times New Roman" w:hAnsi="Times New Roman"/>
          <w:sz w:val="24"/>
          <w:szCs w:val="24"/>
          <w:lang w:val="en-US"/>
        </w:rPr>
        <w:t>SPT received omega-3 PUMAs (</w:t>
      </w:r>
      <w:proofErr w:type="spellStart"/>
      <w:r w:rsidRPr="007F770E">
        <w:rPr>
          <w:rFonts w:ascii="Times New Roman" w:hAnsi="Times New Roman"/>
          <w:sz w:val="24"/>
          <w:szCs w:val="24"/>
          <w:lang w:val="en-US"/>
        </w:rPr>
        <w:t>Omacor</w:t>
      </w:r>
      <w:proofErr w:type="spellEnd"/>
      <w:r w:rsidRPr="007F770E">
        <w:rPr>
          <w:rFonts w:ascii="Times New Roman" w:hAnsi="Times New Roman"/>
          <w:sz w:val="24"/>
          <w:szCs w:val="24"/>
          <w:lang w:val="en-US"/>
        </w:rPr>
        <w:t xml:space="preserve">) 2 capsules (2000 mg) </w:t>
      </w:r>
      <w:r>
        <w:rPr>
          <w:rFonts w:ascii="Times New Roman" w:hAnsi="Times New Roman"/>
          <w:sz w:val="24"/>
          <w:szCs w:val="24"/>
          <w:lang w:val="en-US"/>
        </w:rPr>
        <w:t>during</w:t>
      </w:r>
      <w:r w:rsidRPr="007F770E">
        <w:rPr>
          <w:rFonts w:ascii="Times New Roman" w:hAnsi="Times New Roman"/>
          <w:sz w:val="24"/>
          <w:szCs w:val="24"/>
          <w:lang w:val="en-US"/>
        </w:rPr>
        <w:t xml:space="preserve"> one month. It has been shown that the addition </w:t>
      </w:r>
      <w:r>
        <w:rPr>
          <w:rFonts w:ascii="Times New Roman" w:hAnsi="Times New Roman"/>
          <w:sz w:val="24"/>
          <w:szCs w:val="24"/>
          <w:lang w:val="en-US"/>
        </w:rPr>
        <w:t xml:space="preserve">of </w:t>
      </w:r>
      <w:r w:rsidRPr="007F770E">
        <w:rPr>
          <w:rFonts w:ascii="Times New Roman" w:hAnsi="Times New Roman"/>
          <w:sz w:val="24"/>
          <w:szCs w:val="24"/>
          <w:lang w:val="en-US"/>
        </w:rPr>
        <w:t xml:space="preserve">omega-3 PUMAs to the treatment of patients with </w:t>
      </w:r>
      <w:proofErr w:type="spellStart"/>
      <w:r w:rsidRPr="007F770E">
        <w:rPr>
          <w:rFonts w:ascii="Times New Roman" w:hAnsi="Times New Roman"/>
          <w:sz w:val="24"/>
          <w:szCs w:val="24"/>
          <w:lang w:val="en-US"/>
        </w:rPr>
        <w:t>comorbidity</w:t>
      </w:r>
      <w:proofErr w:type="spellEnd"/>
      <w:r w:rsidRPr="007F770E">
        <w:rPr>
          <w:rFonts w:ascii="Times New Roman" w:hAnsi="Times New Roman"/>
          <w:sz w:val="24"/>
          <w:szCs w:val="24"/>
          <w:lang w:val="en-US"/>
        </w:rPr>
        <w:t xml:space="preserve"> </w:t>
      </w:r>
      <w:r>
        <w:rPr>
          <w:rFonts w:ascii="Times New Roman" w:hAnsi="Times New Roman"/>
          <w:sz w:val="24"/>
          <w:szCs w:val="24"/>
          <w:lang w:val="en-US"/>
        </w:rPr>
        <w:t xml:space="preserve">of </w:t>
      </w:r>
      <w:r w:rsidRPr="007F770E">
        <w:rPr>
          <w:rFonts w:ascii="Times New Roman" w:hAnsi="Times New Roman"/>
          <w:sz w:val="24"/>
          <w:szCs w:val="24"/>
          <w:lang w:val="en-US"/>
        </w:rPr>
        <w:t>CP and SCAD is more co</w:t>
      </w:r>
      <w:r>
        <w:rPr>
          <w:rFonts w:ascii="Times New Roman" w:hAnsi="Times New Roman"/>
          <w:sz w:val="24"/>
          <w:szCs w:val="24"/>
          <w:lang w:val="en-US"/>
        </w:rPr>
        <w:t xml:space="preserve">nducive to improving the lipid and </w:t>
      </w:r>
      <w:proofErr w:type="spellStart"/>
      <w:r w:rsidRPr="007F770E">
        <w:rPr>
          <w:rFonts w:ascii="Times New Roman" w:hAnsi="Times New Roman"/>
          <w:sz w:val="24"/>
          <w:szCs w:val="24"/>
          <w:lang w:val="en-US"/>
        </w:rPr>
        <w:t>prooxidant</w:t>
      </w:r>
      <w:proofErr w:type="spellEnd"/>
      <w:r w:rsidRPr="007F770E">
        <w:rPr>
          <w:rFonts w:ascii="Times New Roman" w:hAnsi="Times New Roman"/>
          <w:sz w:val="24"/>
          <w:szCs w:val="24"/>
          <w:lang w:val="en-US"/>
        </w:rPr>
        <w:t>-antioxidant states and KKS indic</w:t>
      </w:r>
      <w:r>
        <w:rPr>
          <w:rFonts w:ascii="Times New Roman" w:hAnsi="Times New Roman"/>
          <w:sz w:val="24"/>
          <w:szCs w:val="24"/>
          <w:lang w:val="en-US"/>
        </w:rPr>
        <w:t>es</w:t>
      </w:r>
      <w:r w:rsidRPr="007F770E">
        <w:rPr>
          <w:rFonts w:ascii="Times New Roman" w:hAnsi="Times New Roman"/>
          <w:sz w:val="24"/>
          <w:szCs w:val="24"/>
          <w:lang w:val="en-US"/>
        </w:rPr>
        <w:t xml:space="preserve"> than the standard basic therapy.</w:t>
      </w:r>
    </w:p>
    <w:p w:rsidR="00E04818" w:rsidRPr="003326CE" w:rsidRDefault="00E04818">
      <w:pPr>
        <w:rPr>
          <w:lang w:val="en-US"/>
        </w:rPr>
      </w:pPr>
    </w:p>
    <w:sectPr w:rsidR="00E04818" w:rsidRPr="003326CE" w:rsidSect="00706B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C7C23"/>
    <w:multiLevelType w:val="multilevel"/>
    <w:tmpl w:val="1A881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5D40B9"/>
    <w:multiLevelType w:val="multilevel"/>
    <w:tmpl w:val="78CC8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2B3CC8"/>
    <w:multiLevelType w:val="hybridMultilevel"/>
    <w:tmpl w:val="DC0C7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471FC0"/>
    <w:multiLevelType w:val="hybridMultilevel"/>
    <w:tmpl w:val="3F8E7A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3326CE"/>
    <w:rsid w:val="003326CE"/>
    <w:rsid w:val="0056444D"/>
    <w:rsid w:val="00706BB7"/>
    <w:rsid w:val="00E048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B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2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3326CE"/>
  </w:style>
  <w:style w:type="paragraph" w:styleId="a4">
    <w:name w:val="Balloon Text"/>
    <w:basedOn w:val="a"/>
    <w:link w:val="a5"/>
    <w:uiPriority w:val="99"/>
    <w:semiHidden/>
    <w:unhideWhenUsed/>
    <w:rsid w:val="003326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26CE"/>
    <w:rPr>
      <w:rFonts w:ascii="Tahoma" w:hAnsi="Tahoma" w:cs="Tahoma"/>
      <w:sz w:val="16"/>
      <w:szCs w:val="16"/>
    </w:rPr>
  </w:style>
  <w:style w:type="character" w:customStyle="1" w:styleId="apple-converted-space">
    <w:name w:val="apple-converted-space"/>
    <w:rsid w:val="0056444D"/>
  </w:style>
</w:styles>
</file>

<file path=word/webSettings.xml><?xml version="1.0" encoding="utf-8"?>
<w:webSettings xmlns:r="http://schemas.openxmlformats.org/officeDocument/2006/relationships" xmlns:w="http://schemas.openxmlformats.org/wordprocessingml/2006/main">
  <w:divs>
    <w:div w:id="52116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69"/>
      <c:depthPercent val="100"/>
      <c:rAngAx val="1"/>
    </c:view3D>
    <c:floor>
      <c:spPr>
        <a:solidFill>
          <a:srgbClr val="C0C0C0"/>
        </a:solidFill>
        <a:ln w="3175">
          <a:solidFill>
            <a:srgbClr val="000000"/>
          </a:solidFill>
          <a:prstDash val="solid"/>
        </a:ln>
      </c:spPr>
    </c:floor>
    <c:sideWall>
      <c:spPr>
        <a:solidFill>
          <a:srgbClr val="C0C0C0"/>
        </a:solidFill>
        <a:ln w="12700">
          <a:solidFill>
            <a:srgbClr val="000000"/>
          </a:solidFill>
          <a:prstDash val="solid"/>
        </a:ln>
      </c:spPr>
    </c:sideWall>
    <c:backWall>
      <c:spPr>
        <a:solidFill>
          <a:srgbClr val="C0C0C0"/>
        </a:solidFill>
        <a:ln w="12700">
          <a:solidFill>
            <a:srgbClr val="000000"/>
          </a:solidFill>
          <a:prstDash val="solid"/>
        </a:ln>
      </c:spPr>
    </c:backWall>
    <c:plotArea>
      <c:layout>
        <c:manualLayout>
          <c:layoutTarget val="inner"/>
          <c:xMode val="edge"/>
          <c:yMode val="edge"/>
          <c:x val="8.3820662768031323E-2"/>
          <c:y val="3.1128404669260701E-2"/>
          <c:w val="0.64717348927875262"/>
          <c:h val="0.84435797665369705"/>
        </c:manualLayout>
      </c:layout>
      <c:bar3DChart>
        <c:barDir val="col"/>
        <c:grouping val="clustered"/>
        <c:ser>
          <c:idx val="0"/>
          <c:order val="0"/>
          <c:tx>
            <c:strRef>
              <c:f>Sheet1!$A$2</c:f>
              <c:strCache>
                <c:ptCount val="1"/>
                <c:pt idx="0">
                  <c:v>І гр - СПЛ</c:v>
                </c:pt>
              </c:strCache>
            </c:strRef>
          </c:tx>
          <c:spPr>
            <a:solidFill>
              <a:srgbClr val="FF8080"/>
            </a:solidFill>
            <a:ln w="12684">
              <a:solidFill>
                <a:srgbClr val="000000"/>
              </a:solidFill>
              <a:prstDash val="solid"/>
            </a:ln>
          </c:spPr>
          <c:dLbls>
            <c:dLbl>
              <c:idx val="0"/>
              <c:layout>
                <c:manualLayout>
                  <c:x val="-5.7352349138133801E-4"/>
                  <c:y val="1.215472984285711E-2"/>
                </c:manualLayout>
              </c:layout>
              <c:showVal val="1"/>
            </c:dLbl>
            <c:dLbl>
              <c:idx val="1"/>
              <c:layout>
                <c:manualLayout>
                  <c:x val="3.0969807948339413E-3"/>
                  <c:y val="1.6033551230672734E-2"/>
                </c:manualLayout>
              </c:layout>
              <c:showVal val="1"/>
            </c:dLbl>
            <c:dLbl>
              <c:idx val="2"/>
              <c:layout>
                <c:manualLayout>
                  <c:x val="6.7676860000527419E-3"/>
                  <c:y val="8.5178013657942226E-4"/>
                </c:manualLayout>
              </c:layout>
              <c:showVal val="1"/>
            </c:dLbl>
            <c:dLbl>
              <c:idx val="3"/>
              <c:layout>
                <c:manualLayout>
                  <c:x val="1.4336825763850593E-2"/>
                  <c:y val="2.0778095664591412E-3"/>
                </c:manualLayout>
              </c:layout>
              <c:showVal val="1"/>
            </c:dLbl>
            <c:spPr>
              <a:noFill/>
              <a:ln w="25367">
                <a:noFill/>
              </a:ln>
            </c:spPr>
            <c:txPr>
              <a:bodyPr/>
              <a:lstStyle/>
              <a:p>
                <a:pPr>
                  <a:defRPr sz="1198" b="1" i="0" u="none" strike="noStrike" baseline="0">
                    <a:solidFill>
                      <a:srgbClr val="000000"/>
                    </a:solidFill>
                    <a:latin typeface="Calibri"/>
                    <a:ea typeface="Calibri"/>
                    <a:cs typeface="Calibri"/>
                  </a:defRPr>
                </a:pPr>
                <a:endParaRPr lang="ru-RU"/>
              </a:p>
            </c:txPr>
            <c:showVal val="1"/>
          </c:dLbls>
          <c:cat>
            <c:strRef>
              <c:f>Sheet1!$B$1:$E$1</c:f>
              <c:strCache>
                <c:ptCount val="4"/>
                <c:pt idx="0">
                  <c:v>ЗХС</c:v>
                </c:pt>
                <c:pt idx="1">
                  <c:v>ТГ</c:v>
                </c:pt>
                <c:pt idx="2">
                  <c:v>ЛПНЩ</c:v>
                </c:pt>
                <c:pt idx="3">
                  <c:v>ЛПДНЩ</c:v>
                </c:pt>
              </c:strCache>
            </c:strRef>
          </c:cat>
          <c:val>
            <c:numRef>
              <c:f>Sheet1!$B$2:$E$2</c:f>
              <c:numCache>
                <c:formatCode>General</c:formatCode>
                <c:ptCount val="4"/>
                <c:pt idx="0">
                  <c:v>21.56</c:v>
                </c:pt>
                <c:pt idx="1">
                  <c:v>17.88</c:v>
                </c:pt>
                <c:pt idx="2">
                  <c:v>24.85</c:v>
                </c:pt>
                <c:pt idx="3">
                  <c:v>24.71</c:v>
                </c:pt>
              </c:numCache>
            </c:numRef>
          </c:val>
        </c:ser>
        <c:ser>
          <c:idx val="2"/>
          <c:order val="1"/>
          <c:tx>
            <c:strRef>
              <c:f>Sheet1!$A$3</c:f>
              <c:strCache>
                <c:ptCount val="1"/>
                <c:pt idx="0">
                  <c:v>ІІ гр - СПЛ + ПНЖК</c:v>
                </c:pt>
              </c:strCache>
            </c:strRef>
          </c:tx>
          <c:spPr>
            <a:solidFill>
              <a:srgbClr val="FFFF99"/>
            </a:solidFill>
            <a:ln w="12684">
              <a:solidFill>
                <a:srgbClr val="000000"/>
              </a:solidFill>
              <a:prstDash val="solid"/>
            </a:ln>
          </c:spPr>
          <c:dLbls>
            <c:dLbl>
              <c:idx val="0"/>
              <c:layout>
                <c:manualLayout>
                  <c:x val="1.3841856119676971E-2"/>
                  <c:y val="-8.6478932529128749E-3"/>
                </c:manualLayout>
              </c:layout>
              <c:showVal val="1"/>
            </c:dLbl>
            <c:dLbl>
              <c:idx val="1"/>
              <c:layout>
                <c:manualLayout>
                  <c:x val="1.7512561324895905E-2"/>
                  <c:y val="-3.530208299980224E-2"/>
                </c:manualLayout>
              </c:layout>
              <c:showVal val="1"/>
            </c:dLbl>
            <c:dLbl>
              <c:idx val="2"/>
              <c:layout>
                <c:manualLayout>
                  <c:x val="1.7284430133528282E-2"/>
                  <c:y val="-1.3517656919829334E-2"/>
                </c:manualLayout>
              </c:layout>
              <c:showVal val="1"/>
            </c:dLbl>
            <c:dLbl>
              <c:idx val="3"/>
              <c:layout>
                <c:manualLayout>
                  <c:x val="3.460015859128359E-2"/>
                  <c:y val="-1.8925546627487425E-2"/>
                </c:manualLayout>
              </c:layout>
              <c:showVal val="1"/>
            </c:dLbl>
            <c:numFmt formatCode="0.00" sourceLinked="0"/>
            <c:spPr>
              <a:noFill/>
              <a:ln w="25367">
                <a:noFill/>
              </a:ln>
            </c:spPr>
            <c:txPr>
              <a:bodyPr/>
              <a:lstStyle/>
              <a:p>
                <a:pPr>
                  <a:defRPr sz="1198" b="1" i="0" u="none" strike="noStrike" baseline="0">
                    <a:solidFill>
                      <a:srgbClr val="000000"/>
                    </a:solidFill>
                    <a:latin typeface="Calibri"/>
                    <a:ea typeface="Calibri"/>
                    <a:cs typeface="Calibri"/>
                  </a:defRPr>
                </a:pPr>
                <a:endParaRPr lang="ru-RU"/>
              </a:p>
            </c:txPr>
            <c:showVal val="1"/>
          </c:dLbls>
          <c:cat>
            <c:strRef>
              <c:f>Sheet1!$B$1:$E$1</c:f>
              <c:strCache>
                <c:ptCount val="4"/>
                <c:pt idx="0">
                  <c:v>ЗХС</c:v>
                </c:pt>
                <c:pt idx="1">
                  <c:v>ТГ</c:v>
                </c:pt>
                <c:pt idx="2">
                  <c:v>ЛПНЩ</c:v>
                </c:pt>
                <c:pt idx="3">
                  <c:v>ЛПДНЩ</c:v>
                </c:pt>
              </c:strCache>
            </c:strRef>
          </c:cat>
          <c:val>
            <c:numRef>
              <c:f>Sheet1!$B$3:$E$3</c:f>
              <c:numCache>
                <c:formatCode>General</c:formatCode>
                <c:ptCount val="4"/>
                <c:pt idx="0">
                  <c:v>29.87</c:v>
                </c:pt>
                <c:pt idx="1">
                  <c:v>33.58</c:v>
                </c:pt>
                <c:pt idx="2">
                  <c:v>34.520000000000003</c:v>
                </c:pt>
                <c:pt idx="3">
                  <c:v>36.28</c:v>
                </c:pt>
              </c:numCache>
            </c:numRef>
          </c:val>
        </c:ser>
        <c:dLbls>
          <c:showVal val="1"/>
        </c:dLbls>
        <c:gapDepth val="0"/>
        <c:shape val="box"/>
        <c:axId val="84882944"/>
        <c:axId val="84884480"/>
        <c:axId val="0"/>
      </c:bar3DChart>
      <c:catAx>
        <c:axId val="84882944"/>
        <c:scaling>
          <c:orientation val="minMax"/>
        </c:scaling>
        <c:axPos val="b"/>
        <c:numFmt formatCode="General" sourceLinked="1"/>
        <c:tickLblPos val="low"/>
        <c:spPr>
          <a:ln w="3171">
            <a:solidFill>
              <a:srgbClr val="000000"/>
            </a:solidFill>
            <a:prstDash val="solid"/>
          </a:ln>
        </c:spPr>
        <c:txPr>
          <a:bodyPr rot="0" vert="horz"/>
          <a:lstStyle/>
          <a:p>
            <a:pPr>
              <a:defRPr sz="1198" b="1" i="0" u="none" strike="noStrike" baseline="0">
                <a:solidFill>
                  <a:srgbClr val="000000"/>
                </a:solidFill>
                <a:latin typeface="Calibri"/>
                <a:ea typeface="Calibri"/>
                <a:cs typeface="Calibri"/>
              </a:defRPr>
            </a:pPr>
            <a:endParaRPr lang="ru-RU"/>
          </a:p>
        </c:txPr>
        <c:crossAx val="84884480"/>
        <c:crosses val="autoZero"/>
        <c:auto val="1"/>
        <c:lblAlgn val="ctr"/>
        <c:lblOffset val="100"/>
        <c:tickLblSkip val="1"/>
        <c:tickMarkSkip val="1"/>
      </c:catAx>
      <c:valAx>
        <c:axId val="84884480"/>
        <c:scaling>
          <c:orientation val="minMax"/>
        </c:scaling>
        <c:axPos val="l"/>
        <c:majorGridlines>
          <c:spPr>
            <a:ln w="3171">
              <a:solidFill>
                <a:srgbClr val="000000"/>
              </a:solidFill>
              <a:prstDash val="solid"/>
            </a:ln>
          </c:spPr>
        </c:majorGridlines>
        <c:title>
          <c:tx>
            <c:rich>
              <a:bodyPr rot="0" vert="horz"/>
              <a:lstStyle/>
              <a:p>
                <a:pPr algn="ctr">
                  <a:defRPr sz="1248" b="1" i="0" u="none" strike="noStrike" baseline="0">
                    <a:solidFill>
                      <a:srgbClr val="000000"/>
                    </a:solidFill>
                    <a:latin typeface="Calibri"/>
                    <a:ea typeface="Calibri"/>
                    <a:cs typeface="Calibri"/>
                  </a:defRPr>
                </a:pPr>
                <a:r>
                  <a:rPr lang="ru-RU"/>
                  <a:t>%</a:t>
                </a:r>
              </a:p>
            </c:rich>
          </c:tx>
          <c:layout>
            <c:manualLayout>
              <c:xMode val="edge"/>
              <c:yMode val="edge"/>
              <c:x val="2.9239766081871389E-2"/>
              <c:y val="0"/>
            </c:manualLayout>
          </c:layout>
          <c:spPr>
            <a:noFill/>
            <a:ln w="25367">
              <a:noFill/>
            </a:ln>
          </c:spPr>
        </c:title>
        <c:numFmt formatCode="General" sourceLinked="0"/>
        <c:tickLblPos val="nextTo"/>
        <c:spPr>
          <a:ln w="3171">
            <a:solidFill>
              <a:srgbClr val="000000"/>
            </a:solidFill>
            <a:prstDash val="solid"/>
          </a:ln>
        </c:spPr>
        <c:txPr>
          <a:bodyPr rot="0" vert="horz"/>
          <a:lstStyle/>
          <a:p>
            <a:pPr>
              <a:defRPr sz="1198" b="1" i="0" u="none" strike="noStrike" baseline="0">
                <a:solidFill>
                  <a:srgbClr val="000000"/>
                </a:solidFill>
                <a:latin typeface="Calibri"/>
                <a:ea typeface="Calibri"/>
                <a:cs typeface="Calibri"/>
              </a:defRPr>
            </a:pPr>
            <a:endParaRPr lang="ru-RU"/>
          </a:p>
        </c:txPr>
        <c:crossAx val="84882944"/>
        <c:crosses val="autoZero"/>
        <c:crossBetween val="between"/>
      </c:valAx>
      <c:spPr>
        <a:noFill/>
        <a:ln w="25367">
          <a:noFill/>
        </a:ln>
      </c:spPr>
    </c:plotArea>
    <c:legend>
      <c:legendPos val="r"/>
      <c:layout>
        <c:manualLayout>
          <c:xMode val="edge"/>
          <c:yMode val="edge"/>
          <c:x val="0.77582846003898676"/>
          <c:y val="0.25680933852140075"/>
          <c:w val="0.22417153996101358"/>
          <c:h val="0.36186770428015597"/>
        </c:manualLayout>
      </c:layout>
      <c:spPr>
        <a:noFill/>
        <a:ln w="3171">
          <a:solidFill>
            <a:srgbClr val="000000"/>
          </a:solidFill>
          <a:prstDash val="solid"/>
        </a:ln>
      </c:spPr>
      <c:txPr>
        <a:bodyPr/>
        <a:lstStyle/>
        <a:p>
          <a:pPr>
            <a:defRPr sz="103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124"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7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9403578528827044E-2"/>
          <c:y val="6.1889250814332303E-2"/>
          <c:w val="0.6958250497017896"/>
          <c:h val="0.79478827361563564"/>
        </c:manualLayout>
      </c:layout>
      <c:bar3DChart>
        <c:barDir val="col"/>
        <c:grouping val="clustered"/>
        <c:ser>
          <c:idx val="0"/>
          <c:order val="0"/>
          <c:tx>
            <c:strRef>
              <c:f>Sheet1!$A$2</c:f>
              <c:strCache>
                <c:ptCount val="1"/>
                <c:pt idx="0">
                  <c:v>І гр - СПЛ</c:v>
                </c:pt>
              </c:strCache>
            </c:strRef>
          </c:tx>
          <c:spPr>
            <a:solidFill>
              <a:srgbClr val="9999FF"/>
            </a:solidFill>
            <a:ln w="12699">
              <a:solidFill>
                <a:srgbClr val="000000"/>
              </a:solidFill>
              <a:prstDash val="solid"/>
            </a:ln>
          </c:spPr>
          <c:dLbls>
            <c:dLbl>
              <c:idx val="0"/>
              <c:layout>
                <c:manualLayout>
                  <c:x val="9.7584885491813871E-3"/>
                  <c:y val="3.4800482295162534E-2"/>
                </c:manualLayout>
              </c:layout>
              <c:showVal val="1"/>
            </c:dLbl>
            <c:dLbl>
              <c:idx val="1"/>
              <c:layout>
                <c:manualLayout>
                  <c:x val="-8.0694146871722233E-5"/>
                  <c:y val="-4.3972315090407702E-3"/>
                </c:manualLayout>
              </c:layout>
              <c:showVal val="1"/>
            </c:dLbl>
            <c:dLbl>
              <c:idx val="2"/>
              <c:layout>
                <c:manualLayout>
                  <c:x val="6.720316811322141E-3"/>
                  <c:y val="1.0691899160329705E-5"/>
                </c:manualLayout>
              </c:layout>
              <c:showVal val="1"/>
            </c:dLbl>
            <c:dLbl>
              <c:idx val="3"/>
              <c:layout>
                <c:manualLayout>
                  <c:x val="-3.6358997162756292E-3"/>
                  <c:y val="3.6612486808069493E-2"/>
                </c:manualLayout>
              </c:layout>
              <c:showVal val="1"/>
            </c:dLbl>
            <c:dLbl>
              <c:idx val="4"/>
              <c:layout>
                <c:manualLayout>
                  <c:x val="1.1770396713418339E-3"/>
                  <c:y val="3.5237173719277357E-2"/>
                </c:manualLayout>
              </c:layout>
              <c:showVal val="1"/>
            </c:dLbl>
            <c:spPr>
              <a:noFill/>
              <a:ln w="25397">
                <a:noFill/>
              </a:ln>
            </c:spPr>
            <c:txPr>
              <a:bodyPr/>
              <a:lstStyle/>
              <a:p>
                <a:pPr>
                  <a:defRPr sz="1200" b="1" i="0" u="none" strike="noStrike" baseline="0">
                    <a:solidFill>
                      <a:srgbClr val="000000"/>
                    </a:solidFill>
                    <a:latin typeface="Calibri"/>
                    <a:ea typeface="Calibri"/>
                    <a:cs typeface="Calibri"/>
                  </a:defRPr>
                </a:pPr>
                <a:endParaRPr lang="ru-RU"/>
              </a:p>
            </c:txPr>
            <c:showVal val="1"/>
          </c:dLbls>
          <c:cat>
            <c:strRef>
              <c:f>Sheet1!$B$1:$F$1</c:f>
              <c:strCache>
                <c:ptCount val="5"/>
                <c:pt idx="0">
                  <c:v>МА</c:v>
                </c:pt>
                <c:pt idx="1">
                  <c:v>SH-гр.</c:v>
                </c:pt>
                <c:pt idx="2">
                  <c:v>СОД</c:v>
                </c:pt>
                <c:pt idx="3">
                  <c:v>Катал.</c:v>
                </c:pt>
                <c:pt idx="4">
                  <c:v>ЦП</c:v>
                </c:pt>
              </c:strCache>
            </c:strRef>
          </c:cat>
          <c:val>
            <c:numRef>
              <c:f>Sheet1!$B$2:$F$2</c:f>
              <c:numCache>
                <c:formatCode>0.00%</c:formatCode>
                <c:ptCount val="5"/>
                <c:pt idx="0">
                  <c:v>-0.2205</c:v>
                </c:pt>
                <c:pt idx="1">
                  <c:v>4.6199999999999998E-2</c:v>
                </c:pt>
                <c:pt idx="2">
                  <c:v>8.0300000000000024E-2</c:v>
                </c:pt>
                <c:pt idx="3">
                  <c:v>-0.16209999999999999</c:v>
                </c:pt>
                <c:pt idx="4">
                  <c:v>-0.1338</c:v>
                </c:pt>
              </c:numCache>
            </c:numRef>
          </c:val>
        </c:ser>
        <c:ser>
          <c:idx val="1"/>
          <c:order val="1"/>
          <c:tx>
            <c:strRef>
              <c:f>Sheet1!$A$3</c:f>
              <c:strCache>
                <c:ptCount val="1"/>
                <c:pt idx="0">
                  <c:v>ІІ гр - СПЛ + ПНЖК</c:v>
                </c:pt>
              </c:strCache>
            </c:strRef>
          </c:tx>
          <c:spPr>
            <a:solidFill>
              <a:srgbClr val="993366"/>
            </a:solidFill>
            <a:ln w="12699">
              <a:solidFill>
                <a:srgbClr val="000000"/>
              </a:solidFill>
              <a:prstDash val="solid"/>
            </a:ln>
          </c:spPr>
          <c:dLbls>
            <c:dLbl>
              <c:idx val="0"/>
              <c:layout>
                <c:manualLayout>
                  <c:x val="6.8734023114830388E-3"/>
                  <c:y val="2.9100898500882003E-2"/>
                </c:manualLayout>
              </c:layout>
              <c:showVal val="1"/>
            </c:dLbl>
            <c:dLbl>
              <c:idx val="1"/>
              <c:layout>
                <c:manualLayout>
                  <c:x val="2.0831820870163113E-2"/>
                  <c:y val="-3.5631792288255233E-3"/>
                </c:manualLayout>
              </c:layout>
              <c:showVal val="1"/>
            </c:dLbl>
            <c:dLbl>
              <c:idx val="2"/>
              <c:layout>
                <c:manualLayout>
                  <c:x val="2.1668617116627261E-2"/>
                  <c:y val="-8.4579319589695705E-3"/>
                </c:manualLayout>
              </c:layout>
              <c:showVal val="1"/>
            </c:dLbl>
            <c:dLbl>
              <c:idx val="3"/>
              <c:layout>
                <c:manualLayout>
                  <c:x val="1.431300328332042E-3"/>
                  <c:y val="2.0900948659277229E-2"/>
                </c:manualLayout>
              </c:layout>
              <c:showVal val="1"/>
            </c:dLbl>
            <c:dLbl>
              <c:idx val="4"/>
              <c:layout>
                <c:manualLayout>
                  <c:x val="6.2442397159495093E-3"/>
                  <c:y val="3.0764759096899595E-2"/>
                </c:manualLayout>
              </c:layout>
              <c:showVal val="1"/>
            </c:dLbl>
            <c:spPr>
              <a:noFill/>
              <a:ln w="25397">
                <a:noFill/>
              </a:ln>
            </c:spPr>
            <c:txPr>
              <a:bodyPr/>
              <a:lstStyle/>
              <a:p>
                <a:pPr>
                  <a:defRPr sz="1200" b="1" i="0" u="none" strike="noStrike" baseline="0">
                    <a:solidFill>
                      <a:srgbClr val="000000"/>
                    </a:solidFill>
                    <a:latin typeface="Calibri"/>
                    <a:ea typeface="Calibri"/>
                    <a:cs typeface="Calibri"/>
                  </a:defRPr>
                </a:pPr>
                <a:endParaRPr lang="ru-RU"/>
              </a:p>
            </c:txPr>
            <c:showVal val="1"/>
          </c:dLbls>
          <c:cat>
            <c:strRef>
              <c:f>Sheet1!$B$1:$F$1</c:f>
              <c:strCache>
                <c:ptCount val="5"/>
                <c:pt idx="0">
                  <c:v>МА</c:v>
                </c:pt>
                <c:pt idx="1">
                  <c:v>SH-гр.</c:v>
                </c:pt>
                <c:pt idx="2">
                  <c:v>СОД</c:v>
                </c:pt>
                <c:pt idx="3">
                  <c:v>Катал.</c:v>
                </c:pt>
                <c:pt idx="4">
                  <c:v>ЦП</c:v>
                </c:pt>
              </c:strCache>
            </c:strRef>
          </c:cat>
          <c:val>
            <c:numRef>
              <c:f>Sheet1!$B$3:$F$3</c:f>
              <c:numCache>
                <c:formatCode>0.00%</c:formatCode>
                <c:ptCount val="5"/>
                <c:pt idx="0">
                  <c:v>-0.34740000000000026</c:v>
                </c:pt>
                <c:pt idx="1">
                  <c:v>0.1581000000000001</c:v>
                </c:pt>
                <c:pt idx="2">
                  <c:v>0.24970000000000012</c:v>
                </c:pt>
                <c:pt idx="3">
                  <c:v>-0.30680000000000035</c:v>
                </c:pt>
                <c:pt idx="4">
                  <c:v>-0.23480000000000001</c:v>
                </c:pt>
              </c:numCache>
            </c:numRef>
          </c:val>
        </c:ser>
        <c:gapDepth val="0"/>
        <c:shape val="box"/>
        <c:axId val="116354048"/>
        <c:axId val="124584704"/>
        <c:axId val="0"/>
      </c:bar3DChart>
      <c:catAx>
        <c:axId val="116354048"/>
        <c:scaling>
          <c:orientation val="minMax"/>
        </c:scaling>
        <c:axPos val="b"/>
        <c:numFmt formatCode="General" sourceLinked="1"/>
        <c:tickLblPos val="low"/>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24584704"/>
        <c:crosses val="autoZero"/>
        <c:auto val="1"/>
        <c:lblAlgn val="ctr"/>
        <c:lblOffset val="100"/>
        <c:tickLblSkip val="1"/>
        <c:tickMarkSkip val="1"/>
      </c:catAx>
      <c:valAx>
        <c:axId val="124584704"/>
        <c:scaling>
          <c:orientation val="minMax"/>
        </c:scaling>
        <c:axPos val="l"/>
        <c:majorGridlines>
          <c:spPr>
            <a:ln w="3175">
              <a:solidFill>
                <a:srgbClr val="000000"/>
              </a:solidFill>
              <a:prstDash val="solid"/>
            </a:ln>
          </c:spPr>
        </c:majorGridlines>
        <c:numFmt formatCode="0%" sourceLinked="0"/>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16354048"/>
        <c:crosses val="autoZero"/>
        <c:crossBetween val="between"/>
      </c:valAx>
      <c:spPr>
        <a:noFill/>
        <a:ln w="25397">
          <a:noFill/>
        </a:ln>
      </c:spPr>
    </c:plotArea>
    <c:legend>
      <c:legendPos val="r"/>
      <c:layout>
        <c:manualLayout>
          <c:xMode val="edge"/>
          <c:yMode val="edge"/>
          <c:x val="0.79721669980119259"/>
          <c:y val="0.31921824104234553"/>
          <c:w val="0.19880715705765409"/>
          <c:h val="0.28664495114006538"/>
        </c:manualLayout>
      </c:layout>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3482</Words>
  <Characters>19851</Characters>
  <Application>Microsoft Office Word</Application>
  <DocSecurity>0</DocSecurity>
  <Lines>165</Lines>
  <Paragraphs>46</Paragraphs>
  <ScaleCrop>false</ScaleCrop>
  <Company/>
  <LinksUpToDate>false</LinksUpToDate>
  <CharactersWithSpaces>23287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Spartan-B312</cp:lastModifiedBy>
  <cp:revision>3</cp:revision>
  <dcterms:created xsi:type="dcterms:W3CDTF">2017-12-16T07:33:00Z</dcterms:created>
  <dcterms:modified xsi:type="dcterms:W3CDTF">2017-12-31T07:07:00Z</dcterms:modified>
</cp:coreProperties>
</file>